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Attendance Policy</w:t>
      </w:r>
    </w:p>
    <w:p>
      <w:r>
        <w:t>NovaBridge Technologies Inc.  |  Last revised: January 5, 2026  |  Owner: People Operations</w:t>
      </w:r>
    </w:p>
    <w:p>
      <w:pPr>
        <w:pStyle w:val="Heading1"/>
      </w:pPr>
      <w:r>
        <w:t>1. Purpose</w:t>
      </w:r>
    </w:p>
    <w:p>
      <w:r>
        <w:t>This policy sets the standard for regular attendance and punctuality expected of all employees of NovaBridge Technologies Inc., across both on-site and remote work arrangements.</w:t>
      </w:r>
    </w:p>
    <w:p>
      <w:pPr>
        <w:pStyle w:val="Heading1"/>
      </w:pPr>
      <w:r>
        <w:t>2. Scheduled Hours</w:t>
      </w:r>
    </w:p>
    <w:p>
      <w:r>
        <w:t>Employees are expected to work their agreed schedule as defined by their manager, typically 40 hours per week for full-time employees, as described in the Employee Handbook, Section 2.2.</w:t>
      </w:r>
    </w:p>
    <w:p>
      <w:r>
        <w:t>Core collaboration hours are 11:00 AM to 4:00 PM local team time, during which employees should be reachable and available for meetings.</w:t>
      </w:r>
    </w:p>
    <w:p>
      <w:pPr>
        <w:pStyle w:val="Heading1"/>
      </w:pPr>
      <w:r>
        <w:t>3. Reporting an Absence</w:t>
      </w:r>
    </w:p>
    <w:p>
      <w:pPr>
        <w:pStyle w:val="ListNumber"/>
      </w:pPr>
      <w:r>
        <w:t>1. Planned absences (vacation, personal days) must be requested in the HR portal at least 7 days in advance, per the Leave Policy.</w:t>
      </w:r>
    </w:p>
    <w:p>
      <w:pPr>
        <w:pStyle w:val="ListNumber"/>
      </w:pPr>
      <w:r>
        <w:t>2. Unplanned absences (illness, emergency) must be reported to the employee's manager before the start of the scheduled workday, via Slack or phone.</w:t>
      </w:r>
    </w:p>
    <w:p>
      <w:pPr>
        <w:pStyle w:val="ListNumber"/>
      </w:pPr>
      <w:r>
        <w:t>3. Failure to report an absence within 2 hours of the scheduled start time, without a valid reason, is recorded as an unreported absence.</w:t>
      </w:r>
    </w:p>
    <w:p>
      <w:pPr>
        <w:pStyle w:val="Heading1"/>
      </w:pPr>
      <w:r>
        <w:t>4. Tardiness</w:t>
      </w:r>
    </w:p>
    <w:p>
      <w:r>
        <w:t>Employees who expect to arrive more than 15 minutes after their scheduled start time should notify their manager as soon as possible.</w:t>
      </w:r>
    </w:p>
    <w:p>
      <w:r>
        <w:t>Repeated tardiness (3 or more occurrences within a rolling 30-day period) may result in a documented conversation with the employee's manager.</w:t>
      </w:r>
    </w:p>
    <w:p>
      <w:pPr>
        <w:pStyle w:val="Heading1"/>
      </w:pPr>
      <w:r>
        <w:t>5. Excessive Absenteeism</w:t>
      </w:r>
    </w:p>
    <w:p>
      <w:r>
        <w:t>Absenteeism is considered excessive when an employee has more than 4 unreported or unapproved absences within a rolling 90-day period.</w:t>
      </w:r>
    </w:p>
    <w:p>
      <w:r>
        <w:t>Excessive absenteeism is addressed through the Company's progressive discipline process, described in the Employee Handbook, Section 5.8 (Disciplinary Action), except where absences are protected under applicable leave laws (e.g., FMLA, disability accommodation).</w:t>
      </w:r>
    </w:p>
    <w:p>
      <w:pPr>
        <w:pStyle w:val="Heading1"/>
      </w:pPr>
      <w:r>
        <w:t>6. No-Call/No-Show</w:t>
      </w:r>
    </w:p>
    <w:p>
      <w:r>
        <w:t>An employee who is absent for 3 consecutive scheduled workdays without notifying their manager is considered to have voluntarily resigned, unless extenuating circumstances are identified upon review by People Operations.</w:t>
      </w:r>
    </w:p>
    <w:p>
      <w:pPr>
        <w:pStyle w:val="Heading1"/>
      </w:pPr>
      <w:r>
        <w:t>7. Remote Work Attendance</w:t>
      </w:r>
    </w:p>
    <w:p>
      <w:r>
        <w:t>For employees on a Remote or Hybrid arrangement, "attendance" refers to availability and responsiveness during core hours rather than physical presence, consistent with the Remote Work Policy.</w:t>
      </w:r>
    </w:p>
    <w:p>
      <w:pPr>
        <w:pStyle w:val="Heading1"/>
      </w:pPr>
      <w:r>
        <w:t>8. Exceptions</w:t>
      </w:r>
    </w:p>
    <w:p>
      <w:r>
        <w:t>Absences related to jury duty, bereavement, approved medical leave, or parental leave are governed by their respective policies and are not counted toward excessive absenteeism.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