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BC83" w14:textId="77777777" w:rsidR="00CA7AA4" w:rsidRDefault="00000000">
      <w:pPr>
        <w:bidi w:val="0"/>
        <w:spacing w:after="0" w:line="360" w:lineRule="auto"/>
        <w:jc w:val="center"/>
        <w:rPr>
          <w:rFonts w:ascii="Arial" w:eastAsia="Times New Roman" w:hAnsi="Arial"/>
          <w:b/>
          <w:bCs/>
          <w:sz w:val="36"/>
          <w:szCs w:val="36"/>
          <w:rtl/>
          <w:lang w:bidi="ar-EG"/>
        </w:rPr>
      </w:pPr>
      <w:r>
        <w:rPr>
          <w:b/>
          <w:bCs/>
          <w:sz w:val="32"/>
          <w:szCs w:val="32"/>
        </w:rPr>
        <w:t>Reference</w:t>
      </w:r>
    </w:p>
    <w:p w14:paraId="7845A64F" w14:textId="77777777" w:rsidR="00CA7AA4" w:rsidRDefault="00CA7AA4" w:rsidP="00902F58">
      <w:pPr>
        <w:tabs>
          <w:tab w:val="left" w:pos="720"/>
        </w:tabs>
        <w:bidi w:val="0"/>
        <w:spacing w:after="0" w:line="360" w:lineRule="auto"/>
        <w:ind w:left="-360"/>
        <w:rPr>
          <w:rFonts w:ascii="Arial" w:eastAsia="Times New Roman" w:hAnsi="Arial"/>
          <w:sz w:val="24"/>
          <w:szCs w:val="24"/>
        </w:rPr>
      </w:pPr>
    </w:p>
    <w:p w14:paraId="230A11CC" w14:textId="77777777" w:rsidR="00CA7AA4" w:rsidRDefault="00000000">
      <w:pPr>
        <w:numPr>
          <w:ilvl w:val="0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b/>
          <w:bCs/>
          <w:sz w:val="24"/>
          <w:szCs w:val="24"/>
        </w:rPr>
        <w:t>ISTE (International Society for Technology in Education):</w:t>
      </w:r>
    </w:p>
    <w:p w14:paraId="54598491" w14:textId="77777777" w:rsidR="00CA7AA4" w:rsidRDefault="00000000">
      <w:pPr>
        <w:numPr>
          <w:ilvl w:val="1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  <w:rtl/>
        </w:rPr>
        <w:t>الجمعية الدولية لتكنولوجيا التعليم، وهي المرجع الأول عالمياً لوضع معايير استخدام التكنولوجيا في التعليم</w:t>
      </w:r>
      <w:r>
        <w:rPr>
          <w:rFonts w:ascii="Arial" w:eastAsia="Times New Roman" w:hAnsi="Arial"/>
          <w:sz w:val="24"/>
          <w:szCs w:val="24"/>
        </w:rPr>
        <w:t>.</w:t>
      </w:r>
    </w:p>
    <w:p w14:paraId="093F9721" w14:textId="77777777" w:rsidR="00CA7AA4" w:rsidRDefault="00000000">
      <w:pPr>
        <w:numPr>
          <w:ilvl w:val="0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b/>
          <w:bCs/>
          <w:sz w:val="24"/>
          <w:szCs w:val="24"/>
        </w:rPr>
        <w:t>UNESCO (Educational Technology &amp; ICT in Education Guidelines):</w:t>
      </w:r>
    </w:p>
    <w:p w14:paraId="67958868" w14:textId="77777777" w:rsidR="00CA7AA4" w:rsidRDefault="00000000">
      <w:pPr>
        <w:numPr>
          <w:ilvl w:val="1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  <w:rtl/>
        </w:rPr>
        <w:t>منظمة اليونسكو، وتحديداً الأدلة الاسترشادية الخاصة بمصطلحات الذكاء الاصطناعي في التعليم، والموارد التعليمية المفتوحة</w:t>
      </w:r>
      <w:r>
        <w:rPr>
          <w:rFonts w:ascii="Arial" w:eastAsia="Times New Roman" w:hAnsi="Arial"/>
          <w:sz w:val="24"/>
          <w:szCs w:val="24"/>
        </w:rPr>
        <w:t xml:space="preserve"> (OER)</w:t>
      </w:r>
      <w:r>
        <w:rPr>
          <w:rFonts w:ascii="Arial" w:eastAsia="Times New Roman" w:hAnsi="Arial"/>
          <w:sz w:val="24"/>
          <w:szCs w:val="24"/>
          <w:rtl/>
        </w:rPr>
        <w:t>، والمواطنة الرقمية</w:t>
      </w:r>
      <w:r>
        <w:rPr>
          <w:rFonts w:ascii="Arial" w:eastAsia="Times New Roman" w:hAnsi="Arial"/>
          <w:sz w:val="24"/>
          <w:szCs w:val="24"/>
        </w:rPr>
        <w:t>.</w:t>
      </w:r>
    </w:p>
    <w:p w14:paraId="6E9ED931" w14:textId="77777777" w:rsidR="00CA7AA4" w:rsidRDefault="00000000">
      <w:pPr>
        <w:numPr>
          <w:ilvl w:val="0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b/>
          <w:bCs/>
          <w:sz w:val="24"/>
          <w:szCs w:val="24"/>
        </w:rPr>
        <w:t>EDUCAUSE Review &amp; Glossary:</w:t>
      </w:r>
    </w:p>
    <w:p w14:paraId="5EFF1DB7" w14:textId="77777777" w:rsidR="00CA7AA4" w:rsidRDefault="00000000">
      <w:pPr>
        <w:numPr>
          <w:ilvl w:val="1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  <w:rtl/>
        </w:rPr>
        <w:t>منظمة أبحاث رائدة غير ربحية متخصصة في تكنولوجيا التعليم العالي، وتُعد قاموساً أساسياً لمصطلحات مثل</w:t>
      </w:r>
      <w:r>
        <w:rPr>
          <w:rFonts w:ascii="Arial" w:eastAsia="Times New Roman" w:hAnsi="Arial"/>
          <w:sz w:val="24"/>
          <w:szCs w:val="24"/>
        </w:rPr>
        <w:t xml:space="preserve"> (LMS, Learning Analytics, Adaptive Learning).</w:t>
      </w:r>
    </w:p>
    <w:p w14:paraId="7C23EB7D" w14:textId="77777777" w:rsidR="00CA7AA4" w:rsidRDefault="00000000">
      <w:pPr>
        <w:numPr>
          <w:ilvl w:val="0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b/>
          <w:bCs/>
          <w:sz w:val="24"/>
          <w:szCs w:val="24"/>
        </w:rPr>
        <w:t>Gartner Information Technology Glossary:</w:t>
      </w:r>
    </w:p>
    <w:p w14:paraId="090E1DD7" w14:textId="77777777" w:rsidR="00CA7AA4" w:rsidRDefault="00000000">
      <w:pPr>
        <w:numPr>
          <w:ilvl w:val="1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  <w:rtl/>
        </w:rPr>
        <w:t>مؤسسة "غارتنر" للأبحاث الاستشارية، وهي المرجع الأساسي للمصطلحات التقنية العامة والبنية التحتية مثل</w:t>
      </w:r>
      <w:r>
        <w:rPr>
          <w:rFonts w:ascii="Arial" w:eastAsia="Times New Roman" w:hAnsi="Arial"/>
          <w:sz w:val="24"/>
          <w:szCs w:val="24"/>
        </w:rPr>
        <w:t xml:space="preserve"> (Cloud Computing, SaaS, API).</w:t>
      </w:r>
    </w:p>
    <w:p w14:paraId="7D9B654B" w14:textId="77777777" w:rsidR="00CA7AA4" w:rsidRDefault="00000000">
      <w:pPr>
        <w:numPr>
          <w:ilvl w:val="0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b/>
          <w:bCs/>
          <w:sz w:val="24"/>
          <w:szCs w:val="24"/>
        </w:rPr>
        <w:t>National Center for Education Statistics (NCES):</w:t>
      </w:r>
    </w:p>
    <w:p w14:paraId="4D89E42F" w14:textId="77777777" w:rsidR="00CA7AA4" w:rsidRDefault="00000000">
      <w:pPr>
        <w:numPr>
          <w:ilvl w:val="1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  <w:rtl/>
        </w:rPr>
        <w:t>المركز الوطني لإحصاءات التعليم، وخصوصاً في تعريفات خصوصية بيانات الطلاب</w:t>
      </w:r>
      <w:r>
        <w:rPr>
          <w:rFonts w:ascii="Arial" w:eastAsia="Times New Roman" w:hAnsi="Arial"/>
          <w:sz w:val="24"/>
          <w:szCs w:val="24"/>
        </w:rPr>
        <w:t xml:space="preserve"> (PII) </w:t>
      </w:r>
      <w:r>
        <w:rPr>
          <w:rFonts w:ascii="Arial" w:eastAsia="Times New Roman" w:hAnsi="Arial"/>
          <w:sz w:val="24"/>
          <w:szCs w:val="24"/>
          <w:rtl/>
        </w:rPr>
        <w:t>والأمن السيبراني التعليمي</w:t>
      </w:r>
      <w:r>
        <w:rPr>
          <w:rFonts w:ascii="Arial" w:eastAsia="Times New Roman" w:hAnsi="Arial"/>
          <w:sz w:val="24"/>
          <w:szCs w:val="24"/>
        </w:rPr>
        <w:t>.</w:t>
      </w:r>
    </w:p>
    <w:p w14:paraId="2F4FC0E3" w14:textId="77777777" w:rsidR="00CA7AA4" w:rsidRPr="00902F58" w:rsidRDefault="00000000" w:rsidP="00902F58">
      <w:pPr>
        <w:numPr>
          <w:ilvl w:val="0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b/>
          <w:bCs/>
          <w:sz w:val="24"/>
          <w:szCs w:val="24"/>
        </w:rPr>
      </w:pPr>
      <w:r>
        <w:rPr>
          <w:rFonts w:ascii="Arial" w:eastAsia="Times New Roman" w:hAnsi="Arial"/>
          <w:b/>
          <w:bCs/>
          <w:sz w:val="24"/>
          <w:szCs w:val="24"/>
        </w:rPr>
        <w:t>AECT (Association for Educational Communications and Technology):</w:t>
      </w:r>
      <w:r w:rsidRPr="00902F58">
        <w:rPr>
          <w:rFonts w:ascii="Arial" w:eastAsia="Times New Roman" w:hAnsi="Arial"/>
          <w:b/>
          <w:bCs/>
          <w:sz w:val="24"/>
          <w:szCs w:val="24"/>
        </w:rPr>
        <w:t xml:space="preserve"> 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 xml:space="preserve">جمعية الاتصالات والتقنيات التربوية، واعتُمد عليها في تعريف مصطلحات مثل </w:t>
      </w:r>
      <w:r w:rsidRPr="00902F58">
        <w:rPr>
          <w:rFonts w:ascii="Arial" w:eastAsia="Times New Roman" w:hAnsi="Arial"/>
          <w:b/>
          <w:bCs/>
          <w:sz w:val="24"/>
          <w:szCs w:val="24"/>
        </w:rPr>
        <w:t xml:space="preserve">Instructional Design 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>(التصميم التعليمي) و</w:t>
      </w:r>
      <w:r w:rsidRPr="00902F58">
        <w:rPr>
          <w:rFonts w:ascii="Arial" w:eastAsia="Times New Roman" w:hAnsi="Arial"/>
          <w:b/>
          <w:bCs/>
          <w:sz w:val="24"/>
          <w:szCs w:val="24"/>
        </w:rPr>
        <w:t>Audio-Visual Centers (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>مراكز الوسائل السمعية والبصرية</w:t>
      </w:r>
      <w:r w:rsidRPr="00902F58">
        <w:rPr>
          <w:rFonts w:ascii="Arial" w:eastAsia="Times New Roman" w:hAnsi="Arial"/>
          <w:b/>
          <w:bCs/>
          <w:sz w:val="24"/>
          <w:szCs w:val="24"/>
        </w:rPr>
        <w:t>).</w:t>
      </w:r>
    </w:p>
    <w:p w14:paraId="21A7A3DA" w14:textId="77777777" w:rsidR="00CA7AA4" w:rsidRPr="00902F58" w:rsidRDefault="00000000" w:rsidP="00902F58">
      <w:pPr>
        <w:numPr>
          <w:ilvl w:val="0"/>
          <w:numId w:val="1"/>
        </w:numPr>
        <w:bidi w:val="0"/>
        <w:spacing w:after="0" w:line="360" w:lineRule="auto"/>
        <w:ind w:left="0"/>
        <w:rPr>
          <w:rFonts w:ascii="Arial" w:eastAsia="Times New Roman" w:hAnsi="Arial"/>
          <w:b/>
          <w:bCs/>
          <w:sz w:val="24"/>
          <w:szCs w:val="24"/>
        </w:rPr>
      </w:pPr>
      <w:r>
        <w:rPr>
          <w:rFonts w:ascii="Arial" w:eastAsia="Times New Roman" w:hAnsi="Arial"/>
          <w:b/>
          <w:bCs/>
          <w:sz w:val="24"/>
          <w:szCs w:val="24"/>
        </w:rPr>
        <w:t>NIST (National Institute of Standards and Technology):</w:t>
      </w:r>
      <w:r w:rsidRPr="00902F58">
        <w:rPr>
          <w:rFonts w:ascii="Arial" w:eastAsia="Times New Roman" w:hAnsi="Arial"/>
          <w:b/>
          <w:bCs/>
          <w:sz w:val="24"/>
          <w:szCs w:val="24"/>
        </w:rPr>
        <w:t xml:space="preserve"> 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 xml:space="preserve">المعهد الوطني للمعايير والتكنولوجيا، وهو المرجع الأساسي الذي صيغت بناءً عليه مصطلحات الأمن الرقمي والشبكات مثل </w:t>
      </w:r>
      <w:r w:rsidRPr="00902F58">
        <w:rPr>
          <w:rFonts w:ascii="Arial" w:eastAsia="Times New Roman" w:hAnsi="Arial"/>
          <w:b/>
          <w:bCs/>
          <w:sz w:val="24"/>
          <w:szCs w:val="24"/>
        </w:rPr>
        <w:t>Cybersecurity (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>الأمن السيبراني</w:t>
      </w:r>
      <w:r w:rsidRPr="00902F58">
        <w:rPr>
          <w:rFonts w:ascii="Arial" w:eastAsia="Times New Roman" w:hAnsi="Arial"/>
          <w:b/>
          <w:bCs/>
          <w:sz w:val="24"/>
          <w:szCs w:val="24"/>
        </w:rPr>
        <w:t>)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 xml:space="preserve">، </w:t>
      </w:r>
      <w:r w:rsidRPr="00902F58">
        <w:rPr>
          <w:rFonts w:ascii="Arial" w:eastAsia="Times New Roman" w:hAnsi="Arial"/>
          <w:b/>
          <w:bCs/>
          <w:sz w:val="24"/>
          <w:szCs w:val="24"/>
        </w:rPr>
        <w:t xml:space="preserve">Firewall 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>(جدار الحماية)، و</w:t>
      </w:r>
      <w:r w:rsidRPr="00902F58">
        <w:rPr>
          <w:rFonts w:ascii="Arial" w:eastAsia="Times New Roman" w:hAnsi="Arial"/>
          <w:b/>
          <w:bCs/>
          <w:sz w:val="24"/>
          <w:szCs w:val="24"/>
        </w:rPr>
        <w:t>Encryption (</w:t>
      </w:r>
      <w:r w:rsidRPr="00902F58">
        <w:rPr>
          <w:rFonts w:ascii="Arial" w:eastAsia="Times New Roman" w:hAnsi="Arial"/>
          <w:b/>
          <w:bCs/>
          <w:sz w:val="24"/>
          <w:szCs w:val="24"/>
          <w:rtl/>
        </w:rPr>
        <w:t>التشفير</w:t>
      </w:r>
      <w:r w:rsidRPr="00902F58">
        <w:rPr>
          <w:rFonts w:ascii="Arial" w:eastAsia="Times New Roman" w:hAnsi="Arial"/>
          <w:b/>
          <w:bCs/>
          <w:sz w:val="24"/>
          <w:szCs w:val="24"/>
        </w:rPr>
        <w:t>).</w:t>
      </w:r>
    </w:p>
    <w:p w14:paraId="04DC0A07" w14:textId="77777777" w:rsidR="00CA7AA4" w:rsidRDefault="00CA7AA4" w:rsidP="00902F58">
      <w:pPr>
        <w:tabs>
          <w:tab w:val="left" w:pos="720"/>
          <w:tab w:val="left" w:pos="1440"/>
        </w:tabs>
        <w:bidi w:val="0"/>
        <w:spacing w:after="0" w:line="360" w:lineRule="auto"/>
        <w:rPr>
          <w:rFonts w:ascii="Arial" w:eastAsia="Times New Roman" w:hAnsi="Arial"/>
          <w:sz w:val="24"/>
          <w:szCs w:val="24"/>
        </w:rPr>
      </w:pPr>
    </w:p>
    <w:p w14:paraId="08797222" w14:textId="77777777" w:rsidR="00CA7AA4" w:rsidRDefault="00CA7AA4"/>
    <w:sectPr w:rsidR="00CA7A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D21046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1"/>
    <w:multiLevelType w:val="multilevel"/>
    <w:tmpl w:val="6374F6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669374">
    <w:abstractNumId w:val="1"/>
  </w:num>
  <w:num w:numId="2" w16cid:durableId="88147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A4"/>
    <w:rsid w:val="0044763C"/>
    <w:rsid w:val="00902F58"/>
    <w:rsid w:val="00C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3831"/>
  <w15:docId w15:val="{58B5F052-ED4E-4C5E-993E-2FD30F48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Gamal</dc:creator>
  <cp:lastModifiedBy>Sara Mohamed</cp:lastModifiedBy>
  <cp:revision>3</cp:revision>
  <dcterms:created xsi:type="dcterms:W3CDTF">2026-08-15T09:28:00Z</dcterms:created>
  <dcterms:modified xsi:type="dcterms:W3CDTF">2026-08-15T15:34:00Z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b327c94e56b2417caa09193d70d94c6b_23</vt:lpwstr>
  </property>
</Properties>
</file>