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B6B5" w14:textId="77777777" w:rsidR="0028621D" w:rsidRDefault="00C74DB0">
      <w:pPr>
        <w:spacing w:after="16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DA 380 — Logistics Hub Process Flowchart</w:t>
      </w:r>
    </w:p>
    <w:p w14:paraId="761E308B" w14:textId="77777777" w:rsidR="0028621D" w:rsidRDefault="00C74DB0">
      <w:pPr>
        <w:pBdr>
          <w:bottom w:val="single" w:sz="8" w:space="4" w:color="2E75B6"/>
        </w:pBdr>
        <w:spacing w:after="200"/>
        <w:jc w:val="center"/>
      </w:pPr>
      <w:r>
        <w:rPr>
          <w:rFonts w:ascii="Arial" w:eastAsia="Arial" w:hAnsi="Arial" w:cs="Arial"/>
          <w:i/>
          <w:iCs/>
          <w:color w:val="2E75B6"/>
        </w:rPr>
        <w:t>Discrete-Event Simulation of a Global Logistics Hub | Phase II Documentation</w:t>
      </w:r>
    </w:p>
    <w:p w14:paraId="4EE008E2" w14:textId="4479E745" w:rsidR="0028621D" w:rsidRDefault="00C74DB0" w:rsidP="00B020FE">
      <w:pPr>
        <w:jc w:val="center"/>
      </w:pPr>
      <w:r>
        <w:rPr>
          <w:noProof/>
        </w:rPr>
        <w:drawing>
          <wp:inline distT="0" distB="0" distL="0" distR="0" wp14:anchorId="03C1A50A" wp14:editId="36E5296E">
            <wp:extent cx="6096000" cy="825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21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30EC0"/>
    <w:multiLevelType w:val="hybridMultilevel"/>
    <w:tmpl w:val="103C3C2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21D"/>
    <w:rsid w:val="0028621D"/>
    <w:rsid w:val="00B020FE"/>
    <w:rsid w:val="00C7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F119"/>
  <w15:docId w15:val="{D5AB6C9F-D405-45A7-8C29-FF9336C1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Mohammad Zreigat</cp:lastModifiedBy>
  <cp:revision>4</cp:revision>
  <dcterms:created xsi:type="dcterms:W3CDTF">2026-04-25T09:03:00Z</dcterms:created>
  <dcterms:modified xsi:type="dcterms:W3CDTF">2026-05-04T15:58:00Z</dcterms:modified>
</cp:coreProperties>
</file>