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0692" w14:textId="77777777" w:rsidR="007D2732" w:rsidRDefault="007D2732">
      <w:pPr>
        <w:jc w:val="center"/>
        <w:rPr>
          <w:rFonts w:ascii="Times New Roman" w:eastAsia="Times New Roman" w:hAnsi="Times New Roman" w:cs="Times New Roman"/>
          <w:b/>
          <w:bCs/>
          <w:color w:val="303030"/>
          <w:sz w:val="37"/>
          <w:szCs w:val="37"/>
          <w:highlight w:val="white"/>
        </w:rPr>
      </w:pPr>
    </w:p>
    <w:p w14:paraId="6CACE0EF" w14:textId="77777777" w:rsidR="007D2732" w:rsidRDefault="007D2732">
      <w:pPr>
        <w:jc w:val="center"/>
        <w:rPr>
          <w:rFonts w:ascii="Times New Roman" w:eastAsia="Times New Roman" w:hAnsi="Times New Roman" w:cs="Times New Roman"/>
          <w:b/>
          <w:bCs/>
          <w:color w:val="303030"/>
          <w:sz w:val="37"/>
          <w:szCs w:val="37"/>
          <w:highlight w:val="white"/>
        </w:rPr>
      </w:pPr>
    </w:p>
    <w:p w14:paraId="3F3E1F1E" w14:textId="77777777" w:rsidR="007D2732" w:rsidRDefault="007D2732">
      <w:pPr>
        <w:jc w:val="center"/>
        <w:rPr>
          <w:rFonts w:ascii="Times New Roman" w:eastAsia="Times New Roman" w:hAnsi="Times New Roman" w:cs="Times New Roman"/>
          <w:b/>
          <w:bCs/>
          <w:color w:val="303030"/>
          <w:sz w:val="37"/>
          <w:szCs w:val="37"/>
          <w:highlight w:val="white"/>
        </w:rPr>
      </w:pPr>
    </w:p>
    <w:p w14:paraId="4D3CAA20" w14:textId="77777777" w:rsidR="007D2732" w:rsidRDefault="00000000">
      <w:pPr>
        <w:jc w:val="center"/>
        <w:rPr>
          <w:rFonts w:ascii="Times New Roman" w:eastAsia="Times New Roman" w:hAnsi="Times New Roman" w:cs="Times New Roman"/>
          <w:b/>
          <w:bCs/>
          <w:color w:val="303030"/>
          <w:sz w:val="37"/>
          <w:szCs w:val="37"/>
          <w:highlight w:val="white"/>
        </w:rPr>
      </w:pPr>
      <w:r>
        <w:rPr>
          <w:rFonts w:ascii="Times New Roman" w:eastAsia="Times New Roman" w:hAnsi="Times New Roman" w:cs="Times New Roman"/>
          <w:b/>
          <w:bCs/>
          <w:color w:val="303030"/>
          <w:sz w:val="37"/>
          <w:szCs w:val="37"/>
          <w:highlight w:val="white"/>
        </w:rPr>
        <w:t>CS5804 Research Project Management</w:t>
      </w:r>
    </w:p>
    <w:p w14:paraId="2B575A81" w14:textId="77777777" w:rsidR="007D2732" w:rsidRDefault="007D2732">
      <w:pPr>
        <w:rPr>
          <w:rFonts w:ascii="Times New Roman" w:eastAsia="Times New Roman" w:hAnsi="Times New Roman" w:cs="Times New Roman"/>
          <w:b/>
          <w:bCs/>
          <w:color w:val="303030"/>
          <w:sz w:val="21"/>
          <w:szCs w:val="21"/>
          <w:highlight w:val="white"/>
        </w:rPr>
      </w:pPr>
    </w:p>
    <w:p w14:paraId="5137C846" w14:textId="77777777" w:rsidR="007D2732" w:rsidRDefault="007D2732">
      <w:pPr>
        <w:rPr>
          <w:rFonts w:ascii="Times New Roman" w:eastAsia="Times New Roman" w:hAnsi="Times New Roman" w:cs="Times New Roman"/>
          <w:b/>
          <w:bCs/>
          <w:color w:val="303030"/>
          <w:sz w:val="21"/>
          <w:szCs w:val="21"/>
          <w:highlight w:val="white"/>
        </w:rPr>
      </w:pPr>
    </w:p>
    <w:p w14:paraId="640B1539" w14:textId="77777777" w:rsidR="007D2732" w:rsidRDefault="007D2732">
      <w:pPr>
        <w:rPr>
          <w:rFonts w:ascii="Times New Roman" w:eastAsia="Times New Roman" w:hAnsi="Times New Roman" w:cs="Times New Roman"/>
          <w:b/>
          <w:bCs/>
          <w:color w:val="303030"/>
          <w:sz w:val="21"/>
          <w:szCs w:val="21"/>
          <w:highlight w:val="white"/>
        </w:rPr>
      </w:pPr>
    </w:p>
    <w:p w14:paraId="183A05D9" w14:textId="77777777" w:rsidR="007D2732" w:rsidRDefault="007D2732">
      <w:pPr>
        <w:rPr>
          <w:rFonts w:ascii="Times New Roman" w:eastAsia="Times New Roman" w:hAnsi="Times New Roman" w:cs="Times New Roman"/>
          <w:b/>
          <w:bCs/>
          <w:color w:val="303030"/>
          <w:sz w:val="21"/>
          <w:szCs w:val="21"/>
          <w:highlight w:val="white"/>
        </w:rPr>
      </w:pPr>
    </w:p>
    <w:p w14:paraId="04FF1D05" w14:textId="77777777" w:rsidR="007D2732" w:rsidRDefault="007D2732">
      <w:pPr>
        <w:rPr>
          <w:rFonts w:ascii="Times New Roman" w:eastAsia="Times New Roman" w:hAnsi="Times New Roman" w:cs="Times New Roman"/>
          <w:b/>
          <w:bCs/>
          <w:color w:val="303030"/>
          <w:sz w:val="21"/>
          <w:szCs w:val="21"/>
          <w:highlight w:val="white"/>
        </w:rPr>
      </w:pPr>
    </w:p>
    <w:p w14:paraId="4A08EB5C" w14:textId="77777777" w:rsidR="007D2732" w:rsidRDefault="00000000">
      <w:pPr>
        <w:jc w:val="center"/>
        <w:rPr>
          <w:rFonts w:ascii="Times New Roman" w:eastAsia="Times New Roman" w:hAnsi="Times New Roman" w:cs="Times New Roman"/>
          <w:color w:val="303030"/>
          <w:sz w:val="27"/>
          <w:szCs w:val="27"/>
          <w:highlight w:val="white"/>
        </w:rPr>
      </w:pPr>
      <w:r>
        <w:rPr>
          <w:rFonts w:ascii="Times New Roman" w:eastAsia="Times New Roman" w:hAnsi="Times New Roman" w:cs="Times New Roman"/>
          <w:color w:val="303030"/>
          <w:sz w:val="27"/>
          <w:szCs w:val="27"/>
          <w:highlight w:val="white"/>
        </w:rPr>
        <w:t xml:space="preserve">     Can sparse autoencoder-derived feature representations serve as more reliable nonconformity scores for conformal prediction in text classification tasks, and does this improve coverage robustness under distribution shift compared to standard </w:t>
      </w:r>
      <w:proofErr w:type="spellStart"/>
      <w:r>
        <w:rPr>
          <w:rFonts w:ascii="Times New Roman" w:eastAsia="Times New Roman" w:hAnsi="Times New Roman" w:cs="Times New Roman"/>
          <w:color w:val="303030"/>
          <w:sz w:val="27"/>
          <w:szCs w:val="27"/>
          <w:highlight w:val="white"/>
        </w:rPr>
        <w:t>softmax</w:t>
      </w:r>
      <w:proofErr w:type="spellEnd"/>
      <w:r>
        <w:rPr>
          <w:rFonts w:ascii="Times New Roman" w:eastAsia="Times New Roman" w:hAnsi="Times New Roman" w:cs="Times New Roman"/>
          <w:color w:val="303030"/>
          <w:sz w:val="27"/>
          <w:szCs w:val="27"/>
          <w:highlight w:val="white"/>
        </w:rPr>
        <w:t>-based approaches?</w:t>
      </w:r>
    </w:p>
    <w:p w14:paraId="5339F825" w14:textId="77777777" w:rsidR="007D2732" w:rsidRDefault="007D2732">
      <w:pPr>
        <w:jc w:val="center"/>
        <w:rPr>
          <w:rFonts w:ascii="Times New Roman" w:eastAsia="Times New Roman" w:hAnsi="Times New Roman" w:cs="Times New Roman"/>
          <w:color w:val="303030"/>
          <w:sz w:val="27"/>
          <w:szCs w:val="27"/>
          <w:highlight w:val="white"/>
        </w:rPr>
      </w:pPr>
    </w:p>
    <w:p w14:paraId="71F18778" w14:textId="77777777" w:rsidR="007D2732" w:rsidRDefault="007D2732">
      <w:pPr>
        <w:rPr>
          <w:rFonts w:ascii="Times New Roman" w:eastAsia="Times New Roman" w:hAnsi="Times New Roman" w:cs="Times New Roman"/>
          <w:b/>
          <w:bCs/>
          <w:color w:val="303030"/>
          <w:sz w:val="21"/>
          <w:szCs w:val="21"/>
          <w:highlight w:val="white"/>
        </w:rPr>
      </w:pPr>
    </w:p>
    <w:p w14:paraId="59E6F33D" w14:textId="77777777" w:rsidR="007D2732" w:rsidRDefault="007D2732">
      <w:pPr>
        <w:rPr>
          <w:rFonts w:ascii="Times New Roman" w:eastAsia="Times New Roman" w:hAnsi="Times New Roman" w:cs="Times New Roman"/>
          <w:b/>
          <w:bCs/>
          <w:color w:val="303030"/>
          <w:sz w:val="21"/>
          <w:szCs w:val="21"/>
          <w:highlight w:val="white"/>
        </w:rPr>
      </w:pPr>
    </w:p>
    <w:p w14:paraId="0C0E53B0" w14:textId="77777777" w:rsidR="007D2732" w:rsidRDefault="007D2732">
      <w:pPr>
        <w:rPr>
          <w:rFonts w:ascii="Times New Roman" w:eastAsia="Times New Roman" w:hAnsi="Times New Roman" w:cs="Times New Roman"/>
          <w:b/>
          <w:bCs/>
          <w:color w:val="303030"/>
          <w:sz w:val="21"/>
          <w:szCs w:val="21"/>
          <w:highlight w:val="white"/>
        </w:rPr>
      </w:pPr>
    </w:p>
    <w:p w14:paraId="1CAD4954" w14:textId="77777777" w:rsidR="007D2732" w:rsidRDefault="007D2732">
      <w:pPr>
        <w:rPr>
          <w:rFonts w:ascii="Times New Roman" w:eastAsia="Times New Roman" w:hAnsi="Times New Roman" w:cs="Times New Roman"/>
          <w:b/>
          <w:bCs/>
          <w:color w:val="303030"/>
          <w:sz w:val="21"/>
          <w:szCs w:val="21"/>
          <w:highlight w:val="white"/>
        </w:rPr>
      </w:pPr>
    </w:p>
    <w:p w14:paraId="3EE2CC72" w14:textId="77777777" w:rsidR="007D2732" w:rsidRDefault="007D2732">
      <w:pPr>
        <w:rPr>
          <w:rFonts w:ascii="Times New Roman" w:eastAsia="Times New Roman" w:hAnsi="Times New Roman" w:cs="Times New Roman"/>
          <w:b/>
          <w:bCs/>
          <w:color w:val="303030"/>
          <w:sz w:val="21"/>
          <w:szCs w:val="21"/>
          <w:highlight w:val="white"/>
        </w:rPr>
      </w:pPr>
    </w:p>
    <w:p w14:paraId="1DC9FC58" w14:textId="77777777" w:rsidR="007D2732" w:rsidRDefault="007D2732">
      <w:pPr>
        <w:rPr>
          <w:rFonts w:ascii="Times New Roman" w:eastAsia="Times New Roman" w:hAnsi="Times New Roman" w:cs="Times New Roman"/>
          <w:b/>
          <w:bCs/>
          <w:color w:val="303030"/>
          <w:sz w:val="21"/>
          <w:szCs w:val="21"/>
          <w:highlight w:val="white"/>
        </w:rPr>
      </w:pPr>
    </w:p>
    <w:p w14:paraId="68E28805" w14:textId="77777777" w:rsidR="007D2732" w:rsidRDefault="007D2732">
      <w:pPr>
        <w:rPr>
          <w:rFonts w:ascii="Times New Roman" w:eastAsia="Times New Roman" w:hAnsi="Times New Roman" w:cs="Times New Roman"/>
          <w:b/>
          <w:bCs/>
          <w:color w:val="303030"/>
          <w:sz w:val="21"/>
          <w:szCs w:val="21"/>
          <w:highlight w:val="white"/>
        </w:rPr>
      </w:pPr>
    </w:p>
    <w:p w14:paraId="55890FAB" w14:textId="77777777" w:rsidR="007D2732" w:rsidRDefault="007D2732">
      <w:pPr>
        <w:rPr>
          <w:rFonts w:ascii="Times New Roman" w:eastAsia="Times New Roman" w:hAnsi="Times New Roman" w:cs="Times New Roman"/>
          <w:b/>
          <w:bCs/>
          <w:color w:val="303030"/>
          <w:sz w:val="21"/>
          <w:szCs w:val="21"/>
          <w:highlight w:val="white"/>
        </w:rPr>
      </w:pPr>
    </w:p>
    <w:p w14:paraId="062AE386" w14:textId="77777777" w:rsidR="007D2732" w:rsidRDefault="007D2732">
      <w:pPr>
        <w:rPr>
          <w:rFonts w:ascii="Times New Roman" w:eastAsia="Times New Roman" w:hAnsi="Times New Roman" w:cs="Times New Roman"/>
          <w:b/>
          <w:bCs/>
          <w:color w:val="303030"/>
          <w:sz w:val="21"/>
          <w:szCs w:val="21"/>
          <w:highlight w:val="white"/>
        </w:rPr>
      </w:pPr>
    </w:p>
    <w:p w14:paraId="36673B56" w14:textId="77777777" w:rsidR="007D2732" w:rsidRDefault="007D2732">
      <w:pPr>
        <w:rPr>
          <w:rFonts w:ascii="Times New Roman" w:eastAsia="Times New Roman" w:hAnsi="Times New Roman" w:cs="Times New Roman"/>
          <w:b/>
          <w:bCs/>
          <w:color w:val="303030"/>
          <w:sz w:val="21"/>
          <w:szCs w:val="21"/>
          <w:highlight w:val="white"/>
        </w:rPr>
      </w:pPr>
    </w:p>
    <w:p w14:paraId="315C19CD" w14:textId="77777777" w:rsidR="007D2732" w:rsidRDefault="007D2732">
      <w:pPr>
        <w:rPr>
          <w:rFonts w:ascii="Times New Roman" w:eastAsia="Times New Roman" w:hAnsi="Times New Roman" w:cs="Times New Roman"/>
          <w:b/>
          <w:bCs/>
          <w:color w:val="303030"/>
          <w:sz w:val="21"/>
          <w:szCs w:val="21"/>
          <w:highlight w:val="white"/>
        </w:rPr>
      </w:pPr>
    </w:p>
    <w:p w14:paraId="355692DB" w14:textId="77777777" w:rsidR="007D2732" w:rsidRDefault="007D2732">
      <w:pPr>
        <w:rPr>
          <w:rFonts w:ascii="Times New Roman" w:eastAsia="Times New Roman" w:hAnsi="Times New Roman" w:cs="Times New Roman"/>
          <w:b/>
          <w:bCs/>
          <w:color w:val="303030"/>
          <w:sz w:val="21"/>
          <w:szCs w:val="21"/>
          <w:highlight w:val="white"/>
        </w:rPr>
      </w:pPr>
    </w:p>
    <w:p w14:paraId="554CBD0A" w14:textId="77777777" w:rsidR="007D2732" w:rsidRDefault="007D2732">
      <w:pPr>
        <w:rPr>
          <w:rFonts w:ascii="Times New Roman" w:eastAsia="Times New Roman" w:hAnsi="Times New Roman" w:cs="Times New Roman"/>
          <w:b/>
          <w:bCs/>
          <w:color w:val="303030"/>
          <w:sz w:val="21"/>
          <w:szCs w:val="21"/>
          <w:highlight w:val="white"/>
        </w:rPr>
      </w:pPr>
    </w:p>
    <w:p w14:paraId="7BFD0E88" w14:textId="77777777" w:rsidR="007D2732" w:rsidRDefault="007D2732">
      <w:pPr>
        <w:rPr>
          <w:rFonts w:ascii="Times New Roman" w:eastAsia="Times New Roman" w:hAnsi="Times New Roman" w:cs="Times New Roman"/>
          <w:b/>
          <w:bCs/>
          <w:color w:val="303030"/>
          <w:sz w:val="21"/>
          <w:szCs w:val="21"/>
          <w:highlight w:val="white"/>
        </w:rPr>
      </w:pPr>
    </w:p>
    <w:p w14:paraId="362378CF" w14:textId="77777777" w:rsidR="007D2732" w:rsidRDefault="007D2732">
      <w:pPr>
        <w:rPr>
          <w:rFonts w:ascii="Times New Roman" w:eastAsia="Times New Roman" w:hAnsi="Times New Roman" w:cs="Times New Roman"/>
          <w:b/>
          <w:bCs/>
          <w:color w:val="303030"/>
          <w:sz w:val="21"/>
          <w:szCs w:val="21"/>
          <w:highlight w:val="white"/>
        </w:rPr>
      </w:pPr>
    </w:p>
    <w:p w14:paraId="09DE6B5A" w14:textId="77777777" w:rsidR="007D2732" w:rsidRDefault="007D2732">
      <w:pPr>
        <w:rPr>
          <w:rFonts w:ascii="Times New Roman" w:eastAsia="Times New Roman" w:hAnsi="Times New Roman" w:cs="Times New Roman"/>
          <w:b/>
          <w:bCs/>
          <w:color w:val="303030"/>
          <w:sz w:val="21"/>
          <w:szCs w:val="21"/>
          <w:highlight w:val="white"/>
        </w:rPr>
      </w:pPr>
    </w:p>
    <w:p w14:paraId="34C9207B" w14:textId="77777777" w:rsidR="007D2732" w:rsidRDefault="007D2732">
      <w:pPr>
        <w:rPr>
          <w:rFonts w:ascii="Times New Roman" w:eastAsia="Times New Roman" w:hAnsi="Times New Roman" w:cs="Times New Roman"/>
          <w:b/>
          <w:bCs/>
          <w:color w:val="303030"/>
          <w:sz w:val="21"/>
          <w:szCs w:val="21"/>
          <w:highlight w:val="white"/>
        </w:rPr>
      </w:pPr>
    </w:p>
    <w:p w14:paraId="22EFDEC9" w14:textId="77777777" w:rsidR="007D2732" w:rsidRDefault="007D2732">
      <w:pPr>
        <w:rPr>
          <w:rFonts w:ascii="Times New Roman" w:eastAsia="Times New Roman" w:hAnsi="Times New Roman" w:cs="Times New Roman"/>
          <w:b/>
          <w:bCs/>
          <w:color w:val="303030"/>
          <w:sz w:val="21"/>
          <w:szCs w:val="21"/>
          <w:highlight w:val="white"/>
        </w:rPr>
      </w:pPr>
    </w:p>
    <w:p w14:paraId="67427F29" w14:textId="77777777" w:rsidR="007D2732" w:rsidRDefault="007D2732">
      <w:pPr>
        <w:rPr>
          <w:rFonts w:ascii="Times New Roman" w:eastAsia="Times New Roman" w:hAnsi="Times New Roman" w:cs="Times New Roman"/>
          <w:b/>
          <w:bCs/>
          <w:color w:val="303030"/>
          <w:sz w:val="21"/>
          <w:szCs w:val="21"/>
          <w:highlight w:val="white"/>
        </w:rPr>
      </w:pPr>
    </w:p>
    <w:p w14:paraId="7D15464C" w14:textId="77777777" w:rsidR="007D2732" w:rsidRDefault="007D2732">
      <w:pPr>
        <w:rPr>
          <w:rFonts w:ascii="Times New Roman" w:eastAsia="Times New Roman" w:hAnsi="Times New Roman" w:cs="Times New Roman"/>
          <w:b/>
          <w:bCs/>
          <w:color w:val="303030"/>
          <w:sz w:val="21"/>
          <w:szCs w:val="21"/>
          <w:highlight w:val="white"/>
        </w:rPr>
      </w:pPr>
    </w:p>
    <w:p w14:paraId="3436BBDC" w14:textId="77777777" w:rsidR="007D2732" w:rsidRDefault="007D2732">
      <w:pPr>
        <w:rPr>
          <w:rFonts w:ascii="Times New Roman" w:eastAsia="Times New Roman" w:hAnsi="Times New Roman" w:cs="Times New Roman"/>
          <w:b/>
          <w:bCs/>
          <w:color w:val="303030"/>
          <w:sz w:val="21"/>
          <w:szCs w:val="21"/>
          <w:highlight w:val="white"/>
        </w:rPr>
      </w:pPr>
    </w:p>
    <w:p w14:paraId="32D1B047" w14:textId="77777777" w:rsidR="007D2732" w:rsidRDefault="007D2732">
      <w:pPr>
        <w:rPr>
          <w:rFonts w:ascii="Times New Roman" w:eastAsia="Times New Roman" w:hAnsi="Times New Roman" w:cs="Times New Roman"/>
          <w:b/>
          <w:bCs/>
          <w:color w:val="303030"/>
          <w:sz w:val="21"/>
          <w:szCs w:val="21"/>
          <w:highlight w:val="white"/>
        </w:rPr>
      </w:pPr>
    </w:p>
    <w:p w14:paraId="316466F7" w14:textId="77777777" w:rsidR="007D2732" w:rsidRDefault="007D2732">
      <w:pPr>
        <w:rPr>
          <w:rFonts w:ascii="Times New Roman" w:eastAsia="Times New Roman" w:hAnsi="Times New Roman" w:cs="Times New Roman"/>
          <w:b/>
          <w:bCs/>
          <w:color w:val="303030"/>
          <w:sz w:val="21"/>
          <w:szCs w:val="21"/>
          <w:highlight w:val="white"/>
        </w:rPr>
      </w:pPr>
    </w:p>
    <w:p w14:paraId="73CEDD08" w14:textId="77777777" w:rsidR="007D2732" w:rsidRDefault="007D2732">
      <w:pPr>
        <w:rPr>
          <w:rFonts w:ascii="Times New Roman" w:eastAsia="Times New Roman" w:hAnsi="Times New Roman" w:cs="Times New Roman"/>
          <w:b/>
          <w:bCs/>
          <w:color w:val="303030"/>
          <w:sz w:val="21"/>
          <w:szCs w:val="21"/>
          <w:highlight w:val="white"/>
        </w:rPr>
      </w:pPr>
    </w:p>
    <w:p w14:paraId="62026ACC" w14:textId="77777777" w:rsidR="007D2732" w:rsidRDefault="007D2732">
      <w:pPr>
        <w:rPr>
          <w:rFonts w:ascii="Times New Roman" w:eastAsia="Times New Roman" w:hAnsi="Times New Roman" w:cs="Times New Roman"/>
          <w:b/>
          <w:bCs/>
          <w:color w:val="303030"/>
          <w:sz w:val="21"/>
          <w:szCs w:val="21"/>
          <w:highlight w:val="white"/>
        </w:rPr>
      </w:pPr>
    </w:p>
    <w:p w14:paraId="11C80DB9" w14:textId="77777777" w:rsidR="007D2732" w:rsidRDefault="007D2732">
      <w:pPr>
        <w:rPr>
          <w:rFonts w:ascii="Times New Roman" w:eastAsia="Times New Roman" w:hAnsi="Times New Roman" w:cs="Times New Roman"/>
          <w:b/>
          <w:bCs/>
          <w:color w:val="303030"/>
          <w:sz w:val="21"/>
          <w:szCs w:val="21"/>
          <w:highlight w:val="white"/>
        </w:rPr>
      </w:pPr>
    </w:p>
    <w:p w14:paraId="42C31E1D" w14:textId="77777777" w:rsidR="007D2732" w:rsidRDefault="007D2732">
      <w:pPr>
        <w:rPr>
          <w:rFonts w:ascii="Times New Roman" w:eastAsia="Times New Roman" w:hAnsi="Times New Roman" w:cs="Times New Roman"/>
          <w:b/>
          <w:bCs/>
          <w:color w:val="303030"/>
          <w:sz w:val="21"/>
          <w:szCs w:val="21"/>
          <w:highlight w:val="white"/>
        </w:rPr>
      </w:pPr>
    </w:p>
    <w:p w14:paraId="5267294F" w14:textId="77777777" w:rsidR="007D2732" w:rsidRDefault="007D2732">
      <w:pPr>
        <w:rPr>
          <w:rFonts w:ascii="Times New Roman" w:eastAsia="Times New Roman" w:hAnsi="Times New Roman" w:cs="Times New Roman"/>
          <w:b/>
          <w:bCs/>
          <w:color w:val="303030"/>
          <w:sz w:val="21"/>
          <w:szCs w:val="21"/>
          <w:highlight w:val="white"/>
        </w:rPr>
      </w:pPr>
    </w:p>
    <w:p w14:paraId="5AA88F51" w14:textId="77777777" w:rsidR="007D2732" w:rsidRDefault="00000000">
      <w:pPr>
        <w:spacing w:line="288" w:lineRule="auto"/>
        <w:rPr>
          <w:rFonts w:ascii="Times New Roman" w:eastAsia="Times New Roman" w:hAnsi="Times New Roman" w:cs="Times New Roman"/>
          <w:color w:val="303030"/>
          <w:sz w:val="21"/>
          <w:szCs w:val="21"/>
          <w:highlight w:val="white"/>
        </w:rPr>
      </w:pPr>
      <w:r>
        <w:rPr>
          <w:rFonts w:ascii="Times New Roman" w:eastAsia="Times New Roman" w:hAnsi="Times New Roman" w:cs="Times New Roman"/>
          <w:b/>
          <w:bCs/>
          <w:color w:val="303030"/>
          <w:sz w:val="21"/>
          <w:szCs w:val="21"/>
          <w:highlight w:val="white"/>
        </w:rPr>
        <w:t>Student ID:</w:t>
      </w:r>
      <w:r>
        <w:rPr>
          <w:rFonts w:ascii="Times New Roman" w:eastAsia="Times New Roman" w:hAnsi="Times New Roman" w:cs="Times New Roman"/>
          <w:color w:val="303030"/>
          <w:sz w:val="21"/>
          <w:szCs w:val="21"/>
          <w:highlight w:val="white"/>
        </w:rPr>
        <w:t xml:space="preserve"> 2605197</w:t>
      </w:r>
    </w:p>
    <w:p w14:paraId="0F8F0B8B" w14:textId="77777777" w:rsidR="007D2732" w:rsidRDefault="00000000">
      <w:pPr>
        <w:spacing w:line="288" w:lineRule="auto"/>
        <w:rPr>
          <w:rFonts w:ascii="Times New Roman" w:eastAsia="Times New Roman" w:hAnsi="Times New Roman" w:cs="Times New Roman"/>
          <w:color w:val="303030"/>
          <w:sz w:val="21"/>
          <w:szCs w:val="21"/>
          <w:highlight w:val="white"/>
        </w:rPr>
      </w:pPr>
      <w:r>
        <w:rPr>
          <w:rFonts w:ascii="Times New Roman" w:eastAsia="Times New Roman" w:hAnsi="Times New Roman" w:cs="Times New Roman"/>
          <w:b/>
          <w:bCs/>
          <w:color w:val="303030"/>
          <w:sz w:val="21"/>
          <w:szCs w:val="21"/>
          <w:highlight w:val="white"/>
        </w:rPr>
        <w:t>Module Code &amp; Title:</w:t>
      </w:r>
      <w:r>
        <w:rPr>
          <w:rFonts w:ascii="Times New Roman" w:eastAsia="Times New Roman" w:hAnsi="Times New Roman" w:cs="Times New Roman"/>
          <w:color w:val="303030"/>
          <w:sz w:val="21"/>
          <w:szCs w:val="21"/>
          <w:highlight w:val="white"/>
        </w:rPr>
        <w:t xml:space="preserve"> CS5804 Research Project Management</w:t>
      </w:r>
    </w:p>
    <w:p w14:paraId="7DBA834C" w14:textId="77777777" w:rsidR="007D2732" w:rsidRDefault="00000000">
      <w:pPr>
        <w:spacing w:line="288" w:lineRule="auto"/>
        <w:rPr>
          <w:rFonts w:ascii="Times New Roman" w:eastAsia="Times New Roman" w:hAnsi="Times New Roman" w:cs="Times New Roman"/>
          <w:color w:val="303030"/>
          <w:sz w:val="21"/>
          <w:szCs w:val="21"/>
          <w:highlight w:val="white"/>
        </w:rPr>
      </w:pPr>
      <w:r>
        <w:rPr>
          <w:rFonts w:ascii="Times New Roman" w:eastAsia="Times New Roman" w:hAnsi="Times New Roman" w:cs="Times New Roman"/>
          <w:b/>
          <w:bCs/>
          <w:color w:val="303030"/>
          <w:sz w:val="21"/>
          <w:szCs w:val="21"/>
          <w:highlight w:val="white"/>
        </w:rPr>
        <w:t>Academic Year:</w:t>
      </w:r>
      <w:r>
        <w:rPr>
          <w:rFonts w:ascii="Times New Roman" w:eastAsia="Times New Roman" w:hAnsi="Times New Roman" w:cs="Times New Roman"/>
          <w:color w:val="303030"/>
          <w:sz w:val="21"/>
          <w:szCs w:val="21"/>
          <w:highlight w:val="white"/>
        </w:rPr>
        <w:t xml:space="preserve"> 2025/26</w:t>
      </w:r>
    </w:p>
    <w:p w14:paraId="774BF676" w14:textId="77777777" w:rsidR="007D273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INTRODUCTION:</w:t>
      </w:r>
    </w:p>
    <w:p w14:paraId="383B16D0"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Text classification is one of the most widely used applications of modern language models. Given a piece of </w:t>
      </w:r>
      <w:proofErr w:type="gramStart"/>
      <w:r>
        <w:rPr>
          <w:rFonts w:ascii="Times New Roman" w:eastAsia="Times New Roman" w:hAnsi="Times New Roman" w:cs="Times New Roman"/>
        </w:rPr>
        <w:t>text</w:t>
      </w:r>
      <w:proofErr w:type="gramEnd"/>
      <w:r>
        <w:rPr>
          <w:rFonts w:ascii="Times New Roman" w:eastAsia="Times New Roman" w:hAnsi="Times New Roman" w:cs="Times New Roman"/>
        </w:rPr>
        <w:t xml:space="preserve"> a patient report, a customer complaint, a news </w:t>
      </w:r>
      <w:proofErr w:type="gramStart"/>
      <w:r>
        <w:rPr>
          <w:rFonts w:ascii="Times New Roman" w:eastAsia="Times New Roman" w:hAnsi="Times New Roman" w:cs="Times New Roman"/>
        </w:rPr>
        <w:t>headline</w:t>
      </w:r>
      <w:proofErr w:type="gramEnd"/>
      <w:r>
        <w:rPr>
          <w:rFonts w:ascii="Times New Roman" w:eastAsia="Times New Roman" w:hAnsi="Times New Roman" w:cs="Times New Roman"/>
        </w:rPr>
        <w:t xml:space="preserve"> a model assigns it to one of several predefined categories. The task sounds routine, but the stakes vary enormously depending on where it is deployed. A misclassified medical note or a </w:t>
      </w:r>
      <w:proofErr w:type="spellStart"/>
      <w:r>
        <w:rPr>
          <w:rFonts w:ascii="Times New Roman" w:eastAsia="Times New Roman" w:hAnsi="Times New Roman" w:cs="Times New Roman"/>
        </w:rPr>
        <w:t>mislabelled</w:t>
      </w:r>
      <w:proofErr w:type="spellEnd"/>
      <w:r>
        <w:rPr>
          <w:rFonts w:ascii="Times New Roman" w:eastAsia="Times New Roman" w:hAnsi="Times New Roman" w:cs="Times New Roman"/>
        </w:rPr>
        <w:t xml:space="preserve"> safety report can have real consequences, which means the reliability of the model's output matters, not just its average accuracy.</w:t>
      </w:r>
    </w:p>
    <w:p w14:paraId="4DE6EC79" w14:textId="77777777" w:rsidR="007D2732" w:rsidRDefault="007D2732">
      <w:pPr>
        <w:spacing w:before="80" w:after="80"/>
        <w:jc w:val="both"/>
        <w:rPr>
          <w:rFonts w:ascii="Times New Roman" w:eastAsia="Times New Roman" w:hAnsi="Times New Roman" w:cs="Times New Roman"/>
        </w:rPr>
      </w:pPr>
    </w:p>
    <w:p w14:paraId="2F0ABFAA"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The reliability problem in practice is not just about whether models get the right answer, it is about whether they know when they might be wrong. Most language models output a confidence score alongside their prediction using a function called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which converts the model's raw output numbers into percentages that add up to one hundred. If a model says '91% confident: Category A', that 91% sounds like a probability. The problem is that it is not.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scores are not statistically calibrated, a model can output 91% confidence and be wrong far more than 9% of the time, especially when the input looks different from what the model was trained on. Even when a model sees something entirely outside its training distribution,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is forced to distribute 100% probability across its known categories, often producing high confidence scores for incorrect answers.</w:t>
      </w:r>
    </w:p>
    <w:p w14:paraId="4A67B134"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0705E692"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Conformal prediction (Vovk, </w:t>
      </w:r>
      <w:proofErr w:type="spellStart"/>
      <w:r>
        <w:rPr>
          <w:rFonts w:ascii="Times New Roman" w:eastAsia="Times New Roman" w:hAnsi="Times New Roman" w:cs="Times New Roman"/>
        </w:rPr>
        <w:t>Gammerman</w:t>
      </w:r>
      <w:proofErr w:type="spellEnd"/>
      <w:r>
        <w:rPr>
          <w:rFonts w:ascii="Times New Roman" w:eastAsia="Times New Roman" w:hAnsi="Times New Roman" w:cs="Times New Roman"/>
        </w:rPr>
        <w:t xml:space="preserve"> and Shafer, 2005) is a statistical framework that addresses this directly. Rather than a single label with an uncalibrated confidence score, it produces a set of possible labels with a mathematically provable coverage guarantee. If you ask for 95% coverage, the framework guarantees that the correct label will be in the prediction set at least 95% of the time. That guarantee is not a heuristic — it follows directly from the mathematics of the method. The size of the set communicates uncertainty: a set with one label means the model is confident, a set with two or three means it is not.</w:t>
      </w:r>
    </w:p>
    <w:p w14:paraId="086B17E1"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0F7FC5FE"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The guarantee, however, rests on one condition: the data at test time must come from the same distribution as the data used to calibrate the framework. In real deployments, this is regularly violated. A model calibrated on formal medical records may later be asked to classify informal patient messages. A sentiment classifier trained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film reviews may be applied to product complaints. This change in data distribution is called distribution shift, and under it, the coverage guarantee weakens.</w:t>
      </w:r>
    </w:p>
    <w:p w14:paraId="33DB5E0B"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01B38B64"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The reason for this weakness lies in how conformal prediction measures nonconformity: that is, how it decides whether a new example looks unusual. Standard methods compute nonconformity scores from the model's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output: an example is considered surprising if the model assigns low probability to its true label. This is shallow. It tells you what the model decided, but nothing about the internal reasoning behind that decision. When distribution shift occurs, the model's internal processing changes in ways that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scores cannot capture.</w:t>
      </w:r>
    </w:p>
    <w:p w14:paraId="5FF72210"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26E2BC7F"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Sparse autoencoders (SAEs) offer a way into the model's internals. They decompose a transformer model's internal activations into a large set of sparse, interpretable directions called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each of which corresponds to a specific concept the model has learned. The central question of this research is whether these SAE-derived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used as nonconformity scores, produce more robust coverage guarantees under distribution shift than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-based scores currently achieve.</w:t>
      </w:r>
    </w:p>
    <w:p w14:paraId="63662834"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61214B73" w14:textId="77777777" w:rsidR="007D2732" w:rsidRDefault="007D2732">
      <w:pPr>
        <w:rPr>
          <w:rFonts w:ascii="Times New Roman" w:eastAsia="Times New Roman" w:hAnsi="Times New Roman" w:cs="Times New Roman"/>
        </w:rPr>
      </w:pPr>
    </w:p>
    <w:p w14:paraId="55585E95" w14:textId="77777777" w:rsidR="007D2732" w:rsidRDefault="00000000">
      <w:pPr>
        <w:pStyle w:val="Heading2"/>
        <w:keepNext w:val="0"/>
        <w:keepLines w:val="0"/>
        <w:spacing w:after="80"/>
        <w:rPr>
          <w:rFonts w:ascii="Times New Roman" w:eastAsia="Times New Roman" w:hAnsi="Times New Roman" w:cs="Times New Roman"/>
          <w:b/>
          <w:bCs/>
          <w:sz w:val="28"/>
          <w:szCs w:val="28"/>
        </w:rPr>
      </w:pPr>
      <w:bookmarkStart w:id="0" w:name="_163ww5nqzh8p" w:colFirst="0" w:colLast="0"/>
      <w:bookmarkEnd w:id="0"/>
      <w:r>
        <w:rPr>
          <w:rFonts w:ascii="Times New Roman" w:eastAsia="Times New Roman" w:hAnsi="Times New Roman" w:cs="Times New Roman"/>
          <w:b/>
          <w:bCs/>
          <w:sz w:val="28"/>
          <w:szCs w:val="28"/>
        </w:rPr>
        <w:t>Background and Related Work</w:t>
      </w:r>
    </w:p>
    <w:p w14:paraId="3A3151DF"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goal of mechanistic interpretability is to look inside a language model and understand its internal logic not just what it outputs, but why. This matters because large language models are increasingly used in high-stakes settings, yet their internal processing remains largely opaque. To understand why this opacity is so hard to resolve, it helps to start with how information is </w:t>
      </w:r>
      <w:proofErr w:type="gramStart"/>
      <w:r>
        <w:rPr>
          <w:rFonts w:ascii="Times New Roman" w:eastAsia="Times New Roman" w:hAnsi="Times New Roman" w:cs="Times New Roman"/>
        </w:rPr>
        <w:t>actually stored</w:t>
      </w:r>
      <w:proofErr w:type="gramEnd"/>
      <w:r>
        <w:rPr>
          <w:rFonts w:ascii="Times New Roman" w:eastAsia="Times New Roman" w:hAnsi="Times New Roman" w:cs="Times New Roman"/>
        </w:rPr>
        <w:t xml:space="preserve"> inside these models.</w:t>
      </w:r>
    </w:p>
    <w:p w14:paraId="111EA664"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neural network takes an input, a sentence, a document and passes it through many layers. At each layer, the network transforms the data into a new representation. These representations are lists of numbers called vectors, or activations. An activation is simply the output of a layer for a given input: if a layer has 768 neurons, the activation is a list of 768 numbers that collectively represent what the model has processed up to that point. A feature, in this context, is any property of the input that is meaningful for the model's task, things like sentiment, grammatical role, topic, or named entity type. Features are the concepts a model learns to track because they help </w:t>
      </w:r>
      <w:proofErr w:type="gramStart"/>
      <w:r>
        <w:rPr>
          <w:rFonts w:ascii="Times New Roman" w:eastAsia="Times New Roman" w:hAnsi="Times New Roman" w:cs="Times New Roman"/>
        </w:rPr>
        <w:t>it</w:t>
      </w:r>
      <w:proofErr w:type="gramEnd"/>
      <w:r>
        <w:rPr>
          <w:rFonts w:ascii="Times New Roman" w:eastAsia="Times New Roman" w:hAnsi="Times New Roman" w:cs="Times New Roman"/>
        </w:rPr>
        <w:t xml:space="preserve"> make better predictions.</w:t>
      </w:r>
    </w:p>
    <w:p w14:paraId="5FE1FDA7"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In a perfectly interpretable model, each neuron would represent exactly one feature. This is called </w:t>
      </w:r>
      <w:proofErr w:type="spellStart"/>
      <w:r>
        <w:rPr>
          <w:rFonts w:ascii="Times New Roman" w:eastAsia="Times New Roman" w:hAnsi="Times New Roman" w:cs="Times New Roman"/>
        </w:rPr>
        <w:t>monosemanticity</w:t>
      </w:r>
      <w:proofErr w:type="spellEnd"/>
      <w:r>
        <w:rPr>
          <w:rFonts w:ascii="Times New Roman" w:eastAsia="Times New Roman" w:hAnsi="Times New Roman" w:cs="Times New Roman"/>
        </w:rPr>
        <w:t>. If neuron 10 fires whenever it sees an article, and only then, you can say clearly what that neuron means. The problem is that real models do not work this way. The real world contains far more distinct features than a model has neurons. A model with 512 neurons but 5,000 concepts it needs to track cannot give each concept its own dedicated dimension; there simply is not enough room.</w:t>
      </w:r>
    </w:p>
    <w:p w14:paraId="7BCCD9C3" w14:textId="77777777" w:rsidR="007D273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Superposition</w:t>
      </w:r>
    </w:p>
    <w:p w14:paraId="7CCB15D5"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 xml:space="preserve">To handle this constraint, models use a strategy called superposition. As Elhage et al. (2022) show in their foundational paper on toy models, and as </w:t>
      </w:r>
      <w:proofErr w:type="spellStart"/>
      <w:r>
        <w:rPr>
          <w:rFonts w:ascii="Times New Roman" w:eastAsia="Times New Roman" w:hAnsi="Times New Roman" w:cs="Times New Roman"/>
        </w:rPr>
        <w:t>summarised</w:t>
      </w:r>
      <w:proofErr w:type="spellEnd"/>
      <w:r>
        <w:rPr>
          <w:rFonts w:ascii="Times New Roman" w:eastAsia="Times New Roman" w:hAnsi="Times New Roman" w:cs="Times New Roman"/>
        </w:rPr>
        <w:t xml:space="preserve"> in Nanda's mechanistic interpretability glossary, superposition occurs when a model represents more than n features in an n-dimensional activation space. Features still correspond to directions, but the set of interpretable directions is larger than the number of dimensions available. Rather than assigning one neuron to one feature, the model treats features as directions in space. In a three-dimensional space there are three axis directions, but there are infinitely many other directions too. The model exploits this by packing many feature directions into the same set of </w:t>
      </w:r>
      <w:proofErr w:type="gramStart"/>
      <w:r>
        <w:rPr>
          <w:rFonts w:ascii="Times New Roman" w:eastAsia="Times New Roman" w:hAnsi="Times New Roman" w:cs="Times New Roman"/>
        </w:rPr>
        <w:t>neurons</w:t>
      </w:r>
      <w:proofErr w:type="gramEnd"/>
      <w:r>
        <w:rPr>
          <w:rFonts w:ascii="Times New Roman" w:eastAsia="Times New Roman" w:hAnsi="Times New Roman" w:cs="Times New Roman"/>
        </w:rPr>
        <w:t xml:space="preserve"> a form of lossy compression that represents more features at the cost of added noise and interference between them.</w:t>
      </w:r>
    </w:p>
    <w:p w14:paraId="1611804C"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What makes this strategy viable is sparsity. Sparsity refers to how frequently a feature appears in the data. Most concepts "quantum physics", "legal terminology", "baking recipes" are sparse because they appear in only a small fraction of all possible inputs. Because most features are rarely active at the same time, the model can afford to let them share directions without constant interference. Elhage et al. (2022) show formally that the degree of superposition a model uses depends directly on feature sparsity: sparser features can be packed more aggressively because the probability of two sparse features being simultaneously active and therefore interfering is very low.</w:t>
      </w:r>
    </w:p>
    <w:p w14:paraId="38739716" w14:textId="77777777" w:rsidR="007D2732" w:rsidRDefault="007D2732">
      <w:pPr>
        <w:rPr>
          <w:rFonts w:ascii="Times New Roman" w:eastAsia="Times New Roman" w:hAnsi="Times New Roman" w:cs="Times New Roman"/>
        </w:rPr>
      </w:pPr>
    </w:p>
    <w:p w14:paraId="4577F8AA" w14:textId="77777777" w:rsidR="007D2732" w:rsidRDefault="00000000">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Polysemanticity</w:t>
      </w:r>
      <w:proofErr w:type="spellEnd"/>
    </w:p>
    <w:p w14:paraId="268B6B26"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 xml:space="preserve">Superposition leads directly to </w:t>
      </w:r>
      <w:proofErr w:type="spellStart"/>
      <w:r>
        <w:rPr>
          <w:rFonts w:ascii="Times New Roman" w:eastAsia="Times New Roman" w:hAnsi="Times New Roman" w:cs="Times New Roman"/>
        </w:rPr>
        <w:t>polysemanticity</w:t>
      </w:r>
      <w:proofErr w:type="spellEnd"/>
      <w:r>
        <w:rPr>
          <w:rFonts w:ascii="Times New Roman" w:eastAsia="Times New Roman" w:hAnsi="Times New Roman" w:cs="Times New Roman"/>
        </w:rPr>
        <w:t xml:space="preserve">. When multiple features share overlapping directions, individual neurons end up responding to several unrelated concepts simultaneously. A single neuron might activate for academic citations, dialogue in English, HTTP requests, and Korean text all at once. If you observe that neuron firing, you cannot tell which feature triggered it. The meaning is </w:t>
      </w:r>
      <w:r>
        <w:rPr>
          <w:rFonts w:ascii="Times New Roman" w:eastAsia="Times New Roman" w:hAnsi="Times New Roman" w:cs="Times New Roman"/>
        </w:rPr>
        <w:lastRenderedPageBreak/>
        <w:t>smeared across many neurons, and each neuron carries many meanings. This destroys the ability to map internal states to human-understandable concepts, which is why raw neuron inspection is not a useful interpretability method.</w:t>
      </w:r>
    </w:p>
    <w:p w14:paraId="4D9A5F08" w14:textId="77777777" w:rsidR="007D2732" w:rsidRDefault="007D2732">
      <w:pPr>
        <w:rPr>
          <w:rFonts w:ascii="Times New Roman" w:eastAsia="Times New Roman" w:hAnsi="Times New Roman" w:cs="Times New Roman"/>
        </w:rPr>
      </w:pPr>
    </w:p>
    <w:p w14:paraId="363C81A9" w14:textId="77777777" w:rsidR="007D273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Privileged and nonprivileged bases</w:t>
      </w:r>
    </w:p>
    <w:p w14:paraId="4A46FC5F"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 xml:space="preserve">The problem is compounded by the structure of transformer </w:t>
      </w:r>
      <w:proofErr w:type="gramStart"/>
      <w:r>
        <w:rPr>
          <w:rFonts w:ascii="Times New Roman" w:eastAsia="Times New Roman" w:hAnsi="Times New Roman" w:cs="Times New Roman"/>
        </w:rPr>
        <w:t>architectures</w:t>
      </w:r>
      <w:proofErr w:type="gramEnd"/>
      <w:r>
        <w:rPr>
          <w:rFonts w:ascii="Times New Roman" w:eastAsia="Times New Roman" w:hAnsi="Times New Roman" w:cs="Times New Roman"/>
        </w:rPr>
        <w:t xml:space="preserve">. Some parts of a model specifically layers where a nonlinear activation function like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is applied have what is called a privileged basis. The individual neuron directions have special significance because the computation being performed on them is defined in terms of those directions. In these layers, superposition is at least partially constrained. The residual stream the running vector that accumulates information across all layers of a transformer does not have a privileged basis. Information in the residual stream is stored as linear combinations of directions, none of which has any special status. You cannot look at a specific dimension of the residual stream and expect to find a meaningful concept there, because the same computation could be performed with any rotation of the basis. Concepts are spread across all dimensions linearly, which makes the residual stream particularly difficult to interpret using standard inspection methods.</w:t>
      </w:r>
    </w:p>
    <w:p w14:paraId="204CA965" w14:textId="77777777" w:rsidR="007D2732" w:rsidRDefault="007D2732">
      <w:pPr>
        <w:rPr>
          <w:rFonts w:ascii="Times New Roman" w:eastAsia="Times New Roman" w:hAnsi="Times New Roman" w:cs="Times New Roman"/>
        </w:rPr>
      </w:pPr>
    </w:p>
    <w:p w14:paraId="380B5C36" w14:textId="77777777" w:rsidR="007D273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Sparse autoencoders</w:t>
      </w:r>
    </w:p>
    <w:p w14:paraId="26DD5943"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Sparse autoencoders (SAEs) are designed to undo the compression caused by superposition. A standard autoencoder takes an input, compresses it into a smaller representation, and then reconstructs the original from that compressed form. An SAE inverts this logic: rather than compressing, it expands. The SAE takes the activations from a model layer as input and projects them into a much higher-dimensional space typically ten to thirty times larger before reconstructing the original activations. The key constraint during training is sparsity: an L1 penalty is applied to the hidden activations, which pushes most of them toward zero. Unlike an L2 penalty, which makes values small but rarely exactly zero, the L1 penalty actively drives activations to zero, forcing the SAE to represent each input using only a small number of active directions at once. This is what gives the method its name.</w:t>
      </w:r>
    </w:p>
    <w:p w14:paraId="14B62A6C"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 xml:space="preserve">The directions in the SAE's expanded space are called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The idea is that if the SAE must reconstruct model activations using only a few active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at a time, it will be forced to learn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that each correspond to a single specific </w:t>
      </w:r>
      <w:proofErr w:type="gramStart"/>
      <w:r>
        <w:rPr>
          <w:rFonts w:ascii="Times New Roman" w:eastAsia="Times New Roman" w:hAnsi="Times New Roman" w:cs="Times New Roman"/>
        </w:rPr>
        <w:t>feature</w:t>
      </w:r>
      <w:proofErr w:type="gramEnd"/>
      <w:r>
        <w:rPr>
          <w:rFonts w:ascii="Times New Roman" w:eastAsia="Times New Roman" w:hAnsi="Times New Roman" w:cs="Times New Roman"/>
        </w:rPr>
        <w:t xml:space="preserve"> one latent for "negative film review", another for "legal terminology", another for "DNA sequence". In this way, the SAE disentangles the polysemantic mixture of the original activations into a set of </w:t>
      </w:r>
      <w:proofErr w:type="spellStart"/>
      <w:r>
        <w:rPr>
          <w:rFonts w:ascii="Times New Roman" w:eastAsia="Times New Roman" w:hAnsi="Times New Roman" w:cs="Times New Roman"/>
        </w:rPr>
        <w:t>monosemantic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w:t>
      </w:r>
    </w:p>
    <w:p w14:paraId="2B8624DD"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 xml:space="preserve">Bricken et al. (2023) provided the first systematic evidence that this works. Training SAEs on a one-layer transformer, they recovered thousands of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that were clearly </w:t>
      </w:r>
      <w:proofErr w:type="spellStart"/>
      <w:r>
        <w:rPr>
          <w:rFonts w:ascii="Times New Roman" w:eastAsia="Times New Roman" w:hAnsi="Times New Roman" w:cs="Times New Roman"/>
        </w:rPr>
        <w:t>monosemantic</w:t>
      </w:r>
      <w:proofErr w:type="spellEnd"/>
      <w:r>
        <w:rPr>
          <w:rFonts w:ascii="Times New Roman" w:eastAsia="Times New Roman" w:hAnsi="Times New Roman" w:cs="Times New Roman"/>
        </w:rPr>
        <w:t xml:space="preserve"> each associated with a single identifiable concept, verified through automated and human evaluation. Templeton et al. (2024) scaled this approach to Claude 3 Sonnet, a production-scale language model, finding similarly interpretable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at that scale. As a concrete example, one latent in Claude 3 Sonnet was found to activate specifically and reliably on text and images about the Golden Gate Bridge </w:t>
      </w:r>
      <w:proofErr w:type="gramStart"/>
      <w:r>
        <w:rPr>
          <w:rFonts w:ascii="Times New Roman" w:eastAsia="Times New Roman" w:hAnsi="Times New Roman" w:cs="Times New Roman"/>
        </w:rPr>
        <w:t>not bridges</w:t>
      </w:r>
      <w:proofErr w:type="gramEnd"/>
      <w:r>
        <w:rPr>
          <w:rFonts w:ascii="Times New Roman" w:eastAsia="Times New Roman" w:hAnsi="Times New Roman" w:cs="Times New Roman"/>
        </w:rPr>
        <w:t xml:space="preserve"> in general, and not San Francisco landmarks in general, but that one structure. </w:t>
      </w:r>
    </w:p>
    <w:p w14:paraId="5440EB88" w14:textId="77777777" w:rsidR="007D2732" w:rsidRDefault="007D2732">
      <w:pPr>
        <w:rPr>
          <w:rFonts w:ascii="Times New Roman" w:eastAsia="Times New Roman" w:hAnsi="Times New Roman" w:cs="Times New Roman"/>
        </w:rPr>
      </w:pPr>
    </w:p>
    <w:p w14:paraId="5998918D"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One practical difficulty is that SAE training is unstable. Gao et al. (2024) document failure modes including dead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directions that never activate because training gets stuck and show that reliable results require careful architecture choices. DeepMind addressed this by releasing Gemma Scope (Team, 2024), a suite of pre-trained SAEs for the Gemma 2 model family using the </w:t>
      </w:r>
      <w:proofErr w:type="spellStart"/>
      <w:r>
        <w:rPr>
          <w:rFonts w:ascii="Times New Roman" w:eastAsia="Times New Roman" w:hAnsi="Times New Roman" w:cs="Times New Roman"/>
        </w:rPr>
        <w:t>JumpReLU</w:t>
      </w:r>
      <w:proofErr w:type="spellEnd"/>
      <w:r>
        <w:rPr>
          <w:rFonts w:ascii="Times New Roman" w:eastAsia="Times New Roman" w:hAnsi="Times New Roman" w:cs="Times New Roman"/>
        </w:rPr>
        <w:t xml:space="preserve"> architecture, which produces sparser and more stable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than the standard approach. This project </w:t>
      </w:r>
      <w:r>
        <w:rPr>
          <w:rFonts w:ascii="Times New Roman" w:eastAsia="Times New Roman" w:hAnsi="Times New Roman" w:cs="Times New Roman"/>
        </w:rPr>
        <w:lastRenderedPageBreak/>
        <w:t>loads Gemma Scope SAEs via the SAELens library, which provides a direct interface for attaching pre-trained SAEs to Gemma 2-2B and extracting latent activations during inference.</w:t>
      </w:r>
    </w:p>
    <w:p w14:paraId="4D14C38F" w14:textId="77777777" w:rsidR="007D2732" w:rsidRDefault="007D2732">
      <w:pPr>
        <w:rPr>
          <w:rFonts w:ascii="Times New Roman" w:eastAsia="Times New Roman" w:hAnsi="Times New Roman" w:cs="Times New Roman"/>
        </w:rPr>
      </w:pPr>
    </w:p>
    <w:p w14:paraId="309F3006" w14:textId="77777777" w:rsidR="007D2732" w:rsidRDefault="00000000">
      <w:pPr>
        <w:pStyle w:val="Heading2"/>
        <w:keepNext w:val="0"/>
        <w:keepLines w:val="0"/>
        <w:spacing w:after="80"/>
        <w:rPr>
          <w:rFonts w:ascii="Times New Roman" w:eastAsia="Times New Roman" w:hAnsi="Times New Roman" w:cs="Times New Roman"/>
          <w:b/>
          <w:bCs/>
          <w:sz w:val="24"/>
          <w:szCs w:val="24"/>
        </w:rPr>
      </w:pPr>
      <w:bookmarkStart w:id="1" w:name="_ii5zp4hzg9nr" w:colFirst="0" w:colLast="0"/>
      <w:bookmarkEnd w:id="1"/>
      <w:r>
        <w:rPr>
          <w:rFonts w:ascii="Times New Roman" w:eastAsia="Times New Roman" w:hAnsi="Times New Roman" w:cs="Times New Roman"/>
          <w:b/>
          <w:bCs/>
          <w:sz w:val="24"/>
          <w:szCs w:val="24"/>
        </w:rPr>
        <w:t>Conformal Prediction and Distribution Shift</w:t>
      </w:r>
    </w:p>
    <w:p w14:paraId="66021F4F"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Conformal prediction, introduced by Vovk, </w:t>
      </w:r>
      <w:proofErr w:type="spellStart"/>
      <w:r>
        <w:rPr>
          <w:rFonts w:ascii="Times New Roman" w:eastAsia="Times New Roman" w:hAnsi="Times New Roman" w:cs="Times New Roman"/>
        </w:rPr>
        <w:t>Gammerman</w:t>
      </w:r>
      <w:proofErr w:type="spellEnd"/>
      <w:r>
        <w:rPr>
          <w:rFonts w:ascii="Times New Roman" w:eastAsia="Times New Roman" w:hAnsi="Times New Roman" w:cs="Times New Roman"/>
        </w:rPr>
        <w:t xml:space="preserve"> and Shafer (2005), provides uncertainty quantification with </w:t>
      </w:r>
      <w:proofErr w:type="gramStart"/>
      <w:r>
        <w:rPr>
          <w:rFonts w:ascii="Times New Roman" w:eastAsia="Times New Roman" w:hAnsi="Times New Roman" w:cs="Times New Roman"/>
        </w:rPr>
        <w:t>finite-sample</w:t>
      </w:r>
      <w:proofErr w:type="gramEnd"/>
      <w:r>
        <w:rPr>
          <w:rFonts w:ascii="Times New Roman" w:eastAsia="Times New Roman" w:hAnsi="Times New Roman" w:cs="Times New Roman"/>
        </w:rPr>
        <w:t xml:space="preserve">, distribution-free coverage guarantees. The standard procedure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apply a trained model to a </w:t>
      </w:r>
      <w:proofErr w:type="spellStart"/>
      <w:r>
        <w:rPr>
          <w:rFonts w:ascii="Times New Roman" w:eastAsia="Times New Roman" w:hAnsi="Times New Roman" w:cs="Times New Roman"/>
        </w:rPr>
        <w:t>held</w:t>
      </w:r>
      <w:proofErr w:type="spellEnd"/>
      <w:r>
        <w:rPr>
          <w:rFonts w:ascii="Times New Roman" w:eastAsia="Times New Roman" w:hAnsi="Times New Roman" w:cs="Times New Roman"/>
        </w:rPr>
        <w:t xml:space="preserve">-out calibration set, compute a nonconformity score for each calibration example, use those scores to determine a threshold, and at test time include any label whose nonconformity score falls below the threshold in the prediction set. The guarantee holds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calibration and test data are exchangeable. Angelopoulos and Bates (2021) provide a thorough accessible introduction, and Campos et al. (2024) survey applications in NLP specifically.</w:t>
      </w:r>
    </w:p>
    <w:p w14:paraId="7A77FE53"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6864B42E"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The critical limitation is distribution shift. Lin and Han (2025) study conformal prediction for large language models under domain shift and show that standard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-based scores degrade substantially when test data differs from calibration data. How badly depends on the nonconformity score function. </w:t>
      </w:r>
      <w:proofErr w:type="spellStart"/>
      <w:r>
        <w:rPr>
          <w:rFonts w:ascii="Times New Roman" w:eastAsia="Times New Roman" w:hAnsi="Times New Roman" w:cs="Times New Roman"/>
        </w:rPr>
        <w:t>Tibshirani</w:t>
      </w:r>
      <w:proofErr w:type="spellEnd"/>
      <w:r>
        <w:rPr>
          <w:rFonts w:ascii="Times New Roman" w:eastAsia="Times New Roman" w:hAnsi="Times New Roman" w:cs="Times New Roman"/>
        </w:rPr>
        <w:t xml:space="preserve"> et al. (2019) showed formally that coverage degrades under covariate shift, and that the nonconformity score design determines the severity of this degradation. Quach et al. (2024) extend conformal prediction to generative language models, demonstrating how score design affects practical reliability.</w:t>
      </w:r>
    </w:p>
    <w:p w14:paraId="7A6136A1" w14:textId="77777777" w:rsidR="007D2732" w:rsidRDefault="00000000">
      <w:pPr>
        <w:pStyle w:val="Heading2"/>
        <w:keepNext w:val="0"/>
        <w:keepLines w:val="0"/>
        <w:spacing w:after="80"/>
        <w:rPr>
          <w:rFonts w:ascii="Times New Roman" w:eastAsia="Times New Roman" w:hAnsi="Times New Roman" w:cs="Times New Roman"/>
          <w:b/>
          <w:bCs/>
          <w:sz w:val="24"/>
          <w:szCs w:val="24"/>
        </w:rPr>
      </w:pPr>
      <w:bookmarkStart w:id="2" w:name="_6gkzm97xvulm" w:colFirst="0" w:colLast="0"/>
      <w:bookmarkEnd w:id="2"/>
      <w:r>
        <w:rPr>
          <w:rFonts w:ascii="Times New Roman" w:eastAsia="Times New Roman" w:hAnsi="Times New Roman" w:cs="Times New Roman"/>
          <w:b/>
          <w:bCs/>
          <w:sz w:val="24"/>
          <w:szCs w:val="24"/>
        </w:rPr>
        <w:t>Research Gap and Question</w:t>
      </w:r>
    </w:p>
    <w:p w14:paraId="7E79AA3B"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SAE interpretability research has focused on understanding model internals and steering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Conformal prediction research has focused on coverage guarantees and nonconformity score design. These two lines of work have not been connected. No existing paper uses SAE-derived latent activations as nonconformity scores, or tests whether the internal feature structure of a model provides a more stable uncertainty signal under distribution shift than its output probabilities. This proposal investigates that gap.</w:t>
      </w:r>
    </w:p>
    <w:p w14:paraId="1C84A16E"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2731C683"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b/>
          <w:bCs/>
        </w:rPr>
        <w:t xml:space="preserve">Research question: </w:t>
      </w:r>
      <w:r>
        <w:rPr>
          <w:rFonts w:ascii="Times New Roman" w:eastAsia="Times New Roman" w:hAnsi="Times New Roman" w:cs="Times New Roman"/>
        </w:rPr>
        <w:t xml:space="preserve">Can sparse autoencoder-derived feature representations serve as more reliable nonconformity scores for conformal prediction in text classification tasks, and does this improve coverage robustness under distribution shift compared to standard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-based approaches?</w:t>
      </w:r>
    </w:p>
    <w:p w14:paraId="3B99695B" w14:textId="77777777" w:rsidR="007D2732" w:rsidRDefault="007D2732">
      <w:pPr>
        <w:rPr>
          <w:rFonts w:ascii="Times New Roman" w:eastAsia="Times New Roman" w:hAnsi="Times New Roman" w:cs="Times New Roman"/>
        </w:rPr>
      </w:pPr>
    </w:p>
    <w:p w14:paraId="076B92C4" w14:textId="77777777" w:rsidR="007D2732" w:rsidRDefault="007D2732">
      <w:pPr>
        <w:rPr>
          <w:rFonts w:ascii="Times New Roman" w:eastAsia="Times New Roman" w:hAnsi="Times New Roman" w:cs="Times New Roman"/>
          <w:sz w:val="28"/>
          <w:szCs w:val="28"/>
        </w:rPr>
      </w:pPr>
    </w:p>
    <w:p w14:paraId="44EA205A" w14:textId="77777777" w:rsidR="007D273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Methodology </w:t>
      </w:r>
    </w:p>
    <w:p w14:paraId="64E7EA8B"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This is a computational, empirical study. The research question is comparative, so the appropriate design is a controlled experiment. The independent variable is the nonconformity score </w:t>
      </w:r>
      <w:proofErr w:type="gramStart"/>
      <w:r>
        <w:rPr>
          <w:rFonts w:ascii="Times New Roman" w:eastAsia="Times New Roman" w:hAnsi="Times New Roman" w:cs="Times New Roman"/>
        </w:rPr>
        <w:t xml:space="preserve">function  </w:t>
      </w:r>
      <w:proofErr w:type="spellStart"/>
      <w:r>
        <w:rPr>
          <w:rFonts w:ascii="Times New Roman" w:eastAsia="Times New Roman" w:hAnsi="Times New Roman" w:cs="Times New Roman"/>
        </w:rPr>
        <w:t>softmax</w:t>
      </w:r>
      <w:proofErr w:type="spellEnd"/>
      <w:proofErr w:type="gramEnd"/>
      <w:r>
        <w:rPr>
          <w:rFonts w:ascii="Times New Roman" w:eastAsia="Times New Roman" w:hAnsi="Times New Roman" w:cs="Times New Roman"/>
        </w:rPr>
        <w:t>-based versus SAE-latent-based. The dependent variables are empirical coverage and average prediction set size. No human participants are involved.</w:t>
      </w:r>
    </w:p>
    <w:p w14:paraId="301DCC23"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 </w:t>
      </w:r>
    </w:p>
    <w:p w14:paraId="022D14F0" w14:textId="77777777" w:rsidR="007D2732" w:rsidRDefault="00000000">
      <w:pPr>
        <w:rPr>
          <w:rFonts w:ascii="Times New Roman" w:eastAsia="Times New Roman" w:hAnsi="Times New Roman" w:cs="Times New Roman"/>
        </w:rPr>
      </w:pPr>
      <w:r>
        <w:rPr>
          <w:rFonts w:ascii="Times New Roman" w:eastAsia="Times New Roman" w:hAnsi="Times New Roman" w:cs="Times New Roman"/>
        </w:rPr>
        <w:t xml:space="preserve">The study uses Gemma 2-2B, a two-billion-parameter open model released by Google DeepMind, as the base language model. Gemma Scope provides pre-trained SAEs specifically for Gemma 2-2B at multiple layers, removing the need to train an SAE from scratch a process Gao et al. (2024) identify </w:t>
      </w:r>
      <w:r>
        <w:rPr>
          <w:rFonts w:ascii="Times New Roman" w:eastAsia="Times New Roman" w:hAnsi="Times New Roman" w:cs="Times New Roman"/>
        </w:rPr>
        <w:lastRenderedPageBreak/>
        <w:t>as difficult and prone to failure. The SAELens library provides tooling to load both the model and its corresponding Gemma Scope SAEs, and to extract latent activations during inference</w:t>
      </w:r>
    </w:p>
    <w:p w14:paraId="1688F3D6" w14:textId="77777777" w:rsidR="007D2732" w:rsidRDefault="00000000">
      <w:pPr>
        <w:rPr>
          <w:rFonts w:ascii="Times New Roman" w:eastAsia="Times New Roman" w:hAnsi="Times New Roman" w:cs="Times New Roman"/>
        </w:rPr>
      </w:pPr>
      <w:proofErr w:type="spellStart"/>
      <w:r>
        <w:rPr>
          <w:rFonts w:ascii="Times New Roman" w:eastAsia="Times New Roman" w:hAnsi="Times New Roman" w:cs="Times New Roman"/>
        </w:rPr>
        <w:t>Neuronpedia</w:t>
      </w:r>
      <w:proofErr w:type="spellEnd"/>
      <w:r>
        <w:rPr>
          <w:rFonts w:ascii="Times New Roman" w:eastAsia="Times New Roman" w:hAnsi="Times New Roman" w:cs="Times New Roman"/>
        </w:rPr>
        <w:t xml:space="preserve">, an open interpretability platform, will be used to verify that the specific SAE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selected for the nonconformity score correspond to genuinely interpretable features. This verification step is important: using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that do not correspond to real semantic content would undermine the motivating hypothesis.</w:t>
      </w:r>
    </w:p>
    <w:p w14:paraId="1EFF1883" w14:textId="77777777" w:rsidR="007D2732" w:rsidRDefault="007D2732">
      <w:pPr>
        <w:rPr>
          <w:rFonts w:ascii="Times New Roman" w:eastAsia="Times New Roman" w:hAnsi="Times New Roman" w:cs="Times New Roman"/>
        </w:rPr>
      </w:pPr>
    </w:p>
    <w:p w14:paraId="3B5C13CF" w14:textId="77777777" w:rsidR="007D273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1: Baseline conformal prediction</w:t>
      </w:r>
    </w:p>
    <w:p w14:paraId="5670CB35"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Gemma 2-2B will be used as a text classifier by appending a classification prompt to each input and reading the model's output probabilities over the label tokens. Conformal prediction will be applied using two established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-based nonconformity scores: LAC, which uses one minus the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probability of the true label, and RAPS, a </w:t>
      </w:r>
      <w:proofErr w:type="spellStart"/>
      <w:r>
        <w:rPr>
          <w:rFonts w:ascii="Times New Roman" w:eastAsia="Times New Roman" w:hAnsi="Times New Roman" w:cs="Times New Roman"/>
        </w:rPr>
        <w:t>regularised</w:t>
      </w:r>
      <w:proofErr w:type="spellEnd"/>
      <w:r>
        <w:rPr>
          <w:rFonts w:ascii="Times New Roman" w:eastAsia="Times New Roman" w:hAnsi="Times New Roman" w:cs="Times New Roman"/>
        </w:rPr>
        <w:t xml:space="preserve"> adaptive version shown to perform well across NLP classification tasks (Angelopoulos et al., 2021). These two baselines will be evaluated on a held-out test set drawn from the same distribution as the calibration data, recording empirical coverage and average set size.</w:t>
      </w:r>
    </w:p>
    <w:p w14:paraId="40309662" w14:textId="77777777" w:rsidR="007D273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2: SAE feature extraction</w:t>
      </w:r>
    </w:p>
    <w:p w14:paraId="2305F72F"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Using SAELens, the corresponding Gemma Scope SAE for a mid-to-late layer of Gemma 2-2B will be loaded and hooked into the model's residual stream. For each input, the SAE produces a sparse vector of latent activations: a high-dimensional representation where most entries are zero and only a small number of semantically active features are non-zero. This sparse vector is extracted per input and stored for use in Phase 3.</w:t>
      </w:r>
    </w:p>
    <w:p w14:paraId="36E887CA"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residual stream is the appropriate hook point because it accumulates the full representational state of the model at each layer; it is the running sum of all information the model has processed so far. Hooking at a mid-to-late layer captures features after the model has built up a reasonably complete representation of the input but before the final output computation.</w:t>
      </w:r>
    </w:p>
    <w:p w14:paraId="11AE0F53" w14:textId="77777777" w:rsidR="007D273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3: SAE-based nonconformity score</w:t>
      </w:r>
    </w:p>
    <w:p w14:paraId="5D8EACCE"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sparse latent vector for each calibration example is collected. A nonconformity score is then constructed based on how unusual a test example's latent pattern is relative to the calibration distribution. The specific formulation compares each input's latent vector to the class-conditional mean latent vector from the calibration set, using cosine distance as the measure. An example is considered nonconforming if its latent pattern is far from what calibration examples of that class looked like. The threshold is calibrated in the same way as Phase 1 to achieve the target coverage level.</w:t>
      </w:r>
    </w:p>
    <w:p w14:paraId="458849E1" w14:textId="77777777" w:rsidR="007D273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4: Distribution shift evaluation</w:t>
      </w:r>
    </w:p>
    <w:p w14:paraId="18871DEC"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Both the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baseline and the SAE-based score will be tested under two distribution shift conditions. The first is cross-domain shift: the system is calibrated on one text domain and evaluated on a second with different writing style and vocabulary. The second is within-distribution shift using known demographic or temporal splits in a dataset. Coverage and efficiency metrics will be compared across conditions.</w:t>
      </w:r>
    </w:p>
    <w:p w14:paraId="1293B0C4" w14:textId="77777777" w:rsidR="007D2732" w:rsidRDefault="00000000">
      <w:pPr>
        <w:pStyle w:val="Heading2"/>
        <w:keepNext w:val="0"/>
        <w:keepLines w:val="0"/>
        <w:spacing w:after="80"/>
        <w:rPr>
          <w:rFonts w:ascii="Times New Roman" w:eastAsia="Times New Roman" w:hAnsi="Times New Roman" w:cs="Times New Roman"/>
          <w:b/>
          <w:bCs/>
          <w:sz w:val="24"/>
          <w:szCs w:val="24"/>
        </w:rPr>
      </w:pPr>
      <w:bookmarkStart w:id="3" w:name="_vy9zebwpk067" w:colFirst="0" w:colLast="0"/>
      <w:bookmarkEnd w:id="3"/>
      <w:r>
        <w:rPr>
          <w:rFonts w:ascii="Times New Roman" w:eastAsia="Times New Roman" w:hAnsi="Times New Roman" w:cs="Times New Roman"/>
          <w:b/>
          <w:bCs/>
          <w:sz w:val="24"/>
          <w:szCs w:val="24"/>
        </w:rPr>
        <w:lastRenderedPageBreak/>
        <w:t>Why Not Other Methods</w:t>
      </w:r>
    </w:p>
    <w:p w14:paraId="46F1145D" w14:textId="77777777" w:rsidR="007D273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Bayesian uncertainty quantification and ensemble methods were considered and rejected. Both require changes to the model architecture or training procedure, which would make the comparison unfair. They also lack conformal prediction's formal coverage guarantee, meaning they cannot be evaluated against the same benchmark. Conformal prediction was chosen because it can be applied identically to both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and SAE-based scores.</w:t>
      </w:r>
    </w:p>
    <w:p w14:paraId="29A7005D" w14:textId="77777777" w:rsidR="007D2732" w:rsidRDefault="00000000">
      <w:pPr>
        <w:pStyle w:val="Heading1"/>
        <w:keepNext w:val="0"/>
        <w:keepLines w:val="0"/>
        <w:spacing w:before="480"/>
        <w:rPr>
          <w:rFonts w:ascii="Times New Roman" w:eastAsia="Times New Roman" w:hAnsi="Times New Roman" w:cs="Times New Roman"/>
          <w:b/>
          <w:bCs/>
          <w:sz w:val="28"/>
          <w:szCs w:val="28"/>
        </w:rPr>
      </w:pPr>
      <w:bookmarkStart w:id="4" w:name="_yp5sqv3jiprn" w:colFirst="0" w:colLast="0"/>
      <w:bookmarkEnd w:id="4"/>
      <w:r>
        <w:rPr>
          <w:rFonts w:ascii="Times New Roman" w:eastAsia="Times New Roman" w:hAnsi="Times New Roman" w:cs="Times New Roman"/>
          <w:b/>
          <w:bCs/>
          <w:sz w:val="28"/>
          <w:szCs w:val="28"/>
        </w:rPr>
        <w:t>Preliminary Implementation Results</w:t>
      </w:r>
    </w:p>
    <w:p w14:paraId="06C5BBB1" w14:textId="77777777" w:rsidR="007D2732" w:rsidRDefault="00000000">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validate the experimental pipeline and demonstrate feasibility, a small-scale </w:t>
      </w:r>
      <w:proofErr w:type="gramStart"/>
      <w:r>
        <w:rPr>
          <w:rFonts w:ascii="Times New Roman" w:eastAsia="Times New Roman" w:hAnsi="Times New Roman" w:cs="Times New Roman"/>
          <w:sz w:val="24"/>
          <w:szCs w:val="24"/>
        </w:rPr>
        <w:t>proof-of-concept</w:t>
      </w:r>
      <w:proofErr w:type="gramEnd"/>
      <w:r>
        <w:rPr>
          <w:rFonts w:ascii="Times New Roman" w:eastAsia="Times New Roman" w:hAnsi="Times New Roman" w:cs="Times New Roman"/>
          <w:sz w:val="24"/>
          <w:szCs w:val="24"/>
        </w:rPr>
        <w:t xml:space="preserve"> implementation was conducted using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Pro (T4 GPU). The implementation used Gemma 2-2B loaded via SAELens with the Gemma Scope SAE at layer 20 (width 16k, average L0 71). IMDb Sentiment was used as the in-distribution dataset (500 calibration examples, 200 test examples). AG News Topic Classification served as the out-of-distribution domain. Both LAC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-based) and SAE-based conformal prediction were implemented and evaluated at a target coverage of 90% (α = 0.1). The results are shown in Table 1 below.</w:t>
      </w:r>
    </w:p>
    <w:p w14:paraId="6ABE28D9" w14:textId="77777777" w:rsidR="007D2732" w:rsidRDefault="00000000">
      <w:pPr>
        <w:spacing w:before="8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320BD7" w14:textId="77777777" w:rsidR="007D2732" w:rsidRDefault="00000000">
      <w:pPr>
        <w:spacing w:before="80" w:after="80"/>
        <w:jc w:val="cente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Table 1: Preliminary Results -Coverage and Average Prediction Set Size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5"/>
        <w:gridCol w:w="2274"/>
        <w:gridCol w:w="2259"/>
        <w:gridCol w:w="2217"/>
      </w:tblGrid>
      <w:tr w:rsidR="007D2732" w14:paraId="57FE73E8" w14:textId="77777777">
        <w:trPr>
          <w:trHeight w:val="345"/>
        </w:trPr>
        <w:tc>
          <w:tcPr>
            <w:tcW w:w="2274" w:type="dxa"/>
            <w:tcBorders>
              <w:top w:val="single" w:sz="8" w:space="0" w:color="AAAAAA"/>
              <w:left w:val="single" w:sz="8" w:space="0" w:color="AAAAAA"/>
              <w:bottom w:val="single" w:sz="8" w:space="0" w:color="AAAAAA"/>
              <w:right w:val="single" w:sz="8" w:space="0" w:color="AAAAAA"/>
            </w:tcBorders>
            <w:shd w:val="clear" w:color="auto" w:fill="999999"/>
            <w:tcMar>
              <w:top w:w="60" w:type="dxa"/>
              <w:left w:w="80" w:type="dxa"/>
              <w:bottom w:w="60" w:type="dxa"/>
              <w:right w:w="80" w:type="dxa"/>
            </w:tcMar>
          </w:tcPr>
          <w:p w14:paraId="46FCE603" w14:textId="77777777" w:rsidR="007D2732"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t>Method</w:t>
            </w:r>
          </w:p>
        </w:tc>
        <w:tc>
          <w:tcPr>
            <w:tcW w:w="2274" w:type="dxa"/>
            <w:tcBorders>
              <w:top w:val="single" w:sz="8" w:space="0" w:color="AAAAAA"/>
              <w:left w:val="nil"/>
              <w:bottom w:val="single" w:sz="8" w:space="0" w:color="AAAAAA"/>
              <w:right w:val="single" w:sz="8" w:space="0" w:color="AAAAAA"/>
            </w:tcBorders>
            <w:shd w:val="clear" w:color="auto" w:fill="999999"/>
            <w:tcMar>
              <w:top w:w="60" w:type="dxa"/>
              <w:left w:w="80" w:type="dxa"/>
              <w:bottom w:w="60" w:type="dxa"/>
              <w:right w:w="80" w:type="dxa"/>
            </w:tcMar>
          </w:tcPr>
          <w:p w14:paraId="6F10CFB0" w14:textId="77777777" w:rsidR="007D2732"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t>Test Condition</w:t>
            </w:r>
          </w:p>
        </w:tc>
        <w:tc>
          <w:tcPr>
            <w:tcW w:w="2259" w:type="dxa"/>
            <w:tcBorders>
              <w:top w:val="single" w:sz="8" w:space="0" w:color="AAAAAA"/>
              <w:left w:val="nil"/>
              <w:bottom w:val="single" w:sz="8" w:space="0" w:color="AAAAAA"/>
              <w:right w:val="single" w:sz="8" w:space="0" w:color="AAAAAA"/>
            </w:tcBorders>
            <w:shd w:val="clear" w:color="auto" w:fill="999999"/>
            <w:tcMar>
              <w:top w:w="60" w:type="dxa"/>
              <w:left w:w="80" w:type="dxa"/>
              <w:bottom w:w="60" w:type="dxa"/>
              <w:right w:w="80" w:type="dxa"/>
            </w:tcMar>
          </w:tcPr>
          <w:p w14:paraId="72FC8187" w14:textId="77777777" w:rsidR="007D2732"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t>Coverage</w:t>
            </w:r>
          </w:p>
        </w:tc>
        <w:tc>
          <w:tcPr>
            <w:tcW w:w="2217" w:type="dxa"/>
            <w:tcBorders>
              <w:top w:val="single" w:sz="8" w:space="0" w:color="AAAAAA"/>
              <w:left w:val="nil"/>
              <w:bottom w:val="single" w:sz="8" w:space="0" w:color="AAAAAA"/>
              <w:right w:val="single" w:sz="8" w:space="0" w:color="AAAAAA"/>
            </w:tcBorders>
            <w:shd w:val="clear" w:color="auto" w:fill="999999"/>
            <w:tcMar>
              <w:top w:w="60" w:type="dxa"/>
              <w:left w:w="80" w:type="dxa"/>
              <w:bottom w:w="60" w:type="dxa"/>
              <w:right w:w="80" w:type="dxa"/>
            </w:tcMar>
          </w:tcPr>
          <w:p w14:paraId="5C021C24" w14:textId="77777777" w:rsidR="007D2732"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t>Avg Set Size</w:t>
            </w:r>
          </w:p>
        </w:tc>
      </w:tr>
      <w:tr w:rsidR="007D2732" w14:paraId="7112E156" w14:textId="77777777">
        <w:trPr>
          <w:trHeight w:val="345"/>
        </w:trPr>
        <w:tc>
          <w:tcPr>
            <w:tcW w:w="2274" w:type="dxa"/>
            <w:tcBorders>
              <w:top w:val="nil"/>
              <w:left w:val="single" w:sz="8" w:space="0" w:color="AAAAAA"/>
              <w:bottom w:val="single" w:sz="8" w:space="0" w:color="AAAAAA"/>
              <w:right w:val="single" w:sz="8" w:space="0" w:color="AAAAAA"/>
            </w:tcBorders>
            <w:tcMar>
              <w:top w:w="60" w:type="dxa"/>
              <w:left w:w="80" w:type="dxa"/>
              <w:bottom w:w="60" w:type="dxa"/>
              <w:right w:w="80" w:type="dxa"/>
            </w:tcMar>
          </w:tcPr>
          <w:p w14:paraId="57B17B86" w14:textId="77777777" w:rsidR="007D2732" w:rsidRDefault="00000000">
            <w:pPr>
              <w:spacing w:before="240" w:after="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LAC (</w:t>
            </w:r>
            <w:proofErr w:type="spellStart"/>
            <w:r>
              <w:rPr>
                <w:rFonts w:ascii="Times New Roman" w:eastAsia="Times New Roman" w:hAnsi="Times New Roman" w:cs="Times New Roman"/>
                <w:b/>
                <w:bCs/>
                <w:sz w:val="20"/>
                <w:szCs w:val="20"/>
              </w:rPr>
              <w:t>Softmax</w:t>
            </w:r>
            <w:proofErr w:type="spellEnd"/>
            <w:r>
              <w:rPr>
                <w:rFonts w:ascii="Times New Roman" w:eastAsia="Times New Roman" w:hAnsi="Times New Roman" w:cs="Times New Roman"/>
                <w:b/>
                <w:bCs/>
                <w:sz w:val="20"/>
                <w:szCs w:val="20"/>
              </w:rPr>
              <w:t>)</w:t>
            </w:r>
          </w:p>
        </w:tc>
        <w:tc>
          <w:tcPr>
            <w:tcW w:w="2274" w:type="dxa"/>
            <w:tcBorders>
              <w:top w:val="nil"/>
              <w:left w:val="nil"/>
              <w:bottom w:val="single" w:sz="8" w:space="0" w:color="AAAAAA"/>
              <w:right w:val="single" w:sz="8" w:space="0" w:color="AAAAAA"/>
            </w:tcBorders>
            <w:tcMar>
              <w:top w:w="60" w:type="dxa"/>
              <w:left w:w="80" w:type="dxa"/>
              <w:bottom w:w="60" w:type="dxa"/>
              <w:right w:w="80" w:type="dxa"/>
            </w:tcMar>
          </w:tcPr>
          <w:p w14:paraId="4EDCA144"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In-distribution (IMDb)</w:t>
            </w:r>
          </w:p>
        </w:tc>
        <w:tc>
          <w:tcPr>
            <w:tcW w:w="2259" w:type="dxa"/>
            <w:tcBorders>
              <w:top w:val="nil"/>
              <w:left w:val="nil"/>
              <w:bottom w:val="single" w:sz="8" w:space="0" w:color="AAAAAA"/>
              <w:right w:val="single" w:sz="8" w:space="0" w:color="AAAAAA"/>
            </w:tcBorders>
            <w:tcMar>
              <w:top w:w="60" w:type="dxa"/>
              <w:left w:w="80" w:type="dxa"/>
              <w:bottom w:w="60" w:type="dxa"/>
              <w:right w:w="80" w:type="dxa"/>
            </w:tcMar>
          </w:tcPr>
          <w:p w14:paraId="01238287"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2217" w:type="dxa"/>
            <w:tcBorders>
              <w:top w:val="nil"/>
              <w:left w:val="nil"/>
              <w:bottom w:val="single" w:sz="8" w:space="0" w:color="AAAAAA"/>
              <w:right w:val="single" w:sz="8" w:space="0" w:color="AAAAAA"/>
            </w:tcBorders>
            <w:tcMar>
              <w:top w:w="60" w:type="dxa"/>
              <w:left w:w="80" w:type="dxa"/>
              <w:bottom w:w="60" w:type="dxa"/>
              <w:right w:w="80" w:type="dxa"/>
            </w:tcMar>
          </w:tcPr>
          <w:p w14:paraId="4A5319D5"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w:t>
            </w:r>
          </w:p>
        </w:tc>
      </w:tr>
      <w:tr w:rsidR="007D2732" w14:paraId="3713B0B7" w14:textId="77777777">
        <w:trPr>
          <w:trHeight w:val="345"/>
        </w:trPr>
        <w:tc>
          <w:tcPr>
            <w:tcW w:w="2274" w:type="dxa"/>
            <w:tcBorders>
              <w:top w:val="nil"/>
              <w:left w:val="single" w:sz="8" w:space="0" w:color="AAAAAA"/>
              <w:bottom w:val="single" w:sz="8" w:space="0" w:color="AAAAAA"/>
              <w:right w:val="single" w:sz="8" w:space="0" w:color="AAAAAA"/>
            </w:tcBorders>
            <w:tcMar>
              <w:top w:w="60" w:type="dxa"/>
              <w:left w:w="80" w:type="dxa"/>
              <w:bottom w:w="60" w:type="dxa"/>
              <w:right w:w="80" w:type="dxa"/>
            </w:tcMar>
          </w:tcPr>
          <w:p w14:paraId="7C5B8731" w14:textId="77777777" w:rsidR="007D2732" w:rsidRDefault="00000000">
            <w:pPr>
              <w:spacing w:before="240" w:after="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SAE-Based CP</w:t>
            </w:r>
          </w:p>
        </w:tc>
        <w:tc>
          <w:tcPr>
            <w:tcW w:w="2274" w:type="dxa"/>
            <w:tcBorders>
              <w:top w:val="nil"/>
              <w:left w:val="nil"/>
              <w:bottom w:val="single" w:sz="8" w:space="0" w:color="AAAAAA"/>
              <w:right w:val="single" w:sz="8" w:space="0" w:color="AAAAAA"/>
            </w:tcBorders>
            <w:tcMar>
              <w:top w:w="60" w:type="dxa"/>
              <w:left w:w="80" w:type="dxa"/>
              <w:bottom w:w="60" w:type="dxa"/>
              <w:right w:w="80" w:type="dxa"/>
            </w:tcMar>
          </w:tcPr>
          <w:p w14:paraId="5E5E52D1"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In-distribution (IMDb)</w:t>
            </w:r>
          </w:p>
        </w:tc>
        <w:tc>
          <w:tcPr>
            <w:tcW w:w="2259" w:type="dxa"/>
            <w:tcBorders>
              <w:top w:val="nil"/>
              <w:left w:val="nil"/>
              <w:bottom w:val="single" w:sz="8" w:space="0" w:color="AAAAAA"/>
              <w:right w:val="single" w:sz="8" w:space="0" w:color="AAAAAA"/>
            </w:tcBorders>
            <w:tcMar>
              <w:top w:w="60" w:type="dxa"/>
              <w:left w:w="80" w:type="dxa"/>
              <w:bottom w:w="60" w:type="dxa"/>
              <w:right w:w="80" w:type="dxa"/>
            </w:tcMar>
          </w:tcPr>
          <w:p w14:paraId="639C0B0B"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93%</w:t>
            </w:r>
          </w:p>
        </w:tc>
        <w:tc>
          <w:tcPr>
            <w:tcW w:w="2217" w:type="dxa"/>
            <w:tcBorders>
              <w:top w:val="nil"/>
              <w:left w:val="nil"/>
              <w:bottom w:val="single" w:sz="8" w:space="0" w:color="AAAAAA"/>
              <w:right w:val="single" w:sz="8" w:space="0" w:color="AAAAAA"/>
            </w:tcBorders>
            <w:tcMar>
              <w:top w:w="60" w:type="dxa"/>
              <w:left w:w="80" w:type="dxa"/>
              <w:bottom w:w="60" w:type="dxa"/>
              <w:right w:w="80" w:type="dxa"/>
            </w:tcMar>
          </w:tcPr>
          <w:p w14:paraId="74608D25"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1.82</w:t>
            </w:r>
          </w:p>
        </w:tc>
      </w:tr>
      <w:tr w:rsidR="007D2732" w14:paraId="38978004" w14:textId="77777777">
        <w:trPr>
          <w:trHeight w:val="555"/>
        </w:trPr>
        <w:tc>
          <w:tcPr>
            <w:tcW w:w="2274" w:type="dxa"/>
            <w:tcBorders>
              <w:top w:val="nil"/>
              <w:left w:val="single" w:sz="8" w:space="0" w:color="AAAAAA"/>
              <w:bottom w:val="single" w:sz="8" w:space="0" w:color="AAAAAA"/>
              <w:right w:val="single" w:sz="8" w:space="0" w:color="AAAAAA"/>
            </w:tcBorders>
            <w:tcMar>
              <w:top w:w="60" w:type="dxa"/>
              <w:left w:w="80" w:type="dxa"/>
              <w:bottom w:w="60" w:type="dxa"/>
              <w:right w:w="80" w:type="dxa"/>
            </w:tcMar>
          </w:tcPr>
          <w:p w14:paraId="096F2218" w14:textId="77777777" w:rsidR="007D2732" w:rsidRDefault="00000000">
            <w:pPr>
              <w:spacing w:before="240" w:after="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LAC (</w:t>
            </w:r>
            <w:proofErr w:type="spellStart"/>
            <w:r>
              <w:rPr>
                <w:rFonts w:ascii="Times New Roman" w:eastAsia="Times New Roman" w:hAnsi="Times New Roman" w:cs="Times New Roman"/>
                <w:b/>
                <w:bCs/>
                <w:sz w:val="20"/>
                <w:szCs w:val="20"/>
              </w:rPr>
              <w:t>Softmax</w:t>
            </w:r>
            <w:proofErr w:type="spellEnd"/>
            <w:r>
              <w:rPr>
                <w:rFonts w:ascii="Times New Roman" w:eastAsia="Times New Roman" w:hAnsi="Times New Roman" w:cs="Times New Roman"/>
                <w:b/>
                <w:bCs/>
                <w:sz w:val="20"/>
                <w:szCs w:val="20"/>
              </w:rPr>
              <w:t>)</w:t>
            </w:r>
          </w:p>
        </w:tc>
        <w:tc>
          <w:tcPr>
            <w:tcW w:w="2274" w:type="dxa"/>
            <w:tcBorders>
              <w:top w:val="nil"/>
              <w:left w:val="nil"/>
              <w:bottom w:val="single" w:sz="8" w:space="0" w:color="AAAAAA"/>
              <w:right w:val="single" w:sz="8" w:space="0" w:color="AAAAAA"/>
            </w:tcBorders>
            <w:tcMar>
              <w:top w:w="60" w:type="dxa"/>
              <w:left w:w="80" w:type="dxa"/>
              <w:bottom w:w="60" w:type="dxa"/>
              <w:right w:w="80" w:type="dxa"/>
            </w:tcMar>
          </w:tcPr>
          <w:p w14:paraId="077B9C62"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Out-of-distribution (AG News)</w:t>
            </w:r>
          </w:p>
        </w:tc>
        <w:tc>
          <w:tcPr>
            <w:tcW w:w="2259" w:type="dxa"/>
            <w:tcBorders>
              <w:top w:val="nil"/>
              <w:left w:val="nil"/>
              <w:bottom w:val="single" w:sz="8" w:space="0" w:color="AAAAAA"/>
              <w:right w:val="single" w:sz="8" w:space="0" w:color="AAAAAA"/>
            </w:tcBorders>
            <w:tcMar>
              <w:top w:w="60" w:type="dxa"/>
              <w:left w:w="80" w:type="dxa"/>
              <w:bottom w:w="60" w:type="dxa"/>
              <w:right w:w="80" w:type="dxa"/>
            </w:tcMar>
          </w:tcPr>
          <w:p w14:paraId="2C2B0EC7"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217" w:type="dxa"/>
            <w:tcBorders>
              <w:top w:val="nil"/>
              <w:left w:val="nil"/>
              <w:bottom w:val="single" w:sz="8" w:space="0" w:color="AAAAAA"/>
              <w:right w:val="single" w:sz="8" w:space="0" w:color="AAAAAA"/>
            </w:tcBorders>
            <w:tcMar>
              <w:top w:w="60" w:type="dxa"/>
              <w:left w:w="80" w:type="dxa"/>
              <w:bottom w:w="60" w:type="dxa"/>
              <w:right w:w="80" w:type="dxa"/>
            </w:tcMar>
          </w:tcPr>
          <w:p w14:paraId="0AE2C475"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w:t>
            </w:r>
          </w:p>
        </w:tc>
      </w:tr>
      <w:tr w:rsidR="007D2732" w14:paraId="54E0E25A" w14:textId="77777777">
        <w:trPr>
          <w:trHeight w:val="555"/>
        </w:trPr>
        <w:tc>
          <w:tcPr>
            <w:tcW w:w="2274" w:type="dxa"/>
            <w:tcBorders>
              <w:top w:val="nil"/>
              <w:left w:val="single" w:sz="8" w:space="0" w:color="AAAAAA"/>
              <w:bottom w:val="single" w:sz="8" w:space="0" w:color="AAAAAA"/>
              <w:right w:val="single" w:sz="8" w:space="0" w:color="AAAAAA"/>
            </w:tcBorders>
            <w:tcMar>
              <w:top w:w="60" w:type="dxa"/>
              <w:left w:w="80" w:type="dxa"/>
              <w:bottom w:w="60" w:type="dxa"/>
              <w:right w:w="80" w:type="dxa"/>
            </w:tcMar>
          </w:tcPr>
          <w:p w14:paraId="2716E62E" w14:textId="77777777" w:rsidR="007D2732" w:rsidRDefault="00000000">
            <w:pPr>
              <w:spacing w:before="240" w:after="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SAE-Based CP</w:t>
            </w:r>
          </w:p>
        </w:tc>
        <w:tc>
          <w:tcPr>
            <w:tcW w:w="2274" w:type="dxa"/>
            <w:tcBorders>
              <w:top w:val="nil"/>
              <w:left w:val="nil"/>
              <w:bottom w:val="single" w:sz="8" w:space="0" w:color="AAAAAA"/>
              <w:right w:val="single" w:sz="8" w:space="0" w:color="AAAAAA"/>
            </w:tcBorders>
            <w:tcMar>
              <w:top w:w="60" w:type="dxa"/>
              <w:left w:w="80" w:type="dxa"/>
              <w:bottom w:w="60" w:type="dxa"/>
              <w:right w:w="80" w:type="dxa"/>
            </w:tcMar>
          </w:tcPr>
          <w:p w14:paraId="34894C8D"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Out-of-distribution (AG News)</w:t>
            </w:r>
          </w:p>
        </w:tc>
        <w:tc>
          <w:tcPr>
            <w:tcW w:w="2259" w:type="dxa"/>
            <w:tcBorders>
              <w:top w:val="nil"/>
              <w:left w:val="nil"/>
              <w:bottom w:val="single" w:sz="8" w:space="0" w:color="AAAAAA"/>
              <w:right w:val="single" w:sz="8" w:space="0" w:color="AAAAAA"/>
            </w:tcBorders>
            <w:tcMar>
              <w:top w:w="60" w:type="dxa"/>
              <w:left w:w="80" w:type="dxa"/>
              <w:bottom w:w="60" w:type="dxa"/>
              <w:right w:w="80" w:type="dxa"/>
            </w:tcMar>
          </w:tcPr>
          <w:p w14:paraId="124A8EE6"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217" w:type="dxa"/>
            <w:tcBorders>
              <w:top w:val="nil"/>
              <w:left w:val="nil"/>
              <w:bottom w:val="single" w:sz="8" w:space="0" w:color="AAAAAA"/>
              <w:right w:val="single" w:sz="8" w:space="0" w:color="AAAAAA"/>
            </w:tcBorders>
            <w:tcMar>
              <w:top w:w="60" w:type="dxa"/>
              <w:left w:w="80" w:type="dxa"/>
              <w:bottom w:w="60" w:type="dxa"/>
              <w:right w:w="80" w:type="dxa"/>
            </w:tcMar>
          </w:tcPr>
          <w:p w14:paraId="5158C095" w14:textId="77777777" w:rsidR="007D2732"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1.73</w:t>
            </w:r>
          </w:p>
        </w:tc>
      </w:tr>
    </w:tbl>
    <w:p w14:paraId="525888CF" w14:textId="77777777" w:rsidR="007D2732" w:rsidRDefault="00000000">
      <w:pPr>
        <w:spacing w:before="8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855F8B" w14:textId="77777777" w:rsidR="007D2732" w:rsidRDefault="00000000">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rPr>
        <w:t xml:space="preserve">Several observations are worth noting. First, the LAC baseline achieved 100% coverage on in-distribution data (above the 90% target, as expected for a conservative method). The SAE-based approach achieved 93% coverage, which also satisfies the 90% guarantee. Second, the SAE-based method produced smaller average prediction sets (1.82 versus 2.00), suggesting it is more efficient — it achieves valid coverage while being more decisive. Third, under out-of-distribution conditions (AG News), the SAE-based approach again produced smaller average sets (1.73 versus 2.00), which may reflect that SAE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are more domain-sensitive and appropriately express greater certainty on </w:t>
      </w:r>
      <w:r>
        <w:rPr>
          <w:rFonts w:ascii="Times New Roman" w:eastAsia="Times New Roman" w:hAnsi="Times New Roman" w:cs="Times New Roman"/>
        </w:rPr>
        <w:lastRenderedPageBreak/>
        <w:t>examples that, while from a different domain, map onto familiar feature patterns. These preliminary results are consistent with the central hypothesis and provide sufficient justification to proceed to full dissertation-scale experiments.</w:t>
      </w:r>
    </w:p>
    <w:p w14:paraId="7CAF1203" w14:textId="77777777" w:rsidR="007D2732"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w:t>
      </w:r>
    </w:p>
    <w:p w14:paraId="6352F7F8" w14:textId="77777777" w:rsidR="007D273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 human participants are required. All data comes from existing, publicly available datasets. Three datasets will be used across the experiments.</w:t>
      </w:r>
    </w:p>
    <w:p w14:paraId="00FFE11B"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IMDb Sentiment Dataset</w:t>
      </w:r>
      <w:r>
        <w:rPr>
          <w:rFonts w:ascii="Times New Roman" w:eastAsia="Times New Roman" w:hAnsi="Times New Roman" w:cs="Times New Roman"/>
        </w:rPr>
        <w:t xml:space="preserve"> contains 50,000 movie reviews labelled as positive or negative. It is clean, balanced, and widely used as a standard benchmark for text classification under conformal prediction, which makes it easy to compare results against existing work.</w:t>
      </w:r>
    </w:p>
    <w:p w14:paraId="736B6D85"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AG News Topic Classification Dataset</w:t>
      </w:r>
      <w:r>
        <w:rPr>
          <w:rFonts w:ascii="Times New Roman" w:eastAsia="Times New Roman" w:hAnsi="Times New Roman" w:cs="Times New Roman"/>
        </w:rPr>
        <w:t xml:space="preserve"> contains 120,000 news articles across four categories World, Sports, Business, and Science/Technology. It represents a distinct domain from film reviews, with formal journalistic writing, different vocabulary, and different topic distributions. It is used as the primary out-of-distribution test domain.</w:t>
      </w:r>
    </w:p>
    <w:p w14:paraId="7B5587AB"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Amazon Product Reviews Dataset</w:t>
      </w:r>
      <w:r>
        <w:rPr>
          <w:rFonts w:ascii="Times New Roman" w:eastAsia="Times New Roman" w:hAnsi="Times New Roman" w:cs="Times New Roman"/>
        </w:rPr>
        <w:t xml:space="preserve"> provides a third domain with informal consumer writing</w:t>
      </w:r>
      <w:proofErr w:type="gramStart"/>
      <w:r>
        <w:rPr>
          <w:rFonts w:ascii="Times New Roman" w:eastAsia="Times New Roman" w:hAnsi="Times New Roman" w:cs="Times New Roman"/>
        </w:rPr>
        <w:t xml:space="preserve"> different</w:t>
      </w:r>
      <w:proofErr w:type="gramEnd"/>
      <w:r>
        <w:rPr>
          <w:rFonts w:ascii="Times New Roman" w:eastAsia="Times New Roman" w:hAnsi="Times New Roman" w:cs="Times New Roman"/>
        </w:rPr>
        <w:t xml:space="preserve"> again from both news and film. It extends the range of distribution shifts tested.</w:t>
      </w:r>
    </w:p>
    <w:p w14:paraId="1B429659"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All three datasets are freely accessible through </w:t>
      </w:r>
      <w:proofErr w:type="spellStart"/>
      <w:r>
        <w:rPr>
          <w:rFonts w:ascii="Times New Roman" w:eastAsia="Times New Roman" w:hAnsi="Times New Roman" w:cs="Times New Roman"/>
        </w:rPr>
        <w:t>HuggingFace</w:t>
      </w:r>
      <w:proofErr w:type="spellEnd"/>
      <w:r>
        <w:rPr>
          <w:rFonts w:ascii="Times New Roman" w:eastAsia="Times New Roman" w:hAnsi="Times New Roman" w:cs="Times New Roman"/>
        </w:rPr>
        <w:t xml:space="preserve"> Datasets and require no special licensing or ethical approval. Gemma 2-2B model weights are available through </w:t>
      </w:r>
      <w:proofErr w:type="spellStart"/>
      <w:r>
        <w:rPr>
          <w:rFonts w:ascii="Times New Roman" w:eastAsia="Times New Roman" w:hAnsi="Times New Roman" w:cs="Times New Roman"/>
        </w:rPr>
        <w:t>HuggingFace</w:t>
      </w:r>
      <w:proofErr w:type="spellEnd"/>
      <w:r>
        <w:rPr>
          <w:rFonts w:ascii="Times New Roman" w:eastAsia="Times New Roman" w:hAnsi="Times New Roman" w:cs="Times New Roman"/>
        </w:rPr>
        <w:t xml:space="preserve"> under Google's model terms. Gemma Scope SAE weights are publicly released by DeepMind. The SAELens library is </w:t>
      </w:r>
      <w:proofErr w:type="gramStart"/>
      <w:r>
        <w:rPr>
          <w:rFonts w:ascii="Times New Roman" w:eastAsia="Times New Roman" w:hAnsi="Times New Roman" w:cs="Times New Roman"/>
        </w:rPr>
        <w:t>open-source</w:t>
      </w:r>
      <w:proofErr w:type="gramEnd"/>
      <w:r>
        <w:rPr>
          <w:rFonts w:ascii="Times New Roman" w:eastAsia="Times New Roman" w:hAnsi="Times New Roman" w:cs="Times New Roman"/>
        </w:rPr>
        <w:t>.</w:t>
      </w:r>
    </w:p>
    <w:p w14:paraId="648E851C" w14:textId="77777777" w:rsidR="007D2732" w:rsidRDefault="007D2732">
      <w:pPr>
        <w:spacing w:before="240" w:after="240"/>
        <w:rPr>
          <w:rFonts w:ascii="Times New Roman" w:eastAsia="Times New Roman" w:hAnsi="Times New Roman" w:cs="Times New Roman"/>
        </w:rPr>
      </w:pPr>
    </w:p>
    <w:p w14:paraId="4A956687" w14:textId="77777777" w:rsidR="007D2732"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Plan</w:t>
      </w:r>
    </w:p>
    <w:p w14:paraId="608B1D56"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The project runs from 3rd June 2026 to mid-September 2026. The Gantt chart below shows all ten activities with specific start and end dates. Milestone 1 falls at the end of August, marking completion of in-distribution evaluation. Milestone 2 falls in mid-September, marking completion of the full distribution shift analysis.</w:t>
      </w:r>
    </w:p>
    <w:p w14:paraId="53F15358" w14:textId="77777777" w:rsidR="007D273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Gantt Chart - June to mid-September 2026</w:t>
      </w:r>
    </w:p>
    <w:tbl>
      <w:tblPr>
        <w:tblStyle w:val="a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85"/>
        <w:gridCol w:w="1455"/>
        <w:gridCol w:w="600"/>
        <w:gridCol w:w="570"/>
        <w:gridCol w:w="525"/>
        <w:gridCol w:w="540"/>
      </w:tblGrid>
      <w:tr w:rsidR="007D2732" w14:paraId="68807A09" w14:textId="77777777">
        <w:trPr>
          <w:trHeight w:val="360"/>
        </w:trPr>
        <w:tc>
          <w:tcPr>
            <w:tcW w:w="5085" w:type="dxa"/>
            <w:tcBorders>
              <w:top w:val="single" w:sz="4" w:space="0" w:color="595959"/>
              <w:left w:val="single" w:sz="4" w:space="0" w:color="595959"/>
              <w:bottom w:val="single" w:sz="4" w:space="0" w:color="595959"/>
              <w:right w:val="single" w:sz="4" w:space="0" w:color="595959"/>
            </w:tcBorders>
            <w:shd w:val="clear" w:color="auto" w:fill="D9D9D9"/>
            <w:tcMar>
              <w:top w:w="40" w:type="dxa"/>
              <w:left w:w="40" w:type="dxa"/>
              <w:bottom w:w="40" w:type="dxa"/>
              <w:right w:w="40" w:type="dxa"/>
            </w:tcMar>
            <w:vAlign w:val="bottom"/>
          </w:tcPr>
          <w:p w14:paraId="6C172E68"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Activity</w:t>
            </w:r>
          </w:p>
        </w:tc>
        <w:tc>
          <w:tcPr>
            <w:tcW w:w="1455" w:type="dxa"/>
            <w:tcBorders>
              <w:top w:val="single" w:sz="4" w:space="0" w:color="595959"/>
              <w:left w:val="single" w:sz="4" w:space="0" w:color="CCCCCC"/>
              <w:bottom w:val="single" w:sz="4" w:space="0" w:color="595959"/>
              <w:right w:val="single" w:sz="4" w:space="0" w:color="595959"/>
            </w:tcBorders>
            <w:shd w:val="clear" w:color="auto" w:fill="D9D9D9"/>
            <w:tcMar>
              <w:top w:w="40" w:type="dxa"/>
              <w:left w:w="40" w:type="dxa"/>
              <w:bottom w:w="40" w:type="dxa"/>
              <w:right w:w="40" w:type="dxa"/>
            </w:tcMar>
            <w:vAlign w:val="bottom"/>
          </w:tcPr>
          <w:p w14:paraId="505C4B02" w14:textId="77777777" w:rsidR="007D273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Dates</w:t>
            </w:r>
          </w:p>
        </w:tc>
        <w:tc>
          <w:tcPr>
            <w:tcW w:w="600" w:type="dxa"/>
            <w:tcBorders>
              <w:top w:val="single" w:sz="4" w:space="0" w:color="595959"/>
              <w:left w:val="single" w:sz="4" w:space="0" w:color="CCCCCC"/>
              <w:bottom w:val="single" w:sz="4" w:space="0" w:color="595959"/>
              <w:right w:val="single" w:sz="4" w:space="0" w:color="595959"/>
            </w:tcBorders>
            <w:shd w:val="clear" w:color="auto" w:fill="D9D9D9"/>
            <w:tcMar>
              <w:top w:w="40" w:type="dxa"/>
              <w:left w:w="40" w:type="dxa"/>
              <w:bottom w:w="40" w:type="dxa"/>
              <w:right w:w="40" w:type="dxa"/>
            </w:tcMar>
            <w:vAlign w:val="bottom"/>
          </w:tcPr>
          <w:p w14:paraId="7FB6760C"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Jun</w:t>
            </w:r>
          </w:p>
        </w:tc>
        <w:tc>
          <w:tcPr>
            <w:tcW w:w="570" w:type="dxa"/>
            <w:tcBorders>
              <w:top w:val="single" w:sz="4" w:space="0" w:color="595959"/>
              <w:left w:val="single" w:sz="4" w:space="0" w:color="CCCCCC"/>
              <w:bottom w:val="single" w:sz="4" w:space="0" w:color="595959"/>
              <w:right w:val="single" w:sz="4" w:space="0" w:color="595959"/>
            </w:tcBorders>
            <w:shd w:val="clear" w:color="auto" w:fill="D9D9D9"/>
            <w:tcMar>
              <w:top w:w="40" w:type="dxa"/>
              <w:left w:w="40" w:type="dxa"/>
              <w:bottom w:w="40" w:type="dxa"/>
              <w:right w:w="40" w:type="dxa"/>
            </w:tcMar>
            <w:vAlign w:val="bottom"/>
          </w:tcPr>
          <w:p w14:paraId="15DBA0E6"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Jul</w:t>
            </w:r>
          </w:p>
        </w:tc>
        <w:tc>
          <w:tcPr>
            <w:tcW w:w="525" w:type="dxa"/>
            <w:tcBorders>
              <w:top w:val="single" w:sz="4" w:space="0" w:color="595959"/>
              <w:left w:val="single" w:sz="4" w:space="0" w:color="CCCCCC"/>
              <w:bottom w:val="single" w:sz="4" w:space="0" w:color="595959"/>
              <w:right w:val="single" w:sz="4" w:space="0" w:color="595959"/>
            </w:tcBorders>
            <w:shd w:val="clear" w:color="auto" w:fill="D9D9D9"/>
            <w:tcMar>
              <w:top w:w="40" w:type="dxa"/>
              <w:left w:w="40" w:type="dxa"/>
              <w:bottom w:w="40" w:type="dxa"/>
              <w:right w:w="40" w:type="dxa"/>
            </w:tcMar>
            <w:vAlign w:val="bottom"/>
          </w:tcPr>
          <w:p w14:paraId="25B858D2"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Aug</w:t>
            </w:r>
          </w:p>
        </w:tc>
        <w:tc>
          <w:tcPr>
            <w:tcW w:w="540" w:type="dxa"/>
            <w:tcBorders>
              <w:top w:val="single" w:sz="4" w:space="0" w:color="595959"/>
              <w:left w:val="single" w:sz="4" w:space="0" w:color="CCCCCC"/>
              <w:bottom w:val="single" w:sz="4" w:space="0" w:color="595959"/>
              <w:right w:val="single" w:sz="4" w:space="0" w:color="595959"/>
            </w:tcBorders>
            <w:shd w:val="clear" w:color="auto" w:fill="D9D9D9"/>
            <w:tcMar>
              <w:top w:w="40" w:type="dxa"/>
              <w:left w:w="40" w:type="dxa"/>
              <w:bottom w:w="40" w:type="dxa"/>
              <w:right w:w="40" w:type="dxa"/>
            </w:tcMar>
            <w:vAlign w:val="bottom"/>
          </w:tcPr>
          <w:p w14:paraId="2C342BC9"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Sept</w:t>
            </w:r>
          </w:p>
        </w:tc>
      </w:tr>
      <w:tr w:rsidR="007D2732" w14:paraId="19934F77"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23D69811"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Literature consolidation and environment setup</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7A94941F"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3 Jun-20 Jun</w:t>
            </w:r>
          </w:p>
        </w:tc>
        <w:tc>
          <w:tcPr>
            <w:tcW w:w="60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31036232"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69DAF898"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107FD6A8"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135AB30A" w14:textId="77777777" w:rsidR="007D2732" w:rsidRDefault="007D2732">
            <w:pPr>
              <w:widowControl w:val="0"/>
              <w:rPr>
                <w:rFonts w:ascii="Times New Roman" w:eastAsia="Times New Roman" w:hAnsi="Times New Roman" w:cs="Times New Roman"/>
                <w:sz w:val="20"/>
                <w:szCs w:val="20"/>
              </w:rPr>
            </w:pPr>
          </w:p>
        </w:tc>
      </w:tr>
      <w:tr w:rsidR="007D2732" w14:paraId="7C6618C9"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435C50FC"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 xml:space="preserve">Baseline CP with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scores (LAC and RAPS)</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479BBBB2"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3 Jun -11 Jul</w:t>
            </w:r>
          </w:p>
        </w:tc>
        <w:tc>
          <w:tcPr>
            <w:tcW w:w="60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3C7C87F0"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1077C7B9"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5E35CD43"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51106100" w14:textId="77777777" w:rsidR="007D2732" w:rsidRDefault="007D2732">
            <w:pPr>
              <w:widowControl w:val="0"/>
              <w:rPr>
                <w:rFonts w:ascii="Times New Roman" w:eastAsia="Times New Roman" w:hAnsi="Times New Roman" w:cs="Times New Roman"/>
                <w:sz w:val="20"/>
                <w:szCs w:val="20"/>
              </w:rPr>
            </w:pPr>
          </w:p>
        </w:tc>
      </w:tr>
      <w:tr w:rsidR="007D2732" w14:paraId="1014CD6A"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73D1C469"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Gemma 2-2B classification pipeline setup</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5168F7D7"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14 Jun-11 Jul</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42F8CB25"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5D9634B0"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66703381"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7974C775" w14:textId="77777777" w:rsidR="007D2732" w:rsidRDefault="007D2732">
            <w:pPr>
              <w:widowControl w:val="0"/>
              <w:rPr>
                <w:rFonts w:ascii="Times New Roman" w:eastAsia="Times New Roman" w:hAnsi="Times New Roman" w:cs="Times New Roman"/>
                <w:sz w:val="20"/>
                <w:szCs w:val="20"/>
              </w:rPr>
            </w:pPr>
          </w:p>
        </w:tc>
      </w:tr>
      <w:tr w:rsidR="007D2732" w14:paraId="4A6A68DE" w14:textId="77777777">
        <w:trPr>
          <w:trHeight w:val="491"/>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0919235E"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SAELens + Gemma Scope integration and latent extraction</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246E880B"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12 Jul - 8 Aug</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3F65DEFE"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42289DAD"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2B35C2CD"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487EFADA" w14:textId="77777777" w:rsidR="007D2732" w:rsidRDefault="007D2732">
            <w:pPr>
              <w:widowControl w:val="0"/>
              <w:rPr>
                <w:rFonts w:ascii="Times New Roman" w:eastAsia="Times New Roman" w:hAnsi="Times New Roman" w:cs="Times New Roman"/>
                <w:sz w:val="20"/>
                <w:szCs w:val="20"/>
              </w:rPr>
            </w:pPr>
          </w:p>
        </w:tc>
      </w:tr>
      <w:tr w:rsidR="007D2732" w14:paraId="0A38B337"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6F45E729"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SAE-based nonconformity score implementation</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67C1F9EA"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9 Aug - 22 Aug</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179D871D"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115515BE"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082FC1F7"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2B30CD17" w14:textId="77777777" w:rsidR="007D2732" w:rsidRDefault="007D2732">
            <w:pPr>
              <w:widowControl w:val="0"/>
              <w:rPr>
                <w:rFonts w:ascii="Times New Roman" w:eastAsia="Times New Roman" w:hAnsi="Times New Roman" w:cs="Times New Roman"/>
                <w:sz w:val="20"/>
                <w:szCs w:val="20"/>
              </w:rPr>
            </w:pPr>
          </w:p>
        </w:tc>
      </w:tr>
      <w:tr w:rsidR="007D2732" w14:paraId="71C0AAF6"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3C3FFFE0"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lastRenderedPageBreak/>
              <w:t>In-distribution evaluation - Milestone 1</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7E48055E"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23 Aug - 29 Aug</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2C02F4EA"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087A81F6"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5ED882BF"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331CC50F" w14:textId="77777777" w:rsidR="007D2732" w:rsidRDefault="007D2732">
            <w:pPr>
              <w:widowControl w:val="0"/>
              <w:rPr>
                <w:rFonts w:ascii="Times New Roman" w:eastAsia="Times New Roman" w:hAnsi="Times New Roman" w:cs="Times New Roman"/>
                <w:sz w:val="20"/>
                <w:szCs w:val="20"/>
              </w:rPr>
            </w:pPr>
          </w:p>
        </w:tc>
      </w:tr>
      <w:tr w:rsidR="007D2732" w14:paraId="0E3E52B2"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076B8965"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Distribution shift experiments (cross-domain)</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43829C11"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30 Aug - 12 Sept</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04AA10BF"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0B511754"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40F89DE0"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1CCD623C" w14:textId="77777777" w:rsidR="007D2732" w:rsidRDefault="007D2732">
            <w:pPr>
              <w:widowControl w:val="0"/>
              <w:rPr>
                <w:rFonts w:ascii="Times New Roman" w:eastAsia="Times New Roman" w:hAnsi="Times New Roman" w:cs="Times New Roman"/>
                <w:sz w:val="20"/>
                <w:szCs w:val="20"/>
              </w:rPr>
            </w:pPr>
          </w:p>
        </w:tc>
      </w:tr>
      <w:tr w:rsidR="007D2732" w14:paraId="1E59B369"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07F7214D"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Results analysis and comparison - Milestone 2</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2EC54803"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13 Sept- 19 Sept</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6168680A"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7D6C3660"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3B6EEC8C"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29759173" w14:textId="77777777" w:rsidR="007D2732" w:rsidRDefault="007D2732">
            <w:pPr>
              <w:widowControl w:val="0"/>
              <w:rPr>
                <w:rFonts w:ascii="Times New Roman" w:eastAsia="Times New Roman" w:hAnsi="Times New Roman" w:cs="Times New Roman"/>
                <w:sz w:val="20"/>
                <w:szCs w:val="20"/>
              </w:rPr>
            </w:pPr>
          </w:p>
        </w:tc>
      </w:tr>
      <w:tr w:rsidR="007D2732" w14:paraId="2F2F75B7"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72447352"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Dissertation writing (ongoing throughout)</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47090920"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12 Jul - 19 Sept</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40AFDFAD"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3624BB87"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3A3AEF0D"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01F1AABB" w14:textId="77777777" w:rsidR="007D2732" w:rsidRDefault="007D2732">
            <w:pPr>
              <w:widowControl w:val="0"/>
              <w:rPr>
                <w:rFonts w:ascii="Times New Roman" w:eastAsia="Times New Roman" w:hAnsi="Times New Roman" w:cs="Times New Roman"/>
                <w:sz w:val="20"/>
                <w:szCs w:val="20"/>
              </w:rPr>
            </w:pPr>
          </w:p>
        </w:tc>
      </w:tr>
      <w:tr w:rsidR="007D2732" w14:paraId="6F65A5AD" w14:textId="77777777">
        <w:trPr>
          <w:trHeight w:val="345"/>
        </w:trPr>
        <w:tc>
          <w:tcPr>
            <w:tcW w:w="5085" w:type="dxa"/>
            <w:tcBorders>
              <w:top w:val="single" w:sz="4" w:space="0" w:color="CCCCCC"/>
              <w:left w:val="single" w:sz="4" w:space="0" w:color="595959"/>
              <w:bottom w:val="single" w:sz="4" w:space="0" w:color="595959"/>
              <w:right w:val="single" w:sz="4" w:space="0" w:color="595959"/>
            </w:tcBorders>
            <w:tcMar>
              <w:top w:w="40" w:type="dxa"/>
              <w:left w:w="40" w:type="dxa"/>
              <w:bottom w:w="40" w:type="dxa"/>
              <w:right w:w="40" w:type="dxa"/>
            </w:tcMar>
            <w:vAlign w:val="bottom"/>
          </w:tcPr>
          <w:p w14:paraId="4AC3C6A6" w14:textId="77777777" w:rsidR="007D2732"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Final revision and submission</w:t>
            </w:r>
          </w:p>
        </w:tc>
        <w:tc>
          <w:tcPr>
            <w:tcW w:w="145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53A89EA0" w14:textId="77777777" w:rsidR="007D2732"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rPr>
              <w:t>20 Sept</w:t>
            </w:r>
          </w:p>
        </w:tc>
        <w:tc>
          <w:tcPr>
            <w:tcW w:w="60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06DA558B" w14:textId="77777777" w:rsidR="007D2732" w:rsidRDefault="007D2732">
            <w:pPr>
              <w:widowControl w:val="0"/>
              <w:rPr>
                <w:rFonts w:ascii="Times New Roman" w:eastAsia="Times New Roman" w:hAnsi="Times New Roman" w:cs="Times New Roman"/>
                <w:sz w:val="20"/>
                <w:szCs w:val="20"/>
              </w:rPr>
            </w:pPr>
          </w:p>
        </w:tc>
        <w:tc>
          <w:tcPr>
            <w:tcW w:w="570"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01105AD1" w14:textId="77777777" w:rsidR="007D2732" w:rsidRDefault="007D2732">
            <w:pPr>
              <w:widowControl w:val="0"/>
              <w:rPr>
                <w:rFonts w:ascii="Times New Roman" w:eastAsia="Times New Roman" w:hAnsi="Times New Roman" w:cs="Times New Roman"/>
                <w:sz w:val="20"/>
                <w:szCs w:val="20"/>
              </w:rPr>
            </w:pPr>
          </w:p>
        </w:tc>
        <w:tc>
          <w:tcPr>
            <w:tcW w:w="525" w:type="dxa"/>
            <w:tcBorders>
              <w:top w:val="single" w:sz="4" w:space="0" w:color="CCCCCC"/>
              <w:left w:val="single" w:sz="4" w:space="0" w:color="CCCCCC"/>
              <w:bottom w:val="single" w:sz="4" w:space="0" w:color="595959"/>
              <w:right w:val="single" w:sz="4" w:space="0" w:color="595959"/>
            </w:tcBorders>
            <w:tcMar>
              <w:top w:w="40" w:type="dxa"/>
              <w:left w:w="40" w:type="dxa"/>
              <w:bottom w:w="40" w:type="dxa"/>
              <w:right w:w="40" w:type="dxa"/>
            </w:tcMar>
            <w:vAlign w:val="bottom"/>
          </w:tcPr>
          <w:p w14:paraId="6B78A292" w14:textId="77777777" w:rsidR="007D2732" w:rsidRDefault="007D2732">
            <w:pPr>
              <w:widowControl w:val="0"/>
              <w:rPr>
                <w:rFonts w:ascii="Times New Roman" w:eastAsia="Times New Roman" w:hAnsi="Times New Roman" w:cs="Times New Roman"/>
                <w:sz w:val="20"/>
                <w:szCs w:val="20"/>
              </w:rPr>
            </w:pPr>
          </w:p>
        </w:tc>
        <w:tc>
          <w:tcPr>
            <w:tcW w:w="540" w:type="dxa"/>
            <w:tcBorders>
              <w:top w:val="single" w:sz="4" w:space="0" w:color="CCCCCC"/>
              <w:left w:val="single" w:sz="4" w:space="0" w:color="CCCCCC"/>
              <w:bottom w:val="single" w:sz="4" w:space="0" w:color="595959"/>
              <w:right w:val="single" w:sz="4" w:space="0" w:color="595959"/>
            </w:tcBorders>
            <w:shd w:val="clear" w:color="auto" w:fill="000000"/>
            <w:tcMar>
              <w:top w:w="40" w:type="dxa"/>
              <w:left w:w="40" w:type="dxa"/>
              <w:bottom w:w="40" w:type="dxa"/>
              <w:right w:w="40" w:type="dxa"/>
            </w:tcMar>
            <w:vAlign w:val="bottom"/>
          </w:tcPr>
          <w:p w14:paraId="0E01A00C" w14:textId="77777777" w:rsidR="007D2732" w:rsidRDefault="007D2732">
            <w:pPr>
              <w:widowControl w:val="0"/>
              <w:rPr>
                <w:rFonts w:ascii="Times New Roman" w:eastAsia="Times New Roman" w:hAnsi="Times New Roman" w:cs="Times New Roman"/>
                <w:sz w:val="20"/>
                <w:szCs w:val="20"/>
              </w:rPr>
            </w:pPr>
          </w:p>
        </w:tc>
      </w:tr>
    </w:tbl>
    <w:p w14:paraId="396B28AF" w14:textId="77777777" w:rsidR="00B200BB" w:rsidRPr="00B200BB" w:rsidRDefault="00B200BB" w:rsidP="00B200BB">
      <w:pPr>
        <w:spacing w:before="240" w:after="240"/>
        <w:rPr>
          <w:rFonts w:ascii="Times New Roman" w:eastAsia="Times New Roman" w:hAnsi="Times New Roman" w:cs="Times New Roman"/>
          <w:b/>
          <w:bCs/>
          <w:lang w:val="en-GB"/>
        </w:rPr>
      </w:pPr>
      <w:r w:rsidRPr="00B200BB">
        <w:rPr>
          <w:rFonts w:ascii="Times New Roman" w:eastAsia="Times New Roman" w:hAnsi="Times New Roman" w:cs="Times New Roman"/>
          <w:b/>
          <w:bCs/>
          <w:lang w:val="en-GB"/>
        </w:rPr>
        <w:t>Activity Descriptions</w:t>
      </w:r>
    </w:p>
    <w:p w14:paraId="4EA884BB" w14:textId="527D97BB"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 xml:space="preserve">Activity 1 (3–20 Jun): Literature consolidation and environment setup. Completing core paper reading across conformal prediction, SAE interpretability, and distribution shift literature. Setting up the Python environment with SAELens, </w:t>
      </w:r>
      <w:proofErr w:type="spellStart"/>
      <w:r w:rsidRPr="00B200BB">
        <w:rPr>
          <w:rFonts w:ascii="Times New Roman" w:eastAsia="Times New Roman" w:hAnsi="Times New Roman" w:cs="Times New Roman"/>
          <w:lang w:val="en-GB"/>
        </w:rPr>
        <w:t>HuggingFace</w:t>
      </w:r>
      <w:proofErr w:type="spellEnd"/>
      <w:r w:rsidRPr="00B200BB">
        <w:rPr>
          <w:rFonts w:ascii="Times New Roman" w:eastAsia="Times New Roman" w:hAnsi="Times New Roman" w:cs="Times New Roman"/>
          <w:lang w:val="en-GB"/>
        </w:rPr>
        <w:t xml:space="preserve"> Transformers, </w:t>
      </w:r>
      <w:proofErr w:type="spellStart"/>
      <w:r w:rsidRPr="00B200BB">
        <w:rPr>
          <w:rFonts w:ascii="Times New Roman" w:eastAsia="Times New Roman" w:hAnsi="Times New Roman" w:cs="Times New Roman"/>
          <w:lang w:val="en-GB"/>
        </w:rPr>
        <w:t>PyTorch</w:t>
      </w:r>
      <w:proofErr w:type="spellEnd"/>
      <w:r w:rsidRPr="00B200BB">
        <w:rPr>
          <w:rFonts w:ascii="Times New Roman" w:eastAsia="Times New Roman" w:hAnsi="Times New Roman" w:cs="Times New Roman"/>
          <w:lang w:val="en-GB"/>
        </w:rPr>
        <w:t xml:space="preserve">, and all required libraries on Google </w:t>
      </w:r>
      <w:proofErr w:type="spellStart"/>
      <w:r w:rsidRPr="00B200BB">
        <w:rPr>
          <w:rFonts w:ascii="Times New Roman" w:eastAsia="Times New Roman" w:hAnsi="Times New Roman" w:cs="Times New Roman"/>
          <w:lang w:val="en-GB"/>
        </w:rPr>
        <w:t>Colab</w:t>
      </w:r>
      <w:proofErr w:type="spellEnd"/>
      <w:r w:rsidRPr="00B200BB">
        <w:rPr>
          <w:rFonts w:ascii="Times New Roman" w:eastAsia="Times New Roman" w:hAnsi="Times New Roman" w:cs="Times New Roman"/>
          <w:lang w:val="en-GB"/>
        </w:rPr>
        <w:t xml:space="preserve"> Pro and the university HPC cluster.</w:t>
      </w:r>
    </w:p>
    <w:p w14:paraId="3379523D" w14:textId="3732BD05"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 xml:space="preserve">Activity 2 (3 Jun–11 Jul): Baseline conformal prediction implementation (LAC and RAPS). Implementing split conformal prediction with both LAC (Least Ambiguous Classifier) and RAPS (Regularised Adaptive Prediction Sets) nonconformity scores using Gemma 2-2B on the IMDb dataset. This establishes the </w:t>
      </w:r>
      <w:proofErr w:type="spellStart"/>
      <w:r w:rsidRPr="00B200BB">
        <w:rPr>
          <w:rFonts w:ascii="Times New Roman" w:eastAsia="Times New Roman" w:hAnsi="Times New Roman" w:cs="Times New Roman"/>
          <w:lang w:val="en-GB"/>
        </w:rPr>
        <w:t>softmax</w:t>
      </w:r>
      <w:proofErr w:type="spellEnd"/>
      <w:r w:rsidRPr="00B200BB">
        <w:rPr>
          <w:rFonts w:ascii="Times New Roman" w:eastAsia="Times New Roman" w:hAnsi="Times New Roman" w:cs="Times New Roman"/>
          <w:lang w:val="en-GB"/>
        </w:rPr>
        <w:t>-based baseline against which SAE-based scores will be compared.</w:t>
      </w:r>
    </w:p>
    <w:p w14:paraId="5E028B42" w14:textId="308A4BB9"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Activity 3 (14 Jun–11 Jul): Gemma 2-2B classification pipeline setup. Building the full text classification pipeline around Gemma 2-2B, including prompt formatting, label-token probability extraction, and calibration set construction. This pipeline is shared by both the baseline and SAE-based approaches.</w:t>
      </w:r>
    </w:p>
    <w:p w14:paraId="3B8A8806" w14:textId="4487C90E"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Activity 4 (12 Jul–8 Aug): SAELens and Gemma Scope integration and latent extraction. Using SAELens to load the Gemma Scope SAE at layer 20 of Gemma 2-2B and hook into the residual stream. Extracting sparse latent activation vectors for all calibration and test examples across all datasets. This is the most technically complex activity and is allocated the longest window accordingly.</w:t>
      </w:r>
    </w:p>
    <w:p w14:paraId="786591BA" w14:textId="2838F78D"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 xml:space="preserve">Activity 5 (9–22 Aug): SAE-based nonconformity score implementation. Constructing the cosine-distance-based nonconformity score using class-conditional prototype vectors derived from SAE </w:t>
      </w:r>
      <w:proofErr w:type="spellStart"/>
      <w:r w:rsidRPr="00B200BB">
        <w:rPr>
          <w:rFonts w:ascii="Times New Roman" w:eastAsia="Times New Roman" w:hAnsi="Times New Roman" w:cs="Times New Roman"/>
          <w:lang w:val="en-GB"/>
        </w:rPr>
        <w:t>latents</w:t>
      </w:r>
      <w:proofErr w:type="spellEnd"/>
      <w:r w:rsidRPr="00B200BB">
        <w:rPr>
          <w:rFonts w:ascii="Times New Roman" w:eastAsia="Times New Roman" w:hAnsi="Times New Roman" w:cs="Times New Roman"/>
          <w:lang w:val="en-GB"/>
        </w:rPr>
        <w:t xml:space="preserve"> on the calibration set. Integrating this score into the conformal prediction pipeline so it can be evaluated against the same coverage metrics as the </w:t>
      </w:r>
      <w:proofErr w:type="spellStart"/>
      <w:r w:rsidRPr="00B200BB">
        <w:rPr>
          <w:rFonts w:ascii="Times New Roman" w:eastAsia="Times New Roman" w:hAnsi="Times New Roman" w:cs="Times New Roman"/>
          <w:lang w:val="en-GB"/>
        </w:rPr>
        <w:t>softmax</w:t>
      </w:r>
      <w:proofErr w:type="spellEnd"/>
      <w:r w:rsidRPr="00B200BB">
        <w:rPr>
          <w:rFonts w:ascii="Times New Roman" w:eastAsia="Times New Roman" w:hAnsi="Times New Roman" w:cs="Times New Roman"/>
          <w:lang w:val="en-GB"/>
        </w:rPr>
        <w:t xml:space="preserve"> baseline.</w:t>
      </w:r>
    </w:p>
    <w:p w14:paraId="6B947B3D" w14:textId="77777777"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Activity 6 (23–29 Aug): In-distribution evaluation — Milestone 1. Running the complete comparison of LAC, RAPS, and SAE-based conformal prediction on the in-distribution IMDb test set. Recording empirical coverage and average prediction set size for all methods.</w:t>
      </w:r>
    </w:p>
    <w:p w14:paraId="12C557DE" w14:textId="2C7DB16B"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Milestone 1 Deliverable: Completed in-distribution evaluation results table and analysis log, confirming pipeline correctness and providing the first evidence for or against the central hypothesis. All experiment results saved to Weights and Biases and GitHub.</w:t>
      </w:r>
    </w:p>
    <w:p w14:paraId="278CC419" w14:textId="6D0C1D80"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lastRenderedPageBreak/>
        <w:t xml:space="preserve">Activity 7 (30 Aug–12 Sep): Distribution shift experiments. Running cross-domain evaluation using AG News and Amazon Product Reviews as out-of-distribution test sets. Measuring coverage and set-size degradation for both </w:t>
      </w:r>
      <w:proofErr w:type="spellStart"/>
      <w:r w:rsidRPr="00B200BB">
        <w:rPr>
          <w:rFonts w:ascii="Times New Roman" w:eastAsia="Times New Roman" w:hAnsi="Times New Roman" w:cs="Times New Roman"/>
          <w:lang w:val="en-GB"/>
        </w:rPr>
        <w:t>softmax</w:t>
      </w:r>
      <w:proofErr w:type="spellEnd"/>
      <w:r w:rsidRPr="00B200BB">
        <w:rPr>
          <w:rFonts w:ascii="Times New Roman" w:eastAsia="Times New Roman" w:hAnsi="Times New Roman" w:cs="Times New Roman"/>
          <w:lang w:val="en-GB"/>
        </w:rPr>
        <w:t xml:space="preserve"> and SAE-based approaches under each shift condition to characterise where and how each method degrades.</w:t>
      </w:r>
    </w:p>
    <w:p w14:paraId="5E4BAFC6" w14:textId="77777777"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Activity 8 (13–19 Sep): Results analysis and comparison — Milestone 2. Producing the final comparative analysis across all experimental conditions, including statistical summaries, coverage tables, and efficiency plots. Drawing conclusions about the central research question.</w:t>
      </w:r>
    </w:p>
    <w:p w14:paraId="44B7C6B4" w14:textId="04D4AA38"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Milestone 2 Deliverable: Final performance comparison report covering all experimental conditions, complete statistical analysis logs, and a written interpretation of results in the context of the research question. This forms the empirical core of the dissertation.</w:t>
      </w:r>
    </w:p>
    <w:p w14:paraId="3CC24CD5" w14:textId="6D92DD6A"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Activity 9 (12 Jul–19 Sep): Dissertation writing (ongoing). Writing the dissertation runs concurrently with experimental work from July onwards. Early chapters (introduction, background, methodology) are drafted first, with results and discussion added as experiments complete.</w:t>
      </w:r>
    </w:p>
    <w:p w14:paraId="050A50E3" w14:textId="77777777" w:rsidR="00B200BB" w:rsidRPr="00B200BB" w:rsidRDefault="00B200BB" w:rsidP="00B200BB">
      <w:pPr>
        <w:spacing w:before="240" w:after="240"/>
        <w:rPr>
          <w:rFonts w:ascii="Times New Roman" w:eastAsia="Times New Roman" w:hAnsi="Times New Roman" w:cs="Times New Roman"/>
          <w:lang w:val="en-GB"/>
        </w:rPr>
      </w:pPr>
      <w:r w:rsidRPr="00B200BB">
        <w:rPr>
          <w:rFonts w:ascii="Times New Roman" w:eastAsia="Times New Roman" w:hAnsi="Times New Roman" w:cs="Times New Roman"/>
          <w:lang w:val="en-GB"/>
        </w:rPr>
        <w:t>Activity 10 (20 Sep): Final revision and submission. Full review of the dissertation for consistency, accuracy, and formatting. Final submission to the university submission system by the mid-September deadline.</w:t>
      </w:r>
    </w:p>
    <w:p w14:paraId="2991DC54" w14:textId="77777777" w:rsidR="007D2732" w:rsidRDefault="007D2732">
      <w:pPr>
        <w:spacing w:before="240" w:after="240"/>
        <w:rPr>
          <w:rFonts w:ascii="Times New Roman" w:eastAsia="Times New Roman" w:hAnsi="Times New Roman" w:cs="Times New Roman"/>
          <w:b/>
          <w:bCs/>
        </w:rPr>
      </w:pPr>
    </w:p>
    <w:p w14:paraId="5BBE4D5E" w14:textId="77777777" w:rsidR="007D2732"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Management and Risk Analysis</w:t>
      </w:r>
    </w:p>
    <w:p w14:paraId="2EAAFA99" w14:textId="77777777" w:rsidR="007D273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Risk matrix:</w:t>
      </w:r>
    </w:p>
    <w:tbl>
      <w:tblPr>
        <w:tblStyle w:val="a1"/>
        <w:tblW w:w="10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695"/>
        <w:gridCol w:w="1035"/>
        <w:gridCol w:w="4485"/>
      </w:tblGrid>
      <w:tr w:rsidR="007D2732" w14:paraId="2384DE3E" w14:textId="77777777">
        <w:trPr>
          <w:trHeight w:val="500"/>
        </w:trPr>
        <w:tc>
          <w:tcPr>
            <w:tcW w:w="2790" w:type="dxa"/>
          </w:tcPr>
          <w:p w14:paraId="705C8530" w14:textId="77777777" w:rsidR="007D2732"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Risk</w:t>
            </w:r>
          </w:p>
        </w:tc>
        <w:tc>
          <w:tcPr>
            <w:tcW w:w="1695" w:type="dxa"/>
          </w:tcPr>
          <w:p w14:paraId="286E78D3" w14:textId="77777777" w:rsidR="007D2732"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Likelihood</w:t>
            </w:r>
          </w:p>
        </w:tc>
        <w:tc>
          <w:tcPr>
            <w:tcW w:w="1035" w:type="dxa"/>
          </w:tcPr>
          <w:p w14:paraId="311E1031" w14:textId="77777777" w:rsidR="007D2732"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Impact</w:t>
            </w:r>
          </w:p>
        </w:tc>
        <w:tc>
          <w:tcPr>
            <w:tcW w:w="4485" w:type="dxa"/>
          </w:tcPr>
          <w:p w14:paraId="696003F6" w14:textId="77777777" w:rsidR="007D2732"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Mitigation</w:t>
            </w:r>
          </w:p>
        </w:tc>
      </w:tr>
      <w:tr w:rsidR="007D2732" w14:paraId="693FB61F" w14:textId="77777777">
        <w:trPr>
          <w:trHeight w:val="1040"/>
        </w:trPr>
        <w:tc>
          <w:tcPr>
            <w:tcW w:w="2790" w:type="dxa"/>
          </w:tcPr>
          <w:p w14:paraId="3B4EBD40"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Gemma 2-2B too large for available compute</w:t>
            </w:r>
          </w:p>
        </w:tc>
        <w:tc>
          <w:tcPr>
            <w:tcW w:w="1695" w:type="dxa"/>
          </w:tcPr>
          <w:p w14:paraId="56BF1A17"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Medium</w:t>
            </w:r>
          </w:p>
        </w:tc>
        <w:tc>
          <w:tcPr>
            <w:tcW w:w="1035" w:type="dxa"/>
          </w:tcPr>
          <w:p w14:paraId="7C58B606"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High</w:t>
            </w:r>
          </w:p>
        </w:tc>
        <w:tc>
          <w:tcPr>
            <w:tcW w:w="4485" w:type="dxa"/>
          </w:tcPr>
          <w:p w14:paraId="724C03EE"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Use Gemma 2-2B-it (instruction-tuned, more efficient for inference); fall back to Gemma 2-2B </w:t>
            </w:r>
            <w:proofErr w:type="spellStart"/>
            <w:r>
              <w:rPr>
                <w:rFonts w:ascii="Times New Roman" w:eastAsia="Times New Roman" w:hAnsi="Times New Roman" w:cs="Times New Roman"/>
              </w:rPr>
              <w:t>quantised</w:t>
            </w:r>
            <w:proofErr w:type="spellEnd"/>
            <w:r>
              <w:rPr>
                <w:rFonts w:ascii="Times New Roman" w:eastAsia="Times New Roman" w:hAnsi="Times New Roman" w:cs="Times New Roman"/>
              </w:rPr>
              <w:t xml:space="preserve"> if needed</w:t>
            </w:r>
          </w:p>
        </w:tc>
      </w:tr>
      <w:tr w:rsidR="007D2732" w14:paraId="6443AF2A" w14:textId="77777777">
        <w:trPr>
          <w:trHeight w:val="1040"/>
        </w:trPr>
        <w:tc>
          <w:tcPr>
            <w:tcW w:w="2790" w:type="dxa"/>
          </w:tcPr>
          <w:p w14:paraId="4C3ABC6C"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SAELens / Gemma Scope integration fails or produces dead </w:t>
            </w:r>
            <w:proofErr w:type="spellStart"/>
            <w:r>
              <w:rPr>
                <w:rFonts w:ascii="Times New Roman" w:eastAsia="Times New Roman" w:hAnsi="Times New Roman" w:cs="Times New Roman"/>
              </w:rPr>
              <w:t>latents</w:t>
            </w:r>
            <w:proofErr w:type="spellEnd"/>
          </w:p>
        </w:tc>
        <w:tc>
          <w:tcPr>
            <w:tcW w:w="1695" w:type="dxa"/>
          </w:tcPr>
          <w:p w14:paraId="045B4A10"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Low</w:t>
            </w:r>
          </w:p>
        </w:tc>
        <w:tc>
          <w:tcPr>
            <w:tcW w:w="1035" w:type="dxa"/>
          </w:tcPr>
          <w:p w14:paraId="3D34FE96"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High</w:t>
            </w:r>
          </w:p>
        </w:tc>
        <w:tc>
          <w:tcPr>
            <w:tcW w:w="4485" w:type="dxa"/>
          </w:tcPr>
          <w:p w14:paraId="351791DE"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Use pre-verified </w:t>
            </w:r>
            <w:proofErr w:type="spellStart"/>
            <w:r>
              <w:rPr>
                <w:rFonts w:ascii="Times New Roman" w:eastAsia="Times New Roman" w:hAnsi="Times New Roman" w:cs="Times New Roman"/>
              </w:rPr>
              <w:t>Neuronpedia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consult SAELens documentation and community</w:t>
            </w:r>
          </w:p>
        </w:tc>
      </w:tr>
      <w:tr w:rsidR="007D2732" w14:paraId="1E86592C" w14:textId="77777777">
        <w:trPr>
          <w:trHeight w:val="1040"/>
        </w:trPr>
        <w:tc>
          <w:tcPr>
            <w:tcW w:w="2790" w:type="dxa"/>
          </w:tcPr>
          <w:p w14:paraId="13A3BCF8"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Distribution shift experiments show no meaningful difference</w:t>
            </w:r>
          </w:p>
        </w:tc>
        <w:tc>
          <w:tcPr>
            <w:tcW w:w="1695" w:type="dxa"/>
          </w:tcPr>
          <w:p w14:paraId="0B95405A"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Low</w:t>
            </w:r>
          </w:p>
        </w:tc>
        <w:tc>
          <w:tcPr>
            <w:tcW w:w="1035" w:type="dxa"/>
          </w:tcPr>
          <w:p w14:paraId="77D27065"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Medium</w:t>
            </w:r>
          </w:p>
        </w:tc>
        <w:tc>
          <w:tcPr>
            <w:tcW w:w="4485" w:type="dxa"/>
          </w:tcPr>
          <w:p w14:paraId="5F2EB944"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Negative results are valid reframe as a </w:t>
            </w:r>
            <w:proofErr w:type="spellStart"/>
            <w:r>
              <w:rPr>
                <w:rFonts w:ascii="Times New Roman" w:eastAsia="Times New Roman" w:hAnsi="Times New Roman" w:cs="Times New Roman"/>
              </w:rPr>
              <w:t>characterisation</w:t>
            </w:r>
            <w:proofErr w:type="spellEnd"/>
            <w:r>
              <w:rPr>
                <w:rFonts w:ascii="Times New Roman" w:eastAsia="Times New Roman" w:hAnsi="Times New Roman" w:cs="Times New Roman"/>
              </w:rPr>
              <w:t xml:space="preserve"> study of when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scores fail</w:t>
            </w:r>
          </w:p>
        </w:tc>
      </w:tr>
      <w:tr w:rsidR="007D2732" w14:paraId="6A663EB0" w14:textId="77777777">
        <w:trPr>
          <w:trHeight w:val="1040"/>
        </w:trPr>
        <w:tc>
          <w:tcPr>
            <w:tcW w:w="2790" w:type="dxa"/>
          </w:tcPr>
          <w:p w14:paraId="23179CF1"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Scope expands, too many datasets and score variants</w:t>
            </w:r>
          </w:p>
        </w:tc>
        <w:tc>
          <w:tcPr>
            <w:tcW w:w="1695" w:type="dxa"/>
          </w:tcPr>
          <w:p w14:paraId="5BEC869E"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Medium</w:t>
            </w:r>
          </w:p>
        </w:tc>
        <w:tc>
          <w:tcPr>
            <w:tcW w:w="1035" w:type="dxa"/>
          </w:tcPr>
          <w:p w14:paraId="1BF536AA"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Medium</w:t>
            </w:r>
          </w:p>
        </w:tc>
        <w:tc>
          <w:tcPr>
            <w:tcW w:w="4485" w:type="dxa"/>
          </w:tcPr>
          <w:p w14:paraId="293ED460"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Hard cap: two baseline scores, three datasets, four shift conditions. All extensions deferred</w:t>
            </w:r>
          </w:p>
        </w:tc>
      </w:tr>
      <w:tr w:rsidR="007D2732" w14:paraId="22B207BB" w14:textId="77777777">
        <w:trPr>
          <w:trHeight w:val="1040"/>
        </w:trPr>
        <w:tc>
          <w:tcPr>
            <w:tcW w:w="2790" w:type="dxa"/>
          </w:tcPr>
          <w:p w14:paraId="6F7FE1A4"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Progress loss due to environment or </w:t>
            </w:r>
            <w:proofErr w:type="gramStart"/>
            <w:r>
              <w:rPr>
                <w:rFonts w:ascii="Times New Roman" w:eastAsia="Times New Roman" w:hAnsi="Times New Roman" w:cs="Times New Roman"/>
              </w:rPr>
              <w:t>compute</w:t>
            </w:r>
            <w:proofErr w:type="gramEnd"/>
            <w:r>
              <w:rPr>
                <w:rFonts w:ascii="Times New Roman" w:eastAsia="Times New Roman" w:hAnsi="Times New Roman" w:cs="Times New Roman"/>
              </w:rPr>
              <w:t xml:space="preserve"> issues</w:t>
            </w:r>
          </w:p>
        </w:tc>
        <w:tc>
          <w:tcPr>
            <w:tcW w:w="1695" w:type="dxa"/>
          </w:tcPr>
          <w:p w14:paraId="18004C83"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Low</w:t>
            </w:r>
          </w:p>
        </w:tc>
        <w:tc>
          <w:tcPr>
            <w:tcW w:w="1035" w:type="dxa"/>
          </w:tcPr>
          <w:p w14:paraId="5E8401D9"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High</w:t>
            </w:r>
          </w:p>
        </w:tc>
        <w:tc>
          <w:tcPr>
            <w:tcW w:w="4485" w:type="dxa"/>
          </w:tcPr>
          <w:p w14:paraId="0947CDE2"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Git version control from day one; checkpoint all model weights and experimental logs</w:t>
            </w:r>
          </w:p>
        </w:tc>
      </w:tr>
    </w:tbl>
    <w:p w14:paraId="22DF665B" w14:textId="77777777" w:rsidR="007D2732" w:rsidRDefault="007D2732">
      <w:pPr>
        <w:spacing w:before="240" w:after="240"/>
        <w:rPr>
          <w:rFonts w:ascii="Times New Roman" w:eastAsia="Times New Roman" w:hAnsi="Times New Roman" w:cs="Times New Roman"/>
          <w:b/>
          <w:bCs/>
          <w:sz w:val="24"/>
          <w:szCs w:val="24"/>
        </w:rPr>
      </w:pPr>
    </w:p>
    <w:p w14:paraId="6F66673B" w14:textId="77777777" w:rsidR="007D273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Management approach:</w:t>
      </w:r>
    </w:p>
    <w:p w14:paraId="469328C9"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Weekly check-ins with the supervisor will keep the project on track and allow early identification of problems. A private GitHub repository will be used for version control of all code and experimental logs. Experiment results will be logged using Weights &amp; Biases or a simple CSV log from the outset not retroactively so that results are reproducible and traceable throughout.</w:t>
      </w:r>
    </w:p>
    <w:p w14:paraId="169085A8"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project is deliberately scoped to be achievable. The core comparison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vs SAE nonconformity scores, two datasets, in-distribution and one shifted domain) is the minimum viable experiment. Additional datasets and score functions are flagged as extensions, not requirements. This distinction between the core and the extended scope is the main buffer against time risk.</w:t>
      </w:r>
    </w:p>
    <w:p w14:paraId="41644151" w14:textId="77777777" w:rsidR="007D2732" w:rsidRDefault="00000000">
      <w:pPr>
        <w:pStyle w:val="Heading2"/>
        <w:keepNext w:val="0"/>
        <w:keepLines w:val="0"/>
        <w:spacing w:after="80"/>
        <w:rPr>
          <w:rFonts w:ascii="Times New Roman" w:eastAsia="Times New Roman" w:hAnsi="Times New Roman" w:cs="Times New Roman"/>
          <w:i/>
          <w:iCs/>
          <w:sz w:val="26"/>
          <w:szCs w:val="26"/>
        </w:rPr>
      </w:pPr>
      <w:bookmarkStart w:id="5" w:name="_7b1964468otx" w:colFirst="0" w:colLast="0"/>
      <w:bookmarkEnd w:id="5"/>
      <w:r>
        <w:rPr>
          <w:rFonts w:ascii="Times New Roman" w:eastAsia="Times New Roman" w:hAnsi="Times New Roman" w:cs="Times New Roman"/>
          <w:b/>
          <w:bCs/>
          <w:sz w:val="28"/>
          <w:szCs w:val="28"/>
        </w:rPr>
        <w:t>Conclusion</w:t>
      </w:r>
    </w:p>
    <w:p w14:paraId="3E2A9E9C"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proposal argues that the design of the nonconformity score in conformal prediction is a meaningful research problem with practical consequences for reliability in text classification. Standard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-based scores treat the model as a black box: they capture what the model decided, but not the internal reasoning behind that decision. Under distribution shift which is common in real </w:t>
      </w:r>
      <w:proofErr w:type="gramStart"/>
      <w:r>
        <w:rPr>
          <w:rFonts w:ascii="Times New Roman" w:eastAsia="Times New Roman" w:hAnsi="Times New Roman" w:cs="Times New Roman"/>
        </w:rPr>
        <w:t>deployments  these</w:t>
      </w:r>
      <w:proofErr w:type="gramEnd"/>
      <w:r>
        <w:rPr>
          <w:rFonts w:ascii="Times New Roman" w:eastAsia="Times New Roman" w:hAnsi="Times New Roman" w:cs="Times New Roman"/>
        </w:rPr>
        <w:t xml:space="preserve"> scores degrade in ways that are difficult to anticipate or diagnose.</w:t>
      </w:r>
    </w:p>
    <w:p w14:paraId="0413ACE1"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Sparse autoencoders offer a principled alternative. By decomposing a model's internal activations into interpretable, </w:t>
      </w:r>
      <w:proofErr w:type="spellStart"/>
      <w:r>
        <w:rPr>
          <w:rFonts w:ascii="Times New Roman" w:eastAsia="Times New Roman" w:hAnsi="Times New Roman" w:cs="Times New Roman"/>
        </w:rPr>
        <w:t>monosemantic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they expose the feature-level processing that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scores ignore. This proposal investigates whether those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used directly as nonconformity scores, produce more stable coverage guarantees under distribution shift in text classification tasks.</w:t>
      </w:r>
    </w:p>
    <w:p w14:paraId="01DBDDED"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research is feasible within the proposed timeline. Using Gemma 2-2B and pre-trained Gemma Scope SAEs via SAELens removes the need to train a sparse autoencoder from scratch, which is the most technically demanding step the approach would otherwise require. The datasets are publicly available, the experimental pipeline is well-defined, and the evaluation metrics empirical coverage and average prediction set size are established in the conformal prediction literature.</w:t>
      </w:r>
    </w:p>
    <w:p w14:paraId="6ADD8AB0" w14:textId="77777777" w:rsidR="007D273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outcome of this work will contribute to two fields simultaneously. For mechanistic interpretability, it tests whether SAE </w:t>
      </w:r>
      <w:proofErr w:type="spellStart"/>
      <w:r>
        <w:rPr>
          <w:rFonts w:ascii="Times New Roman" w:eastAsia="Times New Roman" w:hAnsi="Times New Roman" w:cs="Times New Roman"/>
        </w:rPr>
        <w:t>latents</w:t>
      </w:r>
      <w:proofErr w:type="spellEnd"/>
      <w:r>
        <w:rPr>
          <w:rFonts w:ascii="Times New Roman" w:eastAsia="Times New Roman" w:hAnsi="Times New Roman" w:cs="Times New Roman"/>
        </w:rPr>
        <w:t xml:space="preserve"> have practical utility beyond qualitative feature discovery. For conformal prediction, it introduces a new class of nonconformity score grounded in model internals rather than model outputs. Whether the results confirm or challenge the central </w:t>
      </w:r>
      <w:r>
        <w:rPr>
          <w:rFonts w:ascii="Times New Roman" w:eastAsia="Times New Roman" w:hAnsi="Times New Roman" w:cs="Times New Roman"/>
        </w:rPr>
        <w:lastRenderedPageBreak/>
        <w:t>hypothesis, they will clarify where the connection between interpretability and uncertainty quantification is most productive to develop further.</w:t>
      </w:r>
    </w:p>
    <w:p w14:paraId="501E679E" w14:textId="77777777" w:rsidR="007D2732" w:rsidRDefault="007D2732">
      <w:pPr>
        <w:spacing w:before="240" w:after="240"/>
        <w:rPr>
          <w:rFonts w:ascii="Times New Roman" w:eastAsia="Times New Roman" w:hAnsi="Times New Roman" w:cs="Times New Roman"/>
        </w:rPr>
      </w:pPr>
    </w:p>
    <w:p w14:paraId="5E816D94" w14:textId="77777777" w:rsidR="007D2732" w:rsidRDefault="007D2732">
      <w:pPr>
        <w:spacing w:before="240" w:after="240"/>
        <w:rPr>
          <w:rFonts w:ascii="Times New Roman" w:eastAsia="Times New Roman" w:hAnsi="Times New Roman" w:cs="Times New Roman"/>
        </w:rPr>
      </w:pPr>
      <w:bookmarkStart w:id="6" w:name="_dzou79cc1et3" w:colFirst="0" w:colLast="0"/>
      <w:bookmarkEnd w:id="6"/>
    </w:p>
    <w:p w14:paraId="43B52C5C" w14:textId="77777777" w:rsidR="00B200BB" w:rsidRDefault="00B200BB">
      <w:pPr>
        <w:spacing w:before="240" w:after="240"/>
        <w:rPr>
          <w:rFonts w:ascii="Times New Roman" w:eastAsia="Times New Roman" w:hAnsi="Times New Roman" w:cs="Times New Roman"/>
        </w:rPr>
      </w:pPr>
    </w:p>
    <w:p w14:paraId="2655A70D" w14:textId="77777777" w:rsidR="007D2732" w:rsidRDefault="007D2732">
      <w:pPr>
        <w:spacing w:before="240" w:after="240"/>
        <w:rPr>
          <w:rFonts w:ascii="Times New Roman" w:eastAsia="Times New Roman" w:hAnsi="Times New Roman" w:cs="Times New Roman"/>
        </w:rPr>
      </w:pPr>
    </w:p>
    <w:p w14:paraId="3EF660DC" w14:textId="77777777" w:rsidR="007D2732" w:rsidRDefault="00000000">
      <w:pPr>
        <w:pStyle w:val="Heading1"/>
        <w:keepNext w:val="0"/>
        <w:keepLines w:val="0"/>
        <w:spacing w:before="480"/>
        <w:rPr>
          <w:rFonts w:ascii="Times New Roman" w:eastAsia="Times New Roman" w:hAnsi="Times New Roman" w:cs="Times New Roman"/>
          <w:b/>
          <w:bCs/>
          <w:sz w:val="46"/>
          <w:szCs w:val="46"/>
        </w:rPr>
      </w:pPr>
      <w:bookmarkStart w:id="7" w:name="_fhzdwhxjvjxw" w:colFirst="0" w:colLast="0"/>
      <w:bookmarkEnd w:id="7"/>
      <w:r>
        <w:rPr>
          <w:rFonts w:ascii="Times New Roman" w:eastAsia="Times New Roman" w:hAnsi="Times New Roman" w:cs="Times New Roman"/>
          <w:b/>
          <w:bCs/>
          <w:sz w:val="46"/>
          <w:szCs w:val="46"/>
        </w:rPr>
        <w:t>References</w:t>
      </w:r>
    </w:p>
    <w:p w14:paraId="0CEEA82C"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Angelopoulos, A.N. and Bates, S. (2021) A gentle introduction to conformal prediction and distribution-free uncertainty quantification. Available at: </w:t>
      </w:r>
      <w:hyperlink r:id="rId6">
        <w:r>
          <w:rPr>
            <w:rFonts w:ascii="Times New Roman" w:eastAsia="Times New Roman" w:hAnsi="Times New Roman" w:cs="Times New Roman"/>
            <w:color w:val="1155CC"/>
            <w:u w:val="single"/>
          </w:rPr>
          <w:t>https://arxiv.org/abs/2107.07511</w:t>
        </w:r>
      </w:hyperlink>
    </w:p>
    <w:p w14:paraId="3AB66811"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02C323FA"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Bricken, T., Templeton, A., Batson, J., Chen, B., Jermyn, A., Conerly, T., Turner, N., Anil, C., Denison, C., Askell, A., Lasenby, R., Wu, Y., Kravec, S., Schiefer, N., Maxwell, T., Joseph, N., Hatfield-Dodds, Z., Tamkin, A., Nguyen, K., McLean, B., Burke, J.E., Hume, T., Carter, S., Henighan, T. and Olah, C. (2023) 'Towards </w:t>
      </w:r>
      <w:proofErr w:type="spellStart"/>
      <w:r>
        <w:rPr>
          <w:rFonts w:ascii="Times New Roman" w:eastAsia="Times New Roman" w:hAnsi="Times New Roman" w:cs="Times New Roman"/>
        </w:rPr>
        <w:t>monosemanticity</w:t>
      </w:r>
      <w:proofErr w:type="spellEnd"/>
      <w:r>
        <w:rPr>
          <w:rFonts w:ascii="Times New Roman" w:eastAsia="Times New Roman" w:hAnsi="Times New Roman" w:cs="Times New Roman"/>
        </w:rPr>
        <w:t xml:space="preserve">: decomposing language models with dictionary learning', Transformer Circuits Thread. Available at: </w:t>
      </w:r>
      <w:hyperlink r:id="rId7">
        <w:r>
          <w:rPr>
            <w:rFonts w:ascii="Times New Roman" w:eastAsia="Times New Roman" w:hAnsi="Times New Roman" w:cs="Times New Roman"/>
            <w:color w:val="1155CC"/>
            <w:u w:val="single"/>
          </w:rPr>
          <w:t>https://transformer-circuits.pub/2023/monosemantic-features</w:t>
        </w:r>
      </w:hyperlink>
    </w:p>
    <w:p w14:paraId="1347F275"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4A2D34AB"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Campos, M., </w:t>
      </w:r>
      <w:proofErr w:type="spellStart"/>
      <w:r>
        <w:rPr>
          <w:rFonts w:ascii="Times New Roman" w:eastAsia="Times New Roman" w:hAnsi="Times New Roman" w:cs="Times New Roman"/>
        </w:rPr>
        <w:t>Farinhas</w:t>
      </w:r>
      <w:proofErr w:type="spellEnd"/>
      <w:r>
        <w:rPr>
          <w:rFonts w:ascii="Times New Roman" w:eastAsia="Times New Roman" w:hAnsi="Times New Roman" w:cs="Times New Roman"/>
        </w:rPr>
        <w:t xml:space="preserve">, A., Zerva, C., Figueiredo, M.A.T. and Martins, A.F.T. (2024) 'Conformal prediction for natural language processing: a survey', Transactions of the Association for Computational Linguistics, 12, pp. 1497–1516. Available at: </w:t>
      </w:r>
      <w:hyperlink r:id="rId8">
        <w:r>
          <w:rPr>
            <w:rFonts w:ascii="Times New Roman" w:eastAsia="Times New Roman" w:hAnsi="Times New Roman" w:cs="Times New Roman"/>
            <w:color w:val="1155CC"/>
            <w:u w:val="single"/>
          </w:rPr>
          <w:t>https://doi.org/10.1162/tacl_a_00715</w:t>
        </w:r>
      </w:hyperlink>
    </w:p>
    <w:p w14:paraId="434A5D83"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16F238D1"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Cunningham, H., Ewart, A., Riggs, L., Huben, R. and Sharkey, L. (2023) 'Sparse autoencoders find highly interpretable features in language models',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arXiv:2309.08600. Available at: </w:t>
      </w:r>
      <w:hyperlink r:id="rId9">
        <w:r>
          <w:rPr>
            <w:rFonts w:ascii="Times New Roman" w:eastAsia="Times New Roman" w:hAnsi="Times New Roman" w:cs="Times New Roman"/>
            <w:color w:val="1155CC"/>
            <w:u w:val="single"/>
          </w:rPr>
          <w:t>https://arxiv.org/abs/2309.08600</w:t>
        </w:r>
      </w:hyperlink>
    </w:p>
    <w:p w14:paraId="657A75AD"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26016031"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Elhage, N., Hume, T., Olsson, C., Schiefer, N., Henighan, T., Kravec, S., Hatfield-Dodds, Z., Lasenby, R., Drain, D., Chen, C., Grosse, R., McCandlish, S., Kaplan, J., Amodei, D., Wattenberg, M. and Olah, C. (2022) 'Toy models of superposition', Transformer Circuits Thread. Available at: </w:t>
      </w:r>
      <w:hyperlink r:id="rId10">
        <w:r>
          <w:rPr>
            <w:rFonts w:ascii="Times New Roman" w:eastAsia="Times New Roman" w:hAnsi="Times New Roman" w:cs="Times New Roman"/>
            <w:color w:val="1155CC"/>
            <w:u w:val="single"/>
          </w:rPr>
          <w:t>https://transformer-circuits.pub/2022/toy_model/index.html</w:t>
        </w:r>
      </w:hyperlink>
    </w:p>
    <w:p w14:paraId="1DD3F252"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6704084E"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Gao, L., la Tour, T.D., Tillman, H., Goh, G., Troll, R., Radford, A., </w:t>
      </w:r>
      <w:proofErr w:type="spellStart"/>
      <w:r>
        <w:rPr>
          <w:rFonts w:ascii="Times New Roman" w:eastAsia="Times New Roman" w:hAnsi="Times New Roman" w:cs="Times New Roman"/>
        </w:rPr>
        <w:t>Sutskever</w:t>
      </w:r>
      <w:proofErr w:type="spellEnd"/>
      <w:r>
        <w:rPr>
          <w:rFonts w:ascii="Times New Roman" w:eastAsia="Times New Roman" w:hAnsi="Times New Roman" w:cs="Times New Roman"/>
        </w:rPr>
        <w:t xml:space="preserve">, I., </w:t>
      </w:r>
      <w:proofErr w:type="spellStart"/>
      <w:r>
        <w:rPr>
          <w:rFonts w:ascii="Times New Roman" w:eastAsia="Times New Roman" w:hAnsi="Times New Roman" w:cs="Times New Roman"/>
        </w:rPr>
        <w:t>Leike</w:t>
      </w:r>
      <w:proofErr w:type="spellEnd"/>
      <w:r>
        <w:rPr>
          <w:rFonts w:ascii="Times New Roman" w:eastAsia="Times New Roman" w:hAnsi="Times New Roman" w:cs="Times New Roman"/>
        </w:rPr>
        <w:t xml:space="preserve">, J. and Wu, J. (2024) Scaling and evaluating sparse autoencoders. Available at: </w:t>
      </w:r>
      <w:hyperlink r:id="rId11">
        <w:r>
          <w:rPr>
            <w:rFonts w:ascii="Times New Roman" w:eastAsia="Times New Roman" w:hAnsi="Times New Roman" w:cs="Times New Roman"/>
            <w:color w:val="1155CC"/>
            <w:u w:val="single"/>
          </w:rPr>
          <w:t>https://cdn.openai.com/papers/sparse-autoencoders.pdf</w:t>
        </w:r>
      </w:hyperlink>
    </w:p>
    <w:p w14:paraId="20BF9458"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70AABF0B"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Lin, Z. and Han, F. (2025) Domain-shift-aware conformal prediction for large language models. Available at: </w:t>
      </w:r>
      <w:hyperlink r:id="rId12">
        <w:r>
          <w:rPr>
            <w:rFonts w:ascii="Times New Roman" w:eastAsia="Times New Roman" w:hAnsi="Times New Roman" w:cs="Times New Roman"/>
            <w:color w:val="1155CC"/>
            <w:u w:val="single"/>
          </w:rPr>
          <w:t>https://arxiv.org/abs/2510.05566</w:t>
        </w:r>
      </w:hyperlink>
    </w:p>
    <w:p w14:paraId="61700959"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22237B05"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lastRenderedPageBreak/>
        <w:t xml:space="preserve">Nanda, N. (2022) A comprehensive mechanistic interpretability explainer and glossary. Available at: </w:t>
      </w:r>
      <w:hyperlink r:id="rId13">
        <w:r>
          <w:rPr>
            <w:rFonts w:ascii="Times New Roman" w:eastAsia="Times New Roman" w:hAnsi="Times New Roman" w:cs="Times New Roman"/>
            <w:color w:val="1155CC"/>
            <w:u w:val="single"/>
          </w:rPr>
          <w:t>https://www.neelnanda.io/mechanistic-interpretability/glossary</w:t>
        </w:r>
      </w:hyperlink>
    </w:p>
    <w:p w14:paraId="46332092"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32754BE5"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Quach, V., Fisch, A., Schuster, T., Yala, A., Sohn, J.H., Jaakkola, T.S. and Barzilay, R. (2024) 'Conformal language modeling', in Proceedings of the International Conference on Learning </w:t>
      </w:r>
      <w:proofErr w:type="gramStart"/>
      <w:r>
        <w:rPr>
          <w:rFonts w:ascii="Times New Roman" w:eastAsia="Times New Roman" w:hAnsi="Times New Roman" w:cs="Times New Roman"/>
        </w:rPr>
        <w:t>Representations(</w:t>
      </w:r>
      <w:proofErr w:type="gramEnd"/>
      <w:r>
        <w:rPr>
          <w:rFonts w:ascii="Times New Roman" w:eastAsia="Times New Roman" w:hAnsi="Times New Roman" w:cs="Times New Roman"/>
        </w:rPr>
        <w:t xml:space="preserve">ICLR 2024). Available at: </w:t>
      </w:r>
      <w:hyperlink r:id="rId14">
        <w:r>
          <w:rPr>
            <w:rFonts w:ascii="Times New Roman" w:eastAsia="Times New Roman" w:hAnsi="Times New Roman" w:cs="Times New Roman"/>
            <w:color w:val="1155CC"/>
            <w:u w:val="single"/>
          </w:rPr>
          <w:t>https://proceedings.iclr.cc/paper_files/paper/2024/file/31421b112e5f7faf4fc577b74e45dab2-Paper-Conference.pdf</w:t>
        </w:r>
      </w:hyperlink>
    </w:p>
    <w:p w14:paraId="58ED5546"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(Accessed: 2 April 2026).</w:t>
      </w:r>
    </w:p>
    <w:p w14:paraId="23ED4A67"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 xml:space="preserve">Team, G.S. (2024) Gemma Scope: helping the </w:t>
      </w:r>
      <w:proofErr w:type="gramStart"/>
      <w:r>
        <w:rPr>
          <w:rFonts w:ascii="Times New Roman" w:eastAsia="Times New Roman" w:hAnsi="Times New Roman" w:cs="Times New Roman"/>
        </w:rPr>
        <w:t>safety community</w:t>
      </w:r>
      <w:proofErr w:type="gramEnd"/>
      <w:r>
        <w:rPr>
          <w:rFonts w:ascii="Times New Roman" w:eastAsia="Times New Roman" w:hAnsi="Times New Roman" w:cs="Times New Roman"/>
        </w:rPr>
        <w:t xml:space="preserve"> shed light on the inner workings of language models. DeepMind. Available at: </w:t>
      </w:r>
      <w:hyperlink r:id="rId15">
        <w:r>
          <w:rPr>
            <w:rFonts w:ascii="Times New Roman" w:eastAsia="Times New Roman" w:hAnsi="Times New Roman" w:cs="Times New Roman"/>
            <w:color w:val="1155CC"/>
            <w:u w:val="single"/>
          </w:rPr>
          <w:t>https://deepmind.google/discover/blog/gemma-scope-helping-the-safety-community-shed-light-on-the-inner-workings-of-language-models/</w:t>
        </w:r>
      </w:hyperlink>
    </w:p>
    <w:p w14:paraId="614C2171" w14:textId="77777777" w:rsidR="007D2732" w:rsidRDefault="00000000">
      <w:pPr>
        <w:spacing w:before="80" w:after="80"/>
        <w:rPr>
          <w:rFonts w:ascii="Times New Roman" w:eastAsia="Times New Roman" w:hAnsi="Times New Roman" w:cs="Times New Roman"/>
        </w:rPr>
      </w:pPr>
      <w:r>
        <w:rPr>
          <w:rFonts w:ascii="Times New Roman" w:eastAsia="Times New Roman" w:hAnsi="Times New Roman" w:cs="Times New Roman"/>
        </w:rPr>
        <w:t>(Accessed: 2 April 2026).</w:t>
      </w:r>
    </w:p>
    <w:p w14:paraId="40ABC597"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Templeton, A., Conerly, T., Marcus, J., Lindsey, J., Bricken, T., Chen, B., Pearce, A., Citro, C., </w:t>
      </w:r>
      <w:proofErr w:type="spellStart"/>
      <w:r>
        <w:rPr>
          <w:rFonts w:ascii="Times New Roman" w:eastAsia="Times New Roman" w:hAnsi="Times New Roman" w:cs="Times New Roman"/>
        </w:rPr>
        <w:t>Ameisen</w:t>
      </w:r>
      <w:proofErr w:type="spellEnd"/>
      <w:r>
        <w:rPr>
          <w:rFonts w:ascii="Times New Roman" w:eastAsia="Times New Roman" w:hAnsi="Times New Roman" w:cs="Times New Roman"/>
        </w:rPr>
        <w:t xml:space="preserve">, E., Jones, A., Cunningham, H., Turner, N.L., McDougall, C., MacDiarmid, M., Freeman, C.D., Sumers, T.R., Rees, E., Batson, J., Jermyn, A., Carter, S., Olah, C. and Henighan, T. (2024) 'Scaling </w:t>
      </w:r>
      <w:proofErr w:type="spellStart"/>
      <w:r>
        <w:rPr>
          <w:rFonts w:ascii="Times New Roman" w:eastAsia="Times New Roman" w:hAnsi="Times New Roman" w:cs="Times New Roman"/>
        </w:rPr>
        <w:t>monosemanticity</w:t>
      </w:r>
      <w:proofErr w:type="spellEnd"/>
      <w:r>
        <w:rPr>
          <w:rFonts w:ascii="Times New Roman" w:eastAsia="Times New Roman" w:hAnsi="Times New Roman" w:cs="Times New Roman"/>
        </w:rPr>
        <w:t xml:space="preserve">: extracting interpretable features from Claude 3 Sonnet', Transformer Circuits Thread. Available at: </w:t>
      </w:r>
      <w:hyperlink r:id="rId16">
        <w:r>
          <w:rPr>
            <w:rFonts w:ascii="Times New Roman" w:eastAsia="Times New Roman" w:hAnsi="Times New Roman" w:cs="Times New Roman"/>
            <w:color w:val="1155CC"/>
            <w:u w:val="single"/>
          </w:rPr>
          <w:t>https://transformer-circuits.pub/2024/scaling-monosemanticity/</w:t>
        </w:r>
      </w:hyperlink>
    </w:p>
    <w:p w14:paraId="18C80E05"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4DCE9954" w14:textId="77777777" w:rsidR="007D2732" w:rsidRDefault="00000000">
      <w:pPr>
        <w:spacing w:before="80" w:after="80"/>
        <w:jc w:val="both"/>
        <w:rPr>
          <w:rFonts w:ascii="Times New Roman" w:eastAsia="Times New Roman" w:hAnsi="Times New Roman" w:cs="Times New Roman"/>
        </w:rPr>
      </w:pPr>
      <w:proofErr w:type="spellStart"/>
      <w:r>
        <w:rPr>
          <w:rFonts w:ascii="Times New Roman" w:eastAsia="Times New Roman" w:hAnsi="Times New Roman" w:cs="Times New Roman"/>
        </w:rPr>
        <w:t>Tibshirani</w:t>
      </w:r>
      <w:proofErr w:type="spellEnd"/>
      <w:r>
        <w:rPr>
          <w:rFonts w:ascii="Times New Roman" w:eastAsia="Times New Roman" w:hAnsi="Times New Roman" w:cs="Times New Roman"/>
        </w:rPr>
        <w:t xml:space="preserve">, R.J., </w:t>
      </w:r>
      <w:proofErr w:type="spellStart"/>
      <w:r>
        <w:rPr>
          <w:rFonts w:ascii="Times New Roman" w:eastAsia="Times New Roman" w:hAnsi="Times New Roman" w:cs="Times New Roman"/>
        </w:rPr>
        <w:t>Foygel</w:t>
      </w:r>
      <w:proofErr w:type="spellEnd"/>
      <w:r>
        <w:rPr>
          <w:rFonts w:ascii="Times New Roman" w:eastAsia="Times New Roman" w:hAnsi="Times New Roman" w:cs="Times New Roman"/>
        </w:rPr>
        <w:t xml:space="preserve"> Barber, R., Candes, E. and Ramdas, A. (2019) 'Conformal prediction under covariate shift', Advances in Neural Information Processing Systems, 32. Available at: </w:t>
      </w:r>
      <w:hyperlink r:id="rId17">
        <w:r>
          <w:rPr>
            <w:rFonts w:ascii="Times New Roman" w:eastAsia="Times New Roman" w:hAnsi="Times New Roman" w:cs="Times New Roman"/>
            <w:color w:val="1155CC"/>
            <w:u w:val="single"/>
          </w:rPr>
          <w:t>https://proceedings.neurips.cc/paper/2019</w:t>
        </w:r>
      </w:hyperlink>
    </w:p>
    <w:p w14:paraId="09DCF83F"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(Accessed: 2 April 2026).</w:t>
      </w:r>
    </w:p>
    <w:p w14:paraId="7D2C3C5C" w14:textId="77777777" w:rsidR="007D2732"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rPr>
        <w:t>Vovk, V., Gammerman, A. and Shafer, G. (2005) Algorithmic learning in a random world. New York: Springer.</w:t>
      </w:r>
    </w:p>
    <w:p w14:paraId="25148D75" w14:textId="77777777" w:rsidR="007D2732" w:rsidRDefault="007D2732">
      <w:pPr>
        <w:rPr>
          <w:rFonts w:ascii="Times New Roman" w:eastAsia="Times New Roman" w:hAnsi="Times New Roman" w:cs="Times New Roman"/>
        </w:rPr>
      </w:pPr>
    </w:p>
    <w:p w14:paraId="20839B0C" w14:textId="77777777" w:rsidR="007D2732" w:rsidRDefault="007D2732">
      <w:pPr>
        <w:rPr>
          <w:rFonts w:ascii="Times New Roman" w:eastAsia="Times New Roman" w:hAnsi="Times New Roman" w:cs="Times New Roman"/>
        </w:rPr>
      </w:pPr>
    </w:p>
    <w:p w14:paraId="73DFD128" w14:textId="77777777" w:rsidR="007D2732" w:rsidRDefault="007D2732">
      <w:pPr>
        <w:rPr>
          <w:rFonts w:ascii="Times New Roman" w:eastAsia="Times New Roman" w:hAnsi="Times New Roman" w:cs="Times New Roman"/>
        </w:rPr>
      </w:pPr>
    </w:p>
    <w:p w14:paraId="6C67D567" w14:textId="77777777" w:rsidR="007D2732" w:rsidRDefault="007D2732">
      <w:pPr>
        <w:rPr>
          <w:rFonts w:ascii="Times New Roman" w:eastAsia="Times New Roman" w:hAnsi="Times New Roman" w:cs="Times New Roman"/>
        </w:rPr>
      </w:pPr>
    </w:p>
    <w:p w14:paraId="6672C395" w14:textId="77777777" w:rsidR="007D2732" w:rsidRDefault="007D2732">
      <w:pPr>
        <w:rPr>
          <w:rFonts w:ascii="Times New Roman" w:eastAsia="Times New Roman" w:hAnsi="Times New Roman" w:cs="Times New Roman"/>
        </w:rPr>
      </w:pPr>
    </w:p>
    <w:p w14:paraId="5BC60C03" w14:textId="77777777" w:rsidR="007D2732" w:rsidRDefault="007D2732">
      <w:pPr>
        <w:rPr>
          <w:rFonts w:ascii="Times New Roman" w:eastAsia="Times New Roman" w:hAnsi="Times New Roman" w:cs="Times New Roman"/>
        </w:rPr>
      </w:pPr>
    </w:p>
    <w:p w14:paraId="57C7A39C" w14:textId="77777777" w:rsidR="007D2732" w:rsidRDefault="007D2732">
      <w:pPr>
        <w:rPr>
          <w:rFonts w:ascii="Times New Roman" w:eastAsia="Times New Roman" w:hAnsi="Times New Roman" w:cs="Times New Roman"/>
        </w:rPr>
      </w:pPr>
    </w:p>
    <w:p w14:paraId="20DC6D51" w14:textId="77777777" w:rsidR="007D2732" w:rsidRDefault="007D2732">
      <w:pPr>
        <w:rPr>
          <w:rFonts w:ascii="Times New Roman" w:eastAsia="Times New Roman" w:hAnsi="Times New Roman" w:cs="Times New Roman"/>
        </w:rPr>
      </w:pPr>
    </w:p>
    <w:p w14:paraId="435A8781" w14:textId="77777777" w:rsidR="007D2732" w:rsidRDefault="007D2732">
      <w:pPr>
        <w:rPr>
          <w:rFonts w:ascii="Times New Roman" w:eastAsia="Times New Roman" w:hAnsi="Times New Roman" w:cs="Times New Roman"/>
        </w:rPr>
      </w:pPr>
    </w:p>
    <w:p w14:paraId="030D39DB" w14:textId="77777777" w:rsidR="007D2732" w:rsidRDefault="007D2732">
      <w:pPr>
        <w:rPr>
          <w:rFonts w:ascii="Times New Roman" w:eastAsia="Times New Roman" w:hAnsi="Times New Roman" w:cs="Times New Roman"/>
        </w:rPr>
      </w:pPr>
    </w:p>
    <w:p w14:paraId="2D713FCE" w14:textId="77777777" w:rsidR="007D2732" w:rsidRDefault="007D2732">
      <w:pPr>
        <w:rPr>
          <w:rFonts w:ascii="Times New Roman" w:eastAsia="Times New Roman" w:hAnsi="Times New Roman" w:cs="Times New Roman"/>
        </w:rPr>
      </w:pPr>
    </w:p>
    <w:p w14:paraId="6CA992FC" w14:textId="77777777" w:rsidR="007D2732" w:rsidRDefault="007D2732">
      <w:pPr>
        <w:rPr>
          <w:rFonts w:ascii="Times New Roman" w:eastAsia="Times New Roman" w:hAnsi="Times New Roman" w:cs="Times New Roman"/>
        </w:rPr>
      </w:pPr>
    </w:p>
    <w:p w14:paraId="4078B386" w14:textId="77777777" w:rsidR="007D2732" w:rsidRDefault="007D2732">
      <w:pPr>
        <w:rPr>
          <w:rFonts w:ascii="Times New Roman" w:eastAsia="Times New Roman" w:hAnsi="Times New Roman" w:cs="Times New Roman"/>
        </w:rPr>
      </w:pPr>
    </w:p>
    <w:p w14:paraId="718BFDC2" w14:textId="77777777" w:rsidR="007D2732" w:rsidRDefault="007D2732">
      <w:pPr>
        <w:rPr>
          <w:rFonts w:ascii="Times New Roman" w:eastAsia="Times New Roman" w:hAnsi="Times New Roman" w:cs="Times New Roman"/>
        </w:rPr>
      </w:pPr>
    </w:p>
    <w:p w14:paraId="2292F2C4" w14:textId="77777777" w:rsidR="007D2732" w:rsidRDefault="007D2732">
      <w:pPr>
        <w:rPr>
          <w:rFonts w:ascii="Times New Roman" w:eastAsia="Times New Roman" w:hAnsi="Times New Roman" w:cs="Times New Roman"/>
        </w:rPr>
      </w:pPr>
    </w:p>
    <w:p w14:paraId="7A780345" w14:textId="77777777" w:rsidR="007D2732" w:rsidRDefault="007D2732">
      <w:pPr>
        <w:rPr>
          <w:rFonts w:ascii="Times New Roman" w:eastAsia="Times New Roman" w:hAnsi="Times New Roman" w:cs="Times New Roman"/>
        </w:rPr>
      </w:pPr>
    </w:p>
    <w:p w14:paraId="69226580" w14:textId="77777777" w:rsidR="007D2732" w:rsidRDefault="007D2732">
      <w:pPr>
        <w:rPr>
          <w:rFonts w:ascii="Times New Roman" w:eastAsia="Times New Roman" w:hAnsi="Times New Roman" w:cs="Times New Roman"/>
        </w:rPr>
      </w:pPr>
    </w:p>
    <w:p w14:paraId="679CCE04" w14:textId="77777777" w:rsidR="007D2732" w:rsidRDefault="007D2732">
      <w:pPr>
        <w:rPr>
          <w:rFonts w:ascii="Times New Roman" w:eastAsia="Times New Roman" w:hAnsi="Times New Roman" w:cs="Times New Roman"/>
        </w:rPr>
      </w:pPr>
    </w:p>
    <w:p w14:paraId="05986C96" w14:textId="77777777" w:rsidR="007D2732" w:rsidRDefault="007D2732">
      <w:pPr>
        <w:rPr>
          <w:rFonts w:ascii="Times New Roman" w:eastAsia="Times New Roman" w:hAnsi="Times New Roman" w:cs="Times New Roman"/>
        </w:rPr>
      </w:pPr>
    </w:p>
    <w:p w14:paraId="438A7701" w14:textId="77777777" w:rsidR="007D2732" w:rsidRDefault="007D2732">
      <w:pPr>
        <w:rPr>
          <w:rFonts w:ascii="Times New Roman" w:eastAsia="Times New Roman" w:hAnsi="Times New Roman" w:cs="Times New Roman"/>
        </w:rPr>
      </w:pPr>
    </w:p>
    <w:p w14:paraId="32044A44" w14:textId="77777777" w:rsidR="007D2732" w:rsidRDefault="00000000">
      <w:pPr>
        <w:pStyle w:val="Heading1"/>
        <w:keepNext w:val="0"/>
        <w:keepLines w:val="0"/>
        <w:spacing w:before="480"/>
        <w:rPr>
          <w:rFonts w:ascii="Times New Roman" w:eastAsia="Times New Roman" w:hAnsi="Times New Roman" w:cs="Times New Roman"/>
          <w:b/>
          <w:bCs/>
          <w:sz w:val="28"/>
          <w:szCs w:val="28"/>
        </w:rPr>
      </w:pPr>
      <w:bookmarkStart w:id="8" w:name="_kcn13gx8id16" w:colFirst="0" w:colLast="0"/>
      <w:bookmarkEnd w:id="8"/>
      <w:r>
        <w:rPr>
          <w:rFonts w:ascii="Times New Roman" w:eastAsia="Times New Roman" w:hAnsi="Times New Roman" w:cs="Times New Roman"/>
          <w:b/>
          <w:bCs/>
          <w:sz w:val="28"/>
          <w:szCs w:val="28"/>
        </w:rPr>
        <w:lastRenderedPageBreak/>
        <w:t>Appendix: Academic Misconduct Quiz Completion Certificate</w:t>
      </w:r>
    </w:p>
    <w:p w14:paraId="69A1D191" w14:textId="77777777" w:rsidR="007D2732" w:rsidRDefault="007D2732"/>
    <w:p w14:paraId="7FF190B9" w14:textId="77777777" w:rsidR="007D2732" w:rsidRDefault="007D2732"/>
    <w:p w14:paraId="7149FC5E" w14:textId="77777777" w:rsidR="007D2732"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E63A965" wp14:editId="10665C4A">
            <wp:extent cx="5731200" cy="4064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5731200" cy="4064000"/>
                    </a:xfrm>
                    <a:prstGeom prst="rect">
                      <a:avLst/>
                    </a:prstGeom>
                    <a:ln/>
                  </pic:spPr>
                </pic:pic>
              </a:graphicData>
            </a:graphic>
          </wp:inline>
        </w:drawing>
      </w:r>
    </w:p>
    <w:sectPr w:rsidR="007D2732">
      <w:headerReference w:type="default" r:id="rId19"/>
      <w:footerReference w:type="default" r:id="rId2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A34F8" w14:textId="77777777" w:rsidR="00F06EC4" w:rsidRDefault="00F06EC4">
      <w:pPr>
        <w:spacing w:line="240" w:lineRule="auto"/>
      </w:pPr>
      <w:r>
        <w:separator/>
      </w:r>
    </w:p>
  </w:endnote>
  <w:endnote w:type="continuationSeparator" w:id="0">
    <w:p w14:paraId="42BDC031" w14:textId="77777777" w:rsidR="00F06EC4" w:rsidRDefault="00F06E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6E5592-5B2C-4315-B35E-5371EF50F687}"/>
  </w:font>
  <w:font w:name="Cambria">
    <w:panose1 w:val="02040503050406030204"/>
    <w:charset w:val="00"/>
    <w:family w:val="roman"/>
    <w:pitch w:val="variable"/>
    <w:sig w:usb0="E00006FF" w:usb1="420024FF" w:usb2="02000000" w:usb3="00000000" w:csb0="0000019F" w:csb1="00000000"/>
    <w:embedRegular r:id="rId2" w:fontKey="{B6C73AE6-DE80-4B05-A4D8-142324ED03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1C8D" w14:textId="77777777" w:rsidR="007D2732" w:rsidRDefault="00000000">
    <w:pPr>
      <w:rPr>
        <w:sz w:val="20"/>
        <w:szCs w:val="20"/>
      </w:rPr>
    </w:pPr>
    <w:r>
      <w:rPr>
        <w:sz w:val="20"/>
        <w:szCs w:val="20"/>
      </w:rPr>
      <w:t>Brunel University London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310E2" w14:textId="77777777" w:rsidR="00F06EC4" w:rsidRDefault="00F06EC4">
      <w:pPr>
        <w:spacing w:line="240" w:lineRule="auto"/>
      </w:pPr>
      <w:r>
        <w:separator/>
      </w:r>
    </w:p>
  </w:footnote>
  <w:footnote w:type="continuationSeparator" w:id="0">
    <w:p w14:paraId="5F889CE1" w14:textId="77777777" w:rsidR="00F06EC4" w:rsidRDefault="00F06E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586E" w14:textId="77777777" w:rsidR="007D2732" w:rsidRDefault="00000000">
    <w:pPr>
      <w:rPr>
        <w:sz w:val="18"/>
        <w:szCs w:val="18"/>
      </w:rPr>
    </w:pPr>
    <w:r>
      <w:rPr>
        <w:sz w:val="18"/>
        <w:szCs w:val="18"/>
      </w:rPr>
      <w:t>CS5804 Research Project Management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32"/>
    <w:rsid w:val="0019672E"/>
    <w:rsid w:val="007D2732"/>
    <w:rsid w:val="00B200BB"/>
    <w:rsid w:val="00F06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DC2B"/>
  <w15:docId w15:val="{56F60506-7768-42E7-B6D9-CFD726FA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62/tacl_a_00715" TargetMode="External"/><Relationship Id="rId13" Type="http://schemas.openxmlformats.org/officeDocument/2006/relationships/hyperlink" Target="https://www.neelnanda.io/mechanistic-interpretability/glossary" TargetMode="External"/><Relationship Id="rId18" Type="http://schemas.openxmlformats.org/officeDocument/2006/relationships/image" Target="media/image1.jp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transformer-circuits.pub/2023/monosemantic-features" TargetMode="External"/><Relationship Id="rId12" Type="http://schemas.openxmlformats.org/officeDocument/2006/relationships/hyperlink" Target="https://arxiv.org/abs/2510.05566" TargetMode="External"/><Relationship Id="rId17" Type="http://schemas.openxmlformats.org/officeDocument/2006/relationships/hyperlink" Target="https://proceedings.neurips.cc/paper/2019" TargetMode="External"/><Relationship Id="rId2" Type="http://schemas.openxmlformats.org/officeDocument/2006/relationships/settings" Target="settings.xml"/><Relationship Id="rId16" Type="http://schemas.openxmlformats.org/officeDocument/2006/relationships/hyperlink" Target="https://transformer-circuits.pub/2024/scaling-monosemanticity/"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arxiv.org/abs/2107.07511" TargetMode="External"/><Relationship Id="rId11" Type="http://schemas.openxmlformats.org/officeDocument/2006/relationships/hyperlink" Target="https://cdn.openai.com/papers/sparse-autoencoders.pdf" TargetMode="External"/><Relationship Id="rId5" Type="http://schemas.openxmlformats.org/officeDocument/2006/relationships/endnotes" Target="endnotes.xml"/><Relationship Id="rId15" Type="http://schemas.openxmlformats.org/officeDocument/2006/relationships/hyperlink" Target="https://deepmind.google/discover/blog/gemma-scope-helping-the-safety-community-shed-light-on-the-inner-workings-of-language-models/" TargetMode="External"/><Relationship Id="rId10" Type="http://schemas.openxmlformats.org/officeDocument/2006/relationships/hyperlink" Target="https://transformer-circuits.pub/2022/toy_model/index.html"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arxiv.org/abs/2309.08600" TargetMode="External"/><Relationship Id="rId14" Type="http://schemas.openxmlformats.org/officeDocument/2006/relationships/hyperlink" Target="https://proceedings.iclr.cc/paper_files/paper/2024/file/31421b112e5f7faf4fc577b74e45dab2-Paper-Conference.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5126</Words>
  <Characters>29221</Characters>
  <Application>Microsoft Office Word</Application>
  <DocSecurity>0</DocSecurity>
  <Lines>243</Lines>
  <Paragraphs>68</Paragraphs>
  <ScaleCrop>false</ScaleCrop>
  <Company/>
  <LinksUpToDate>false</LinksUpToDate>
  <CharactersWithSpaces>34279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 Qureishi</cp:lastModifiedBy>
  <cp:revision>2</cp:revision>
  <dcterms:created xsi:type="dcterms:W3CDTF">2026-04-08T13:29:00Z</dcterms:created>
  <dcterms:modified xsi:type="dcterms:W3CDTF">2026-04-08T13:32:00Z</dcterms:modified>
</cp:coreProperties>
</file>