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200"/>
      </w:pPr>
      <w:r>
        <w:rPr>
          <w:b/>
          <w:color w:val="232933"/>
          <w:sz w:val="36"/>
        </w:rPr>
        <w:t>Radar de Stock — Folha de Decisão · T0</w:t>
      </w:r>
    </w:p>
    <w:p>
      <w:r>
        <w:rPr>
          <w:b/>
          <w:color w:val="232933"/>
        </w:rPr>
        <w:t>A MatosCar · Usados · 12/07/2026 · Sara Cruz</w:t>
      </w:r>
    </w:p>
    <w:p>
      <w:r>
        <w:rPr>
          <w:i/>
          <w:color w:val="6B7280"/>
          <w:sz w:val="18"/>
        </w:rPr>
        <w:t>Dados públicos do próprio site (amatoscar.pt). "Saída de stock" é proxy, não venda confirmada.</w:t>
      </w:r>
    </w:p>
    <w:p>
      <w:pPr>
        <w:spacing w:after="80" w:before="200"/>
      </w:pPr>
      <w:r>
        <w:rPr>
          <w:b/>
          <w:color w:val="232933"/>
          <w:sz w:val="30"/>
        </w:rPr>
        <w:t>A fotografia de hoje</w:t>
      </w:r>
    </w:p>
    <w:p>
      <w:r>
        <w:rPr>
          <w:b/>
        </w:rPr>
        <w:t>193 viaturas</w:t>
      </w:r>
      <w:r>
        <w:t xml:space="preserve"> usadas em stock online · preço mediano </w:t>
      </w:r>
      <w:r>
        <w:rPr>
          <w:b/>
        </w:rPr>
        <w:t>27.500 €</w:t>
      </w:r>
      <w:r>
        <w:t xml:space="preserve"> (de 8.950 € a 171.265 €) · </w:t>
      </w:r>
      <w:r>
        <w:rPr>
          <w:b/>
        </w:rPr>
        <w:t>39% eletrificadas</w:t>
      </w:r>
      <w:r>
        <w:t xml:space="preserve"> (45 elétricos + 30 híbridos).</w:t>
      </w:r>
    </w:p>
    <w:p>
      <w:r>
        <w:t>Este é o ponto de partida (T0). A rotação — quanto tempo cada carro fica listado — nasce quando repetirmos a recolha em setembro (T1) e dezembro (T2). Hoje fixamos a base.</w:t>
      </w:r>
    </w:p>
    <w:p>
      <w:pPr>
        <w:spacing w:after="80" w:before="200"/>
      </w:pPr>
      <w:r>
        <w:rPr>
          <w:b/>
          <w:color w:val="232933"/>
          <w:sz w:val="30"/>
        </w:rPr>
        <w:t>Onde está o stock — concentração extrema em Évora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Distrito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Viaturas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Preço mediano</w:t>
            </w:r>
          </w:p>
        </w:tc>
      </w:tr>
      <w:tr>
        <w:tc>
          <w:tcPr>
            <w:tcW w:type="dxa" w:w="2160"/>
          </w:tcPr>
          <w:p>
            <w:r>
              <w:t>Évora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30.200 €</w:t>
            </w:r>
          </w:p>
        </w:tc>
      </w:tr>
      <w:tr>
        <w:tc>
          <w:tcPr>
            <w:tcW w:type="dxa" w:w="2160"/>
          </w:tcPr>
          <w:p>
            <w:r>
              <w:t>Guarda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17%</w:t>
            </w:r>
          </w:p>
        </w:tc>
        <w:tc>
          <w:tcPr>
            <w:tcW w:type="dxa" w:w="2160"/>
          </w:tcPr>
          <w:p>
            <w:r>
              <w:t>26.000 €</w:t>
            </w:r>
          </w:p>
        </w:tc>
      </w:tr>
      <w:tr>
        <w:tc>
          <w:tcPr>
            <w:tcW w:type="dxa" w:w="2160"/>
          </w:tcPr>
          <w:p>
            <w:r>
              <w:t>Castelo Branco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19.700 €</w:t>
            </w:r>
          </w:p>
        </w:tc>
      </w:tr>
      <w:tr>
        <w:tc>
          <w:tcPr>
            <w:tcW w:type="dxa" w:w="2160"/>
          </w:tcPr>
          <w:p>
            <w:r>
              <w:t>Portalegre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20.250 €</w:t>
            </w:r>
          </w:p>
        </w:tc>
      </w:tr>
      <w:tr>
        <w:tc>
          <w:tcPr>
            <w:tcW w:type="dxa" w:w="2160"/>
          </w:tcPr>
          <w:p>
            <w:r>
              <w:t>Beja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23.450 €</w:t>
            </w:r>
          </w:p>
        </w:tc>
      </w:tr>
      <w:tr>
        <w:tc>
          <w:tcPr>
            <w:tcW w:type="dxa" w:w="2160"/>
          </w:tcPr>
          <w:p>
            <w:r>
              <w:t>Abrantes / Santarém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ListBullet"/>
      </w:pPr>
      <w:r>
        <w:t>Dois terços do stock estão em Évora — e é lá que estão os carros mais caros (mediana 30.200 €, acima da média global). Évora é o maior armazém do usado e o de maior valor. É também o distrito onde o Módulo 3 mostrava a MatosCar mais visível: força de stock e força digital coincidem.</w:t>
      </w:r>
    </w:p>
    <w:p>
      <w:pPr>
        <w:pStyle w:val="ListBullet"/>
      </w:pPr>
      <w:r>
        <w:t>Abrantes/Santarém tem zero viaturas usadas online. A loja nova (junho 2026) não tem expressão nem na procura (Módulo 3) nem no stock — o digital ainda não acompanhou a abertura física.</w:t>
      </w:r>
    </w:p>
    <w:p>
      <w:pPr>
        <w:pStyle w:val="ListBullet"/>
      </w:pPr>
      <w:r>
        <w:t>A cauda é fina: Portalegre (9) e Beja (9) têm stock reduzido. Antes de investir em visibilidade, vale confirmar se há inventário para sustentar procura local.</w:t>
      </w:r>
    </w:p>
    <w:p>
      <w:pPr>
        <w:spacing w:after="80" w:before="200"/>
      </w:pPr>
      <w:r>
        <w:rPr>
          <w:b/>
          <w:color w:val="232933"/>
          <w:sz w:val="30"/>
        </w:rPr>
        <w:t>Que marcas — o volume não são as marcas do audit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Stock</w:t>
            </w:r>
          </w:p>
        </w:tc>
      </w:tr>
      <w:tr>
        <w:tc>
          <w:tcPr>
            <w:tcW w:type="dxa" w:w="4320"/>
          </w:tcPr>
          <w:p>
            <w:r>
              <w:t>BMW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Nissan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Hyundai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Kia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Peugeot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Toyota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Volkswagen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Volvo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Opel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Audi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Fiat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Citroën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BYD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Outras (11 marcas)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r>
        <w:rPr>
          <w:i/>
          <w:color w:val="6B7280"/>
          <w:sz w:val="18"/>
        </w:rPr>
        <w:t>Total 193. "Outras" reúne Isuzu, Ford, SEAT, Mercedes-Benz, DS, Cupra, Mitsubishi, Renault, Mini, Skoda e Alfa Romeo.</w:t>
      </w:r>
    </w:p>
    <w:p>
      <w:r>
        <w:t>Leitura: o stock real vive nas marcas de volume (Nissan, Hyundai, Kia, Toyota, Peugeot) e na BMW. As três marcas que o audit apontou como digitalmente fracas — Audi (8), Citroën (5) e BYD (3) — têm inventário demasiado pequeno para medir rotação com confiança. A análise de rotação foca-se nas marcas de volume e em Évora; para a BYD, o sinal útil é a visibilidade (perfil de Google), não a rotação.</w:t>
      </w:r>
    </w:p>
    <w:p>
      <w:pPr>
        <w:spacing w:after="80" w:before="200"/>
      </w:pPr>
      <w:r>
        <w:rPr>
          <w:b/>
          <w:color w:val="232933"/>
          <w:sz w:val="30"/>
        </w:rPr>
        <w:t>A decisão deste trimestre</w:t>
      </w:r>
    </w:p>
    <w:p>
      <w:pPr>
        <w:pStyle w:val="ListNumber"/>
      </w:pPr>
      <w:r>
        <w:t>Baseline fixado (T0). 193 viaturas, com distrito, preço, matrícula e data — a régua contra a qual mediremos setembro e dezembro.</w:t>
      </w:r>
    </w:p>
    <w:p>
      <w:pPr>
        <w:pStyle w:val="ListNumber"/>
      </w:pPr>
      <w:r>
        <w:t>Piloto de visibilidade (independente da rotação): corrigir o perfil de Google Business da BYD e da Audi (que hoje cedem o espaço a concorrentes) e re-medir a SERP em 6-8 semanas. Prova limpa e atribuível.</w:t>
      </w:r>
    </w:p>
    <w:p>
      <w:pPr>
        <w:pStyle w:val="ListNumber"/>
      </w:pPr>
      <w:r>
        <w:t>A confirmar com a equipa: porque é que Abrantes não tem stock online — e se a concentração de 65% em Évora reflete a estrutura real do grupo ou uma escolha de exposição digital.</w:t>
      </w:r>
    </w:p>
    <w:p>
      <w:pPr>
        <w:spacing w:after="80" w:before="200"/>
      </w:pPr>
      <w:r>
        <w:rPr>
          <w:b/>
          <w:color w:val="232933"/>
          <w:sz w:val="30"/>
        </w:rPr>
        <w:t>Qualidade dos dados (T0)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Completo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880"/>
          </w:tcPr>
          <w:p>
            <w:r>
              <w:t>matrícula (chave de rotação)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única, sem duplicados — rotação fiável em T1</w:t>
            </w:r>
          </w:p>
        </w:tc>
      </w:tr>
      <w:tr>
        <w:tc>
          <w:tcPr>
            <w:tcW w:type="dxa" w:w="2880"/>
          </w:tcPr>
          <w:p>
            <w:r>
              <w:t>distrito / cidade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193/193 atribuídos a distrito MatosCar</w:t>
            </w:r>
          </w:p>
        </w:tc>
      </w:tr>
      <w:tr>
        <w:tc>
          <w:tcPr>
            <w:tcW w:type="dxa" w:w="2880"/>
          </w:tcPr>
          <w:p>
            <w:r>
              <w:t>preço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extremos verificados (Twingo 8.950 € · BMW M5 171.265 €)</w:t>
            </w:r>
          </w:p>
        </w:tc>
      </w:tr>
      <w:tr>
        <w:tc>
          <w:tcPr>
            <w:tcW w:type="dxa" w:w="2880"/>
          </w:tcPr>
          <w:p>
            <w:r>
              <w:t>marca · modelo · ano · data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combustível</w:t>
            </w:r>
          </w:p>
        </w:tc>
        <w:tc>
          <w:tcPr>
            <w:tcW w:type="dxa" w:w="2880"/>
          </w:tcPr>
          <w:p>
            <w:r>
              <w:t>99% CSV · 100% conhecido</w:t>
            </w:r>
          </w:p>
        </w:tc>
        <w:tc>
          <w:tcPr>
            <w:tcW w:type="dxa" w:w="2880"/>
          </w:tcPr>
          <w:p>
            <w:r>
              <w:t>o único em branco (Nissan Juke DIG-T) confirmado à mão como Gasolina; não inferido no automático</w:t>
            </w:r>
          </w:p>
        </w:tc>
      </w:tr>
      <w:tr>
        <w:tc>
          <w:tcPr>
            <w:tcW w:type="dxa" w:w="2880"/>
          </w:tcPr>
          <w:p>
            <w:r>
              <w:t>quilómetros</w:t>
            </w:r>
          </w:p>
        </w:tc>
        <w:tc>
          <w:tcPr>
            <w:tcW w:type="dxa" w:w="2880"/>
          </w:tcPr>
          <w:p>
            <w:r>
              <w:t>91%</w:t>
            </w:r>
          </w:p>
        </w:tc>
        <w:tc>
          <w:tcPr>
            <w:tcW w:type="dxa" w:w="2880"/>
          </w:tcPr>
          <w:p>
            <w:r>
              <w:t>18 em falta = viaturas quase-novas (ficha mostra "Consumo") — ausência genuína</w:t>
            </w:r>
          </w:p>
        </w:tc>
      </w:tr>
    </w:tbl>
    <w:p>
      <w:r>
        <w:rPr>
          <w:i/>
          <w:color w:val="6B7280"/>
          <w:sz w:val="18"/>
        </w:rPr>
        <w:t>Método: recolha de 12/07/2026 via sitemap do próprio site (193/193 viaturas); contagem bate com o contador do sitemap. Rotação ainda não disponível (precisa de ≥2 recolhas). Nenhum dado de terceiros. Parsing validado por testes automáticos (tests/test_parse.py).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