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Times New Roman" w:cs="Times New Roman" w:eastAsia="Times New Roman" w:hAnsi="Times New Roman"/>
        </w:rPr>
      </w:pPr>
      <w:r w:rsidDel="00000000" w:rsidR="00000000" w:rsidRPr="00000000">
        <w:rPr>
          <w:rFonts w:ascii="Google Sans" w:cs="Google Sans" w:eastAsia="Google Sans" w:hAnsi="Google Sans"/>
          <w:sz w:val="24"/>
          <w:szCs w:val="24"/>
          <w:rtl w:val="0"/>
        </w:rPr>
        <w:t xml:space="preserve">Recommendations Optional : Otium Toys should strengthen its overall security posture by implementing stronger passwords and adopting a password manager. The company should also establish a reliable backup and recovery plan, begin using encryption to protect customer data, and restrict system access to only those who require it. In addition, Botium Toys should deploy tools that detect threats early, regularly assess and update older systems, and ensure compliance with standards such as PCI DSS and GDPR to safeguard data and privacy. By following trusted security best practices, the organization can better protect and maintain control of its sensitive information.</w:t>
      </w:r>
      <w:r w:rsidDel="00000000" w:rsidR="00000000" w:rsidRPr="00000000">
        <w:rPr>
          <w:rtl w:val="0"/>
        </w:rPr>
      </w:r>
    </w:p>
    <w:p w:rsidR="00000000" w:rsidDel="00000000" w:rsidP="00000000" w:rsidRDefault="00000000" w:rsidRPr="00000000" w14:paraId="00000078">
      <w:pPr>
        <w:spacing w:after="200" w:line="36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