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BA15E" w14:textId="77777777" w:rsidR="004677CC" w:rsidRPr="009E4820" w:rsidRDefault="004677CC" w:rsidP="004677CC">
      <w:pPr>
        <w:rPr>
          <w:rFonts w:ascii="David" w:hAnsi="David" w:cs="David" w:hint="cs"/>
          <w:b/>
          <w:bCs/>
          <w:sz w:val="36"/>
          <w:szCs w:val="36"/>
          <w:u w:val="single"/>
          <w:rtl/>
        </w:rPr>
      </w:pPr>
      <w:r>
        <w:rPr>
          <w:rFonts w:ascii="David" w:hAnsi="David" w:cs="David" w:hint="cs"/>
          <w:b/>
          <w:bCs/>
          <w:sz w:val="32"/>
          <w:szCs w:val="32"/>
          <w:u w:val="single"/>
          <w:rtl/>
        </w:rPr>
        <w:t xml:space="preserve">1.0 </w:t>
      </w:r>
      <w:r w:rsidRPr="009E4820">
        <w:rPr>
          <w:rFonts w:ascii="David" w:hAnsi="David" w:cs="David" w:hint="cs"/>
          <w:b/>
          <w:bCs/>
          <w:sz w:val="32"/>
          <w:szCs w:val="32"/>
          <w:u w:val="single"/>
          <w:rtl/>
        </w:rPr>
        <w:t>מבוא</w:t>
      </w:r>
    </w:p>
    <w:p w14:paraId="08EA5D1B" w14:textId="77777777" w:rsidR="004677CC" w:rsidRDefault="004677CC" w:rsidP="004677CC">
      <w:pPr>
        <w:rPr>
          <w:rFonts w:ascii="David" w:hAnsi="David" w:cs="David"/>
          <w:rtl/>
        </w:rPr>
      </w:pPr>
    </w:p>
    <w:p w14:paraId="22029300" w14:textId="77777777" w:rsidR="004677CC" w:rsidRPr="008D2096" w:rsidRDefault="004677CC" w:rsidP="004677CC">
      <w:pPr>
        <w:rPr>
          <w:rFonts w:ascii="David" w:hAnsi="David" w:cs="David"/>
          <w:b/>
          <w:bCs/>
          <w:u w:val="single"/>
          <w:rtl/>
        </w:rPr>
      </w:pPr>
      <w:r w:rsidRPr="008D2096">
        <w:rPr>
          <w:rFonts w:ascii="David" w:hAnsi="David" w:cs="David" w:hint="cs"/>
          <w:b/>
          <w:bCs/>
          <w:u w:val="single"/>
          <w:rtl/>
        </w:rPr>
        <w:t>1.1 רקע</w:t>
      </w:r>
    </w:p>
    <w:p w14:paraId="516287AF" w14:textId="4BFC1C2A" w:rsidR="009E4820" w:rsidRDefault="009E4820" w:rsidP="009E4820">
      <w:pPr>
        <w:rPr>
          <w:rFonts w:ascii="David" w:hAnsi="David" w:cs="David"/>
          <w:rtl/>
        </w:rPr>
      </w:pPr>
    </w:p>
    <w:p w14:paraId="787A11C9" w14:textId="47AE605B" w:rsidR="004677CC" w:rsidRDefault="004677CC" w:rsidP="00C10276">
      <w:pPr>
        <w:shd w:val="clear" w:color="auto" w:fill="FFFFFF"/>
        <w:spacing w:line="360" w:lineRule="atLeast"/>
        <w:jc w:val="both"/>
        <w:rPr>
          <w:rFonts w:ascii="David" w:eastAsia="Times New Roman" w:hAnsi="David" w:cs="David"/>
          <w:color w:val="000000"/>
          <w:rtl/>
        </w:rPr>
      </w:pPr>
      <w:r>
        <w:rPr>
          <w:rFonts w:ascii="David" w:eastAsia="Times New Roman" w:hAnsi="David" w:cs="David" w:hint="cs"/>
          <w:color w:val="000000"/>
          <w:rtl/>
        </w:rPr>
        <w:t>שאלת המחקר</w:t>
      </w:r>
      <w:r>
        <w:rPr>
          <w:rFonts w:ascii="David" w:hAnsi="David" w:cs="David" w:hint="cs"/>
          <w:color w:val="000000" w:themeColor="text1"/>
          <w:rtl/>
        </w:rPr>
        <w:t xml:space="preserve">: </w:t>
      </w:r>
      <w:r w:rsidRPr="00CC602A">
        <w:rPr>
          <w:rFonts w:ascii="David" w:hAnsi="David" w:cs="David" w:hint="cs"/>
          <w:b/>
          <w:bCs/>
          <w:rtl/>
        </w:rPr>
        <w:t>כיצד ספורטאים מהגרים משמרים את הזהות שלהם ממדינת הלאום אחרי מעבר למדינה זרה?</w:t>
      </w:r>
      <w:r>
        <w:rPr>
          <w:rFonts w:ascii="David" w:hAnsi="David" w:cs="David" w:hint="cs"/>
          <w:b/>
          <w:bCs/>
          <w:rtl/>
        </w:rPr>
        <w:t xml:space="preserve"> </w:t>
      </w:r>
    </w:p>
    <w:p w14:paraId="18D24A4B" w14:textId="77777777" w:rsidR="004677CC" w:rsidRDefault="004677CC" w:rsidP="00C10276">
      <w:pPr>
        <w:shd w:val="clear" w:color="auto" w:fill="FFFFFF"/>
        <w:spacing w:line="360" w:lineRule="atLeast"/>
        <w:jc w:val="both"/>
        <w:rPr>
          <w:rFonts w:ascii="David" w:eastAsia="Times New Roman" w:hAnsi="David" w:cs="David"/>
          <w:color w:val="000000"/>
          <w:rtl/>
        </w:rPr>
      </w:pPr>
    </w:p>
    <w:p w14:paraId="339B9B61" w14:textId="53B0F3FF" w:rsidR="00C10276" w:rsidRPr="00C10276" w:rsidRDefault="004677CC" w:rsidP="00C10276">
      <w:pPr>
        <w:shd w:val="clear" w:color="auto" w:fill="FFFFFF"/>
        <w:spacing w:line="360" w:lineRule="atLeast"/>
        <w:jc w:val="both"/>
        <w:rPr>
          <w:rFonts w:ascii="Calibri" w:eastAsia="Times New Roman" w:hAnsi="Calibri" w:cs="Calibri"/>
          <w:color w:val="222222"/>
        </w:rPr>
      </w:pPr>
      <w:r>
        <w:rPr>
          <w:rFonts w:ascii="David" w:eastAsia="Times New Roman" w:hAnsi="David" w:cs="David" w:hint="cs"/>
          <w:color w:val="000000"/>
          <w:rtl/>
        </w:rPr>
        <w:t xml:space="preserve">במסגרת </w:t>
      </w:r>
      <w:r w:rsidR="00C10276" w:rsidRPr="00C10276">
        <w:rPr>
          <w:rFonts w:ascii="David" w:eastAsia="Times New Roman" w:hAnsi="David" w:cs="David" w:hint="cs"/>
          <w:color w:val="000000"/>
          <w:rtl/>
        </w:rPr>
        <w:t xml:space="preserve">מחקר זה אני מעלה טענה ושתי השערות הנגזרות ממנה. הטענה היא, כי ספורטאים </w:t>
      </w:r>
      <w:r w:rsidR="00954884">
        <w:rPr>
          <w:rFonts w:ascii="David" w:eastAsia="Times New Roman" w:hAnsi="David" w:cs="David" w:hint="cs"/>
          <w:color w:val="000000"/>
          <w:rtl/>
        </w:rPr>
        <w:t>בעידן הגלובלי מבצעים הגירה לקבוצת ספורט במדינה אחרת ומשמרים את זהותם בעזרת דפוס השפעה פוליטית במדינת הלאום שלהם.</w:t>
      </w:r>
      <w:r w:rsidR="00C10276" w:rsidRPr="00C10276">
        <w:rPr>
          <w:rFonts w:ascii="David" w:eastAsia="Times New Roman" w:hAnsi="David" w:cs="David" w:hint="cs"/>
          <w:color w:val="000000"/>
          <w:rtl/>
        </w:rPr>
        <w:t xml:space="preserve"> ההשערה הראשונה תטען כי</w:t>
      </w:r>
      <w:r>
        <w:rPr>
          <w:rFonts w:ascii="David" w:eastAsia="Times New Roman" w:hAnsi="David" w:cs="David" w:hint="cs"/>
          <w:color w:val="000000"/>
          <w:rtl/>
        </w:rPr>
        <w:t xml:space="preserve">, </w:t>
      </w:r>
      <w:r w:rsidR="00C10276" w:rsidRPr="00C10276">
        <w:rPr>
          <w:rFonts w:ascii="David" w:eastAsia="Times New Roman" w:hAnsi="David" w:cs="David" w:hint="cs"/>
          <w:color w:val="000000"/>
          <w:rtl/>
        </w:rPr>
        <w:t xml:space="preserve">החשיפה הרבה לה זוכה הספורטאי הן במדינת הלאום והן במדינה הקולטת, תהיה נדבך עיקרי </w:t>
      </w:r>
      <w:r w:rsidR="00954884">
        <w:rPr>
          <w:rFonts w:ascii="David" w:eastAsia="Times New Roman" w:hAnsi="David" w:cs="David" w:hint="cs"/>
          <w:color w:val="000000"/>
          <w:rtl/>
        </w:rPr>
        <w:t>ומשמעותי בניצול המעמד כדי לקדם השפעה על השלטון במדינת האם, בעיקר בנושא הקניית ביטחון לאזרחים ובנושא כיבוד זכויות אדם ואזרח.</w:t>
      </w:r>
      <w:r w:rsidR="00C10276" w:rsidRPr="00C10276">
        <w:rPr>
          <w:rFonts w:ascii="David" w:eastAsia="Times New Roman" w:hAnsi="David" w:cs="David" w:hint="cs"/>
          <w:color w:val="000000"/>
          <w:rtl/>
        </w:rPr>
        <w:t xml:space="preserve"> במסגרת השערתי השנייה, הספורטאים המהגרים </w:t>
      </w:r>
      <w:r w:rsidR="00954884">
        <w:rPr>
          <w:rFonts w:ascii="David" w:eastAsia="Times New Roman" w:hAnsi="David" w:cs="David" w:hint="cs"/>
          <w:color w:val="000000"/>
          <w:rtl/>
        </w:rPr>
        <w:t>שומרים על ערנות למה שמתרחש במדינת האם ומתעדכנים בצורה מתמדת לקבלת מידע שוטף על המתרחש בה.</w:t>
      </w:r>
    </w:p>
    <w:p w14:paraId="2D412804" w14:textId="77777777" w:rsidR="007303C9" w:rsidRDefault="007303C9" w:rsidP="00982080">
      <w:pPr>
        <w:spacing w:line="360" w:lineRule="auto"/>
        <w:jc w:val="both"/>
        <w:rPr>
          <w:rFonts w:ascii="David" w:hAnsi="David" w:cs="David"/>
          <w:color w:val="000000" w:themeColor="text1"/>
          <w:rtl/>
        </w:rPr>
      </w:pPr>
    </w:p>
    <w:p w14:paraId="0B643A37" w14:textId="4F1E44D6" w:rsidR="002A62AF" w:rsidRDefault="006E2508" w:rsidP="006030D7">
      <w:pPr>
        <w:spacing w:line="360" w:lineRule="auto"/>
        <w:jc w:val="both"/>
        <w:rPr>
          <w:rFonts w:ascii="David" w:hAnsi="David" w:cs="David"/>
          <w:color w:val="000000" w:themeColor="text1"/>
          <w:rtl/>
        </w:rPr>
      </w:pPr>
      <w:r>
        <w:rPr>
          <w:rFonts w:ascii="David" w:hAnsi="David" w:cs="David" w:hint="cs"/>
          <w:color w:val="000000" w:themeColor="text1"/>
          <w:rtl/>
        </w:rPr>
        <w:t>בכדי לענות על שאלת המחקר</w:t>
      </w:r>
      <w:r w:rsidR="004677CC">
        <w:rPr>
          <w:rFonts w:ascii="David" w:hAnsi="David" w:cs="David" w:hint="cs"/>
          <w:rtl/>
        </w:rPr>
        <w:t xml:space="preserve">, </w:t>
      </w:r>
      <w:r w:rsidR="004677CC">
        <w:rPr>
          <w:rFonts w:ascii="David" w:hAnsi="David" w:cs="David" w:hint="cs"/>
          <w:color w:val="000000" w:themeColor="text1"/>
          <w:rtl/>
        </w:rPr>
        <w:t>אחקור ב</w:t>
      </w:r>
      <w:r w:rsidR="00CC4D68">
        <w:rPr>
          <w:rFonts w:ascii="David" w:hAnsi="David" w:cs="David" w:hint="cs"/>
          <w:color w:val="000000" w:themeColor="text1"/>
          <w:rtl/>
        </w:rPr>
        <w:t>שיטת מחקר איכותנית באמצעות ״חקר מקרה״</w:t>
      </w:r>
      <w:r w:rsidR="004677CC">
        <w:rPr>
          <w:rFonts w:ascii="David" w:hAnsi="David" w:cs="David" w:hint="cs"/>
          <w:color w:val="000000" w:themeColor="text1"/>
          <w:rtl/>
        </w:rPr>
        <w:t xml:space="preserve">. </w:t>
      </w:r>
      <w:r w:rsidR="00114295">
        <w:rPr>
          <w:rFonts w:ascii="David" w:hAnsi="David" w:cs="David" w:hint="cs"/>
          <w:color w:val="000000" w:themeColor="text1"/>
          <w:rtl/>
        </w:rPr>
        <w:t>מחקר זה יכול לתרום להבנת תהליכי הגלובליזציה השו</w:t>
      </w:r>
      <w:r w:rsidR="004C5AEF">
        <w:rPr>
          <w:rFonts w:ascii="David" w:hAnsi="David" w:cs="David" w:hint="cs"/>
          <w:color w:val="000000" w:themeColor="text1"/>
          <w:rtl/>
        </w:rPr>
        <w:t>טפ</w:t>
      </w:r>
      <w:r w:rsidR="00114295">
        <w:rPr>
          <w:rFonts w:ascii="David" w:hAnsi="David" w:cs="David" w:hint="cs"/>
          <w:color w:val="000000" w:themeColor="text1"/>
          <w:rtl/>
        </w:rPr>
        <w:t>ים את העולם</w:t>
      </w:r>
      <w:r w:rsidR="00D94C8D">
        <w:rPr>
          <w:rFonts w:ascii="David" w:hAnsi="David" w:cs="David" w:hint="cs"/>
          <w:color w:val="000000" w:themeColor="text1"/>
          <w:rtl/>
        </w:rPr>
        <w:t xml:space="preserve"> (</w:t>
      </w:r>
      <w:r w:rsidR="00114295">
        <w:rPr>
          <w:rFonts w:ascii="David" w:hAnsi="David" w:cs="David" w:hint="cs"/>
          <w:color w:val="000000" w:themeColor="text1"/>
          <w:rtl/>
        </w:rPr>
        <w:t>בדגש על השפעותיהם והשלכותיהם המקומיות והעולמיות</w:t>
      </w:r>
      <w:r w:rsidR="00D94C8D">
        <w:rPr>
          <w:rFonts w:ascii="David" w:hAnsi="David" w:cs="David" w:hint="cs"/>
          <w:color w:val="000000" w:themeColor="text1"/>
          <w:rtl/>
        </w:rPr>
        <w:t>)</w:t>
      </w:r>
      <w:r w:rsidR="00114295">
        <w:rPr>
          <w:rFonts w:ascii="David" w:hAnsi="David" w:cs="David" w:hint="cs"/>
          <w:color w:val="000000" w:themeColor="text1"/>
          <w:rtl/>
        </w:rPr>
        <w:t xml:space="preserve">, אשר האקדמיה והציבור עוסקים בהם ללא הרף, ולתרום נדבך נוסף להבנת נושא זה. </w:t>
      </w:r>
      <w:r w:rsidR="0095346D">
        <w:rPr>
          <w:rFonts w:ascii="David" w:hAnsi="David" w:cs="David" w:hint="cs"/>
          <w:color w:val="000000" w:themeColor="text1"/>
          <w:rtl/>
        </w:rPr>
        <w:t xml:space="preserve">חומרי הגלם שיעמדו למבחן במסגרת המחקר הינם חומרים כתובים מתוך קטעי עיתונות, מאמרים אקדמיים, ראיונות שהתקיימו עם הספורטאים, וכן כל תיעוד אחר הקשור לפעילות הספורטאים המהגרים בזירה הלאומית ממנה הם באים. </w:t>
      </w:r>
      <w:r w:rsidR="00114295">
        <w:rPr>
          <w:rFonts w:ascii="David" w:hAnsi="David" w:cs="David" w:hint="cs"/>
          <w:color w:val="000000" w:themeColor="text1"/>
          <w:rtl/>
        </w:rPr>
        <w:t>הניתוח יתמקד בשלושה מקרי בוחן</w:t>
      </w:r>
      <w:r w:rsidR="002A62AF">
        <w:rPr>
          <w:rFonts w:ascii="David" w:hAnsi="David" w:cs="David" w:hint="cs"/>
          <w:color w:val="000000" w:themeColor="text1"/>
          <w:rtl/>
        </w:rPr>
        <w:t xml:space="preserve"> הנוגעים לשימור הזהות הלאומית של מהגרים ספורטאים.</w:t>
      </w:r>
    </w:p>
    <w:p w14:paraId="32346A4F" w14:textId="1FDF1E76" w:rsidR="008D2096" w:rsidRDefault="008D2096" w:rsidP="006030D7">
      <w:pPr>
        <w:spacing w:line="360" w:lineRule="auto"/>
        <w:jc w:val="both"/>
        <w:rPr>
          <w:rFonts w:ascii="David" w:hAnsi="David" w:cs="David"/>
          <w:color w:val="000000" w:themeColor="text1"/>
          <w:rtl/>
        </w:rPr>
      </w:pPr>
    </w:p>
    <w:p w14:paraId="4DA04C77" w14:textId="19A24288" w:rsidR="008D2096" w:rsidRDefault="008D2096" w:rsidP="006030D7">
      <w:pPr>
        <w:spacing w:line="360" w:lineRule="auto"/>
        <w:jc w:val="both"/>
        <w:rPr>
          <w:rFonts w:ascii="David" w:hAnsi="David" w:cs="David"/>
          <w:color w:val="000000" w:themeColor="text1"/>
          <w:rtl/>
        </w:rPr>
      </w:pPr>
    </w:p>
    <w:p w14:paraId="00DF11F5" w14:textId="08C0A07A" w:rsidR="008D2096" w:rsidRDefault="008D2096" w:rsidP="006030D7">
      <w:pPr>
        <w:spacing w:line="360" w:lineRule="auto"/>
        <w:jc w:val="both"/>
        <w:rPr>
          <w:rFonts w:ascii="David" w:hAnsi="David" w:cs="David"/>
          <w:color w:val="000000" w:themeColor="text1"/>
          <w:rtl/>
        </w:rPr>
      </w:pPr>
    </w:p>
    <w:p w14:paraId="60D90BD6" w14:textId="01A7F9D5" w:rsidR="008D2096" w:rsidRDefault="008D2096" w:rsidP="006030D7">
      <w:pPr>
        <w:spacing w:line="360" w:lineRule="auto"/>
        <w:jc w:val="both"/>
        <w:rPr>
          <w:rFonts w:ascii="David" w:hAnsi="David" w:cs="David"/>
          <w:color w:val="000000" w:themeColor="text1"/>
          <w:rtl/>
        </w:rPr>
      </w:pPr>
    </w:p>
    <w:p w14:paraId="24281D86" w14:textId="3201598D" w:rsidR="008D2096" w:rsidRDefault="008D2096" w:rsidP="006030D7">
      <w:pPr>
        <w:spacing w:line="360" w:lineRule="auto"/>
        <w:jc w:val="both"/>
        <w:rPr>
          <w:rFonts w:ascii="David" w:hAnsi="David" w:cs="David"/>
          <w:color w:val="000000" w:themeColor="text1"/>
          <w:rtl/>
        </w:rPr>
      </w:pPr>
    </w:p>
    <w:p w14:paraId="78D53A38" w14:textId="27275D2F" w:rsidR="008D2096" w:rsidRDefault="008D2096" w:rsidP="006030D7">
      <w:pPr>
        <w:spacing w:line="360" w:lineRule="auto"/>
        <w:jc w:val="both"/>
        <w:rPr>
          <w:rFonts w:ascii="David" w:hAnsi="David" w:cs="David"/>
          <w:color w:val="000000" w:themeColor="text1"/>
          <w:rtl/>
        </w:rPr>
      </w:pPr>
    </w:p>
    <w:p w14:paraId="2C2EA66C" w14:textId="14B3489D" w:rsidR="008D2096" w:rsidRDefault="008D2096" w:rsidP="006030D7">
      <w:pPr>
        <w:spacing w:line="360" w:lineRule="auto"/>
        <w:jc w:val="both"/>
        <w:rPr>
          <w:rFonts w:ascii="David" w:hAnsi="David" w:cs="David"/>
          <w:color w:val="000000" w:themeColor="text1"/>
          <w:rtl/>
        </w:rPr>
      </w:pPr>
    </w:p>
    <w:p w14:paraId="3CF57E89" w14:textId="31041CE5" w:rsidR="008D2096" w:rsidRDefault="008D2096" w:rsidP="006030D7">
      <w:pPr>
        <w:spacing w:line="360" w:lineRule="auto"/>
        <w:jc w:val="both"/>
        <w:rPr>
          <w:rFonts w:ascii="David" w:hAnsi="David" w:cs="David"/>
          <w:color w:val="000000" w:themeColor="text1"/>
          <w:rtl/>
        </w:rPr>
      </w:pPr>
    </w:p>
    <w:p w14:paraId="05D54FD7" w14:textId="6364ABFE" w:rsidR="008D2096" w:rsidRDefault="008D2096" w:rsidP="006030D7">
      <w:pPr>
        <w:spacing w:line="360" w:lineRule="auto"/>
        <w:jc w:val="both"/>
        <w:rPr>
          <w:rFonts w:ascii="David" w:hAnsi="David" w:cs="David"/>
          <w:color w:val="000000" w:themeColor="text1"/>
          <w:rtl/>
        </w:rPr>
      </w:pPr>
    </w:p>
    <w:p w14:paraId="282714A7" w14:textId="7E501B4A" w:rsidR="008D2096" w:rsidRDefault="008D2096" w:rsidP="006030D7">
      <w:pPr>
        <w:spacing w:line="360" w:lineRule="auto"/>
        <w:jc w:val="both"/>
        <w:rPr>
          <w:rFonts w:ascii="David" w:hAnsi="David" w:cs="David"/>
          <w:color w:val="000000" w:themeColor="text1"/>
          <w:rtl/>
        </w:rPr>
      </w:pPr>
    </w:p>
    <w:p w14:paraId="6233D0CE" w14:textId="78DE5077" w:rsidR="008D2096" w:rsidRDefault="008D2096" w:rsidP="006030D7">
      <w:pPr>
        <w:spacing w:line="360" w:lineRule="auto"/>
        <w:jc w:val="both"/>
        <w:rPr>
          <w:rFonts w:ascii="David" w:hAnsi="David" w:cs="David"/>
          <w:color w:val="000000" w:themeColor="text1"/>
          <w:rtl/>
        </w:rPr>
      </w:pPr>
    </w:p>
    <w:p w14:paraId="03C1D913" w14:textId="3EB15A7C" w:rsidR="008D2096" w:rsidRDefault="008D2096" w:rsidP="006030D7">
      <w:pPr>
        <w:spacing w:line="360" w:lineRule="auto"/>
        <w:jc w:val="both"/>
        <w:rPr>
          <w:rFonts w:ascii="David" w:hAnsi="David" w:cs="David"/>
          <w:color w:val="000000" w:themeColor="text1"/>
          <w:rtl/>
        </w:rPr>
      </w:pPr>
    </w:p>
    <w:p w14:paraId="34E923CF" w14:textId="6F0F9117" w:rsidR="008D2096" w:rsidRDefault="008D2096" w:rsidP="006030D7">
      <w:pPr>
        <w:spacing w:line="360" w:lineRule="auto"/>
        <w:jc w:val="both"/>
        <w:rPr>
          <w:rFonts w:ascii="David" w:hAnsi="David" w:cs="David"/>
          <w:color w:val="000000" w:themeColor="text1"/>
          <w:rtl/>
        </w:rPr>
      </w:pPr>
    </w:p>
    <w:p w14:paraId="433E17D7" w14:textId="40256FF1" w:rsidR="008D2096" w:rsidRDefault="008D2096" w:rsidP="006030D7">
      <w:pPr>
        <w:spacing w:line="360" w:lineRule="auto"/>
        <w:jc w:val="both"/>
        <w:rPr>
          <w:rFonts w:ascii="David" w:hAnsi="David" w:cs="David"/>
          <w:color w:val="000000" w:themeColor="text1"/>
          <w:rtl/>
        </w:rPr>
      </w:pPr>
    </w:p>
    <w:p w14:paraId="77444C69" w14:textId="12344C83" w:rsidR="008D2096" w:rsidRDefault="008D2096" w:rsidP="006030D7">
      <w:pPr>
        <w:spacing w:line="360" w:lineRule="auto"/>
        <w:jc w:val="both"/>
        <w:rPr>
          <w:rFonts w:ascii="David" w:hAnsi="David" w:cs="David"/>
          <w:color w:val="000000" w:themeColor="text1"/>
          <w:rtl/>
        </w:rPr>
      </w:pPr>
    </w:p>
    <w:p w14:paraId="7B67F482" w14:textId="5E1C24E6" w:rsidR="008D2096" w:rsidRDefault="008D2096" w:rsidP="006030D7">
      <w:pPr>
        <w:spacing w:line="360" w:lineRule="auto"/>
        <w:jc w:val="both"/>
        <w:rPr>
          <w:rFonts w:ascii="David" w:hAnsi="David" w:cs="David"/>
          <w:color w:val="000000" w:themeColor="text1"/>
          <w:rtl/>
        </w:rPr>
      </w:pPr>
    </w:p>
    <w:p w14:paraId="78C06730" w14:textId="0843A243" w:rsidR="008D2096" w:rsidRDefault="008D2096" w:rsidP="006030D7">
      <w:pPr>
        <w:spacing w:line="360" w:lineRule="auto"/>
        <w:jc w:val="both"/>
        <w:rPr>
          <w:rFonts w:ascii="David" w:hAnsi="David" w:cs="David"/>
          <w:color w:val="000000" w:themeColor="text1"/>
          <w:rtl/>
        </w:rPr>
      </w:pPr>
    </w:p>
    <w:p w14:paraId="416EA7DD" w14:textId="4D2A8EE5" w:rsidR="008D2096" w:rsidRDefault="008D2096" w:rsidP="006030D7">
      <w:pPr>
        <w:spacing w:line="360" w:lineRule="auto"/>
        <w:jc w:val="both"/>
        <w:rPr>
          <w:rFonts w:ascii="David" w:hAnsi="David" w:cs="David"/>
          <w:color w:val="000000" w:themeColor="text1"/>
          <w:rtl/>
        </w:rPr>
      </w:pPr>
    </w:p>
    <w:p w14:paraId="4C8767D5" w14:textId="01A72E03" w:rsidR="00AA451B" w:rsidRPr="004677CC" w:rsidRDefault="008D2096" w:rsidP="00AA451B">
      <w:pPr>
        <w:spacing w:line="360" w:lineRule="auto"/>
        <w:jc w:val="both"/>
        <w:rPr>
          <w:rFonts w:ascii="David" w:hAnsi="David" w:cs="David"/>
          <w:b/>
          <w:bCs/>
          <w:color w:val="000000" w:themeColor="text1"/>
          <w:sz w:val="32"/>
          <w:szCs w:val="32"/>
          <w:u w:val="single"/>
          <w:rtl/>
        </w:rPr>
      </w:pPr>
      <w:r w:rsidRPr="008D2096">
        <w:rPr>
          <w:rFonts w:ascii="David" w:hAnsi="David" w:cs="David" w:hint="cs"/>
          <w:b/>
          <w:bCs/>
          <w:color w:val="000000" w:themeColor="text1"/>
          <w:sz w:val="32"/>
          <w:szCs w:val="32"/>
          <w:u w:val="single"/>
          <w:rtl/>
        </w:rPr>
        <w:lastRenderedPageBreak/>
        <w:t xml:space="preserve">1.2 </w:t>
      </w:r>
      <w:r w:rsidR="004677CC">
        <w:rPr>
          <w:rFonts w:ascii="David" w:hAnsi="David" w:cs="David" w:hint="cs"/>
          <w:b/>
          <w:bCs/>
          <w:color w:val="000000" w:themeColor="text1"/>
          <w:sz w:val="32"/>
          <w:szCs w:val="32"/>
          <w:u w:val="single"/>
          <w:rtl/>
        </w:rPr>
        <w:t>סקירה תיאורטית</w:t>
      </w:r>
    </w:p>
    <w:p w14:paraId="5282DF09" w14:textId="2ABAD627" w:rsidR="008D2096" w:rsidRPr="008D2096" w:rsidRDefault="008D2096" w:rsidP="008D2096">
      <w:pPr>
        <w:spacing w:line="360" w:lineRule="auto"/>
        <w:jc w:val="both"/>
        <w:rPr>
          <w:rFonts w:ascii="David" w:hAnsi="David" w:cs="David"/>
          <w:b/>
          <w:bCs/>
          <w:color w:val="000000" w:themeColor="text1"/>
          <w:u w:val="single"/>
          <w:rtl/>
        </w:rPr>
      </w:pPr>
      <w:r>
        <w:rPr>
          <w:rFonts w:ascii="David" w:hAnsi="David" w:cs="David" w:hint="cs"/>
          <w:b/>
          <w:bCs/>
          <w:color w:val="000000" w:themeColor="text1"/>
          <w:u w:val="single"/>
          <w:rtl/>
        </w:rPr>
        <w:t>1.2.2 הגירה בעולם הישן לעומת הגירה בעולם המודרני</w:t>
      </w:r>
    </w:p>
    <w:p w14:paraId="450EC526" w14:textId="226E225C" w:rsidR="002A62AF" w:rsidRDefault="002A62AF" w:rsidP="002A62AF">
      <w:pPr>
        <w:spacing w:line="360" w:lineRule="auto"/>
        <w:jc w:val="both"/>
        <w:rPr>
          <w:rFonts w:ascii="David" w:hAnsi="David" w:cs="David"/>
          <w:color w:val="000000" w:themeColor="text1"/>
          <w:rtl/>
        </w:rPr>
      </w:pPr>
    </w:p>
    <w:p w14:paraId="284A6939" w14:textId="2107E3AF" w:rsidR="00695910" w:rsidRDefault="00BD205D" w:rsidP="008A5E2E">
      <w:pPr>
        <w:spacing w:line="360" w:lineRule="auto"/>
        <w:jc w:val="both"/>
        <w:rPr>
          <w:rFonts w:ascii="David" w:hAnsi="David" w:cs="David"/>
          <w:rtl/>
        </w:rPr>
      </w:pPr>
      <w:r>
        <w:rPr>
          <w:rFonts w:ascii="David" w:hAnsi="David" w:cs="David" w:hint="cs"/>
          <w:rtl/>
        </w:rPr>
        <w:t xml:space="preserve">היסטוריית ההגירה הפכה לתחום משגשג בשלושת העשורים האחרונים ולאחרונה הפכה יותר ויותר גלובלית. </w:t>
      </w:r>
      <w:r w:rsidR="00A22D8A">
        <w:rPr>
          <w:rFonts w:ascii="David" w:hAnsi="David" w:cs="David" w:hint="cs"/>
          <w:rtl/>
        </w:rPr>
        <w:t xml:space="preserve">להגירה הייתה השפעה מתמשכת מהשנים המוקדמות ביותר של ההתיישבות האמריקנית ועד היום, ויחד איתה באה גם התנגדות. בתחילת העידן הקולוניאלי, היא התבססה על הבדלים בין קבוצות לאומיות שהושפעו מהמלחמות הבינלאומיות </w:t>
      </w:r>
      <w:r w:rsidR="00A22D8A">
        <w:rPr>
          <w:rFonts w:ascii="David" w:hAnsi="David" w:cs="David"/>
          <w:rtl/>
        </w:rPr>
        <w:t>–</w:t>
      </w:r>
      <w:r w:rsidR="00A22D8A">
        <w:rPr>
          <w:rFonts w:ascii="David" w:hAnsi="David" w:cs="David" w:hint="cs"/>
          <w:rtl/>
        </w:rPr>
        <w:t xml:space="preserve"> ההולנדים, האנגלים, הצרפתים, הספרדים </w:t>
      </w:r>
      <w:r w:rsidR="00A22D8A">
        <w:rPr>
          <w:rFonts w:ascii="David" w:hAnsi="David" w:cs="David"/>
          <w:rtl/>
        </w:rPr>
        <w:t>–</w:t>
      </w:r>
      <w:r w:rsidR="00A22D8A">
        <w:rPr>
          <w:rFonts w:ascii="David" w:hAnsi="David" w:cs="David" w:hint="cs"/>
          <w:rtl/>
        </w:rPr>
        <w:t xml:space="preserve"> כל אחת רצתה לשמר את המושבות שלה רק לטובתה עם אזרחים משלה. בתוך המושבות, החלו להתבסס הבדלים דתיים בין הקבוצות השונות עד ליצירת התנגדות של קבוצות מסוימות להגעתם של אחרים</w:t>
      </w:r>
      <w:r w:rsidR="00695910">
        <w:rPr>
          <w:rFonts w:ascii="David" w:hAnsi="David" w:cs="David" w:hint="cs"/>
          <w:rtl/>
        </w:rPr>
        <w:t>,</w:t>
      </w:r>
      <w:r w:rsidR="00A22D8A">
        <w:rPr>
          <w:rFonts w:ascii="David" w:hAnsi="David" w:cs="David" w:hint="cs"/>
          <w:rtl/>
        </w:rPr>
        <w:t xml:space="preserve"> </w:t>
      </w:r>
      <w:r w:rsidR="00695910">
        <w:rPr>
          <w:rFonts w:ascii="David" w:hAnsi="David" w:cs="David" w:hint="cs"/>
          <w:rtl/>
        </w:rPr>
        <w:t xml:space="preserve">אשר בנו </w:t>
      </w:r>
      <w:r w:rsidR="00695910" w:rsidRPr="00695910">
        <w:rPr>
          <w:rFonts w:ascii="David" w:hAnsi="David" w:cs="David"/>
          <w:rtl/>
        </w:rPr>
        <w:t>יישובים משלהם שבהם יכלו לדבר בשפותיהם, לשמור על מסורותיהם התרבותיות ולסגוד כרצונם. מטבע הדברים, התעוררו עוינות בין קבוצות</w:t>
      </w:r>
      <w:r w:rsidR="00695910">
        <w:rPr>
          <w:rStyle w:val="a7"/>
          <w:rFonts w:ascii="David" w:hAnsi="David" w:cs="David"/>
          <w:rtl/>
        </w:rPr>
        <w:footnoteReference w:id="1"/>
      </w:r>
      <w:r w:rsidR="008A5E2E">
        <w:rPr>
          <w:rFonts w:ascii="David" w:hAnsi="David" w:cs="David" w:hint="cs"/>
          <w:rtl/>
        </w:rPr>
        <w:t>.</w:t>
      </w:r>
    </w:p>
    <w:p w14:paraId="00460E11" w14:textId="1C9A3894" w:rsidR="007212EC" w:rsidRDefault="007212EC" w:rsidP="008A5E2E">
      <w:pPr>
        <w:spacing w:line="360" w:lineRule="auto"/>
        <w:jc w:val="both"/>
        <w:rPr>
          <w:rFonts w:ascii="David" w:hAnsi="David" w:cs="David"/>
          <w:rtl/>
        </w:rPr>
      </w:pPr>
    </w:p>
    <w:p w14:paraId="6AD597C5" w14:textId="765DFD0F" w:rsidR="00EA2A14" w:rsidRDefault="007212EC" w:rsidP="00EA2A14">
      <w:pPr>
        <w:spacing w:line="360" w:lineRule="auto"/>
        <w:jc w:val="both"/>
        <w:rPr>
          <w:rFonts w:ascii="David" w:hAnsi="David" w:cs="David"/>
          <w:rtl/>
        </w:rPr>
      </w:pPr>
      <w:r>
        <w:rPr>
          <w:rFonts w:ascii="David" w:hAnsi="David" w:cs="David" w:hint="cs"/>
          <w:rtl/>
        </w:rPr>
        <w:t xml:space="preserve">חקר ההטמעה והאינטגרציה כולל בתוכו נקודות מבט מרובות. מחקרים </w:t>
      </w:r>
      <w:r w:rsidR="00EA2A14">
        <w:rPr>
          <w:rFonts w:ascii="David" w:hAnsi="David" w:cs="David" w:hint="cs"/>
          <w:rtl/>
        </w:rPr>
        <w:t>העוסקים</w:t>
      </w:r>
      <w:r>
        <w:rPr>
          <w:rFonts w:ascii="David" w:hAnsi="David" w:cs="David" w:hint="cs"/>
          <w:rtl/>
        </w:rPr>
        <w:t xml:space="preserve"> </w:t>
      </w:r>
      <w:r w:rsidR="00EA2A14">
        <w:rPr>
          <w:rFonts w:ascii="David" w:hAnsi="David" w:cs="David" w:hint="cs"/>
          <w:rtl/>
        </w:rPr>
        <w:t>ב</w:t>
      </w:r>
      <w:r>
        <w:rPr>
          <w:rFonts w:ascii="David" w:hAnsi="David" w:cs="David" w:hint="cs"/>
          <w:rtl/>
        </w:rPr>
        <w:t xml:space="preserve">התבוללות מדגישים כי ישנה התכנסות בין זרים וילידים לאורך זמן במדינת היעד. </w:t>
      </w:r>
      <w:r w:rsidR="00EA2A14">
        <w:rPr>
          <w:rFonts w:ascii="David" w:hAnsi="David" w:cs="David" w:hint="cs"/>
          <w:rtl/>
        </w:rPr>
        <w:t>לעומת זאת</w:t>
      </w:r>
      <w:r>
        <w:rPr>
          <w:rFonts w:ascii="David" w:hAnsi="David" w:cs="David" w:hint="cs"/>
          <w:rtl/>
        </w:rPr>
        <w:t xml:space="preserve">, מחקרים על הטמעה מפולחת </w:t>
      </w:r>
      <w:r w:rsidR="00EA2A14">
        <w:rPr>
          <w:rFonts w:ascii="David" w:hAnsi="David" w:cs="David" w:hint="cs"/>
          <w:rtl/>
        </w:rPr>
        <w:t>מתארים</w:t>
      </w:r>
      <w:r>
        <w:rPr>
          <w:rFonts w:ascii="David" w:hAnsi="David" w:cs="David" w:hint="cs"/>
          <w:rtl/>
        </w:rPr>
        <w:t xml:space="preserve"> כיצד אוכלוסיית מהגרים מגוונת במוצאה נטמעת בפלחים שונים של חברה מארחת</w:t>
      </w:r>
      <w:r w:rsidR="00EA2A14">
        <w:rPr>
          <w:rFonts w:ascii="David" w:hAnsi="David" w:cs="David" w:hint="cs"/>
          <w:rtl/>
        </w:rPr>
        <w:t>,</w:t>
      </w:r>
      <w:r>
        <w:rPr>
          <w:rFonts w:ascii="David" w:hAnsi="David" w:cs="David" w:hint="cs"/>
          <w:rtl/>
        </w:rPr>
        <w:t xml:space="preserve"> שגם היא מפולחת לפי רקע אתני ומעמד. </w:t>
      </w:r>
      <w:r w:rsidR="00EA2A14">
        <w:rPr>
          <w:rFonts w:ascii="David" w:hAnsi="David" w:cs="David" w:hint="cs"/>
          <w:rtl/>
        </w:rPr>
        <w:t xml:space="preserve">על כן, </w:t>
      </w:r>
      <w:r w:rsidRPr="007212EC">
        <w:rPr>
          <w:rFonts w:ascii="David" w:hAnsi="David" w:cs="David"/>
          <w:rtl/>
        </w:rPr>
        <w:t>ספרות הטרנס-לאומיות ה</w:t>
      </w:r>
      <w:r>
        <w:rPr>
          <w:rFonts w:ascii="David" w:hAnsi="David" w:cs="David" w:hint="cs"/>
          <w:rtl/>
        </w:rPr>
        <w:t>דגישה</w:t>
      </w:r>
      <w:r w:rsidRPr="007212EC">
        <w:rPr>
          <w:rFonts w:ascii="David" w:hAnsi="David" w:cs="David"/>
          <w:rtl/>
        </w:rPr>
        <w:t xml:space="preserve"> במקור כי מהגרים רבים שומרים על קשר חזק עם מקומות מוצאם במקום פשוט להיטמע, אם כי </w:t>
      </w:r>
      <w:r>
        <w:rPr>
          <w:rFonts w:ascii="David" w:hAnsi="David" w:cs="David" w:hint="cs"/>
          <w:rtl/>
        </w:rPr>
        <w:t>מחקרים מאוחרים יותר</w:t>
      </w:r>
      <w:r w:rsidRPr="007212EC">
        <w:rPr>
          <w:rFonts w:ascii="David" w:hAnsi="David" w:cs="David"/>
          <w:rtl/>
        </w:rPr>
        <w:t xml:space="preserve"> אפשרו לתהליכי הטמעה ולתהליכים הטרנס-לאומיים להתגלגל בו זמנית</w:t>
      </w:r>
      <w:r w:rsidR="0054383B">
        <w:rPr>
          <w:rStyle w:val="a7"/>
          <w:rFonts w:ascii="David" w:hAnsi="David" w:cs="David"/>
          <w:rtl/>
        </w:rPr>
        <w:footnoteReference w:id="2"/>
      </w:r>
      <w:r>
        <w:rPr>
          <w:rFonts w:ascii="David" w:hAnsi="David" w:cs="David" w:hint="cs"/>
          <w:rtl/>
        </w:rPr>
        <w:t>.</w:t>
      </w:r>
      <w:r w:rsidR="00EA2A14">
        <w:rPr>
          <w:rFonts w:ascii="David" w:hAnsi="David" w:cs="David" w:hint="cs"/>
          <w:rtl/>
        </w:rPr>
        <w:t xml:space="preserve"> </w:t>
      </w:r>
    </w:p>
    <w:p w14:paraId="1209D631" w14:textId="77777777" w:rsidR="00EA2A14" w:rsidRDefault="00EA2A14" w:rsidP="00EA2A14">
      <w:pPr>
        <w:spacing w:line="360" w:lineRule="auto"/>
        <w:jc w:val="both"/>
        <w:rPr>
          <w:rFonts w:ascii="David" w:hAnsi="David" w:cs="David"/>
          <w:rtl/>
        </w:rPr>
      </w:pPr>
      <w:r>
        <w:rPr>
          <w:rFonts w:ascii="David" w:hAnsi="David" w:cs="David" w:hint="cs"/>
          <w:rtl/>
        </w:rPr>
        <w:t>ֿ</w:t>
      </w:r>
    </w:p>
    <w:p w14:paraId="56701313" w14:textId="65C906ED" w:rsidR="00DD2B95" w:rsidRDefault="007212EC" w:rsidP="00F63684">
      <w:pPr>
        <w:spacing w:line="360" w:lineRule="auto"/>
        <w:jc w:val="both"/>
        <w:rPr>
          <w:rFonts w:ascii="David" w:hAnsi="David" w:cs="David"/>
          <w:rtl/>
        </w:rPr>
      </w:pPr>
      <w:r>
        <w:rPr>
          <w:rFonts w:ascii="David" w:hAnsi="David" w:cs="David" w:hint="cs"/>
          <w:rtl/>
        </w:rPr>
        <w:t>צמד החוקרים</w:t>
      </w:r>
      <w:r w:rsidR="00B81D14" w:rsidRPr="00B81D14">
        <w:rPr>
          <w:rFonts w:ascii="David" w:hAnsi="David" w:cs="David"/>
          <w:rtl/>
        </w:rPr>
        <w:t xml:space="preserve"> פארק ובורגס</w:t>
      </w:r>
      <w:r>
        <w:rPr>
          <w:rFonts w:ascii="David" w:hAnsi="David" w:cs="David" w:hint="cs"/>
          <w:rtl/>
        </w:rPr>
        <w:t xml:space="preserve"> (1924 ,</w:t>
      </w:r>
      <w:r w:rsidRPr="007212EC">
        <w:rPr>
          <w:rFonts w:ascii="David" w:hAnsi="David" w:cs="David"/>
        </w:rPr>
        <w:t>Park and Burgess</w:t>
      </w:r>
      <w:r>
        <w:rPr>
          <w:rFonts w:ascii="David" w:hAnsi="David" w:cs="David" w:hint="cs"/>
          <w:rtl/>
        </w:rPr>
        <w:t>)</w:t>
      </w:r>
      <w:r w:rsidR="00B81D14" w:rsidRPr="00B81D14">
        <w:rPr>
          <w:rFonts w:ascii="David" w:hAnsi="David" w:cs="David"/>
          <w:rtl/>
        </w:rPr>
        <w:t xml:space="preserve"> הגדירו הטמעה כ"תהליך של חדירה והיתוך שבו אנשים וקבוצות רוכשים את הזיכרונות, התחושות והעמדות של אנשים או קבוצות אחרות</w:t>
      </w:r>
      <w:r w:rsidR="00EA2A14">
        <w:rPr>
          <w:rFonts w:ascii="David" w:hAnsi="David" w:cs="David" w:hint="cs"/>
          <w:rtl/>
        </w:rPr>
        <w:t>,</w:t>
      </w:r>
      <w:r w:rsidR="00B81D14" w:rsidRPr="00B81D14">
        <w:rPr>
          <w:rFonts w:ascii="David" w:hAnsi="David" w:cs="David"/>
          <w:rtl/>
        </w:rPr>
        <w:t xml:space="preserve"> ועל ידי שיתוף בניסיונם ובהיסטוריה שלהם, משולבים איתם בתרבות משותפת</w:t>
      </w:r>
      <w:r w:rsidR="00EA2A14">
        <w:rPr>
          <w:rFonts w:ascii="David" w:hAnsi="David" w:cs="David" w:hint="cs"/>
          <w:rtl/>
        </w:rPr>
        <w:t>״</w:t>
      </w:r>
      <w:r w:rsidR="00EA2A14">
        <w:rPr>
          <w:rStyle w:val="a7"/>
          <w:rFonts w:ascii="David" w:hAnsi="David" w:cs="David"/>
          <w:rtl/>
        </w:rPr>
        <w:footnoteReference w:id="3"/>
      </w:r>
      <w:r w:rsidR="00F63684">
        <w:rPr>
          <w:rFonts w:ascii="David" w:hAnsi="David" w:cs="David" w:hint="cs"/>
          <w:rtl/>
        </w:rPr>
        <w:t xml:space="preserve"> </w:t>
      </w:r>
      <w:r w:rsidR="00365A97">
        <w:rPr>
          <w:rFonts w:ascii="David" w:hAnsi="David" w:cs="David" w:hint="cs"/>
          <w:rtl/>
        </w:rPr>
        <w:t>בנוסף</w:t>
      </w:r>
      <w:r w:rsidR="00F63684">
        <w:rPr>
          <w:rFonts w:ascii="David" w:hAnsi="David" w:cs="David" w:hint="cs"/>
          <w:rtl/>
        </w:rPr>
        <w:t xml:space="preserve">, </w:t>
      </w:r>
      <w:r w:rsidR="00365A97">
        <w:rPr>
          <w:rFonts w:ascii="David" w:hAnsi="David" w:cs="David" w:hint="cs"/>
          <w:rtl/>
        </w:rPr>
        <w:t xml:space="preserve">שתי תיאוריות מביא עמו </w:t>
      </w:r>
      <w:r w:rsidR="00B81D14" w:rsidRPr="00B81D14">
        <w:rPr>
          <w:rFonts w:ascii="David" w:hAnsi="David" w:cs="David"/>
          <w:rtl/>
        </w:rPr>
        <w:t>מילטון גורדון (</w:t>
      </w:r>
      <w:r w:rsidR="00F63684">
        <w:rPr>
          <w:rFonts w:ascii="David" w:hAnsi="David" w:cs="David"/>
        </w:rPr>
        <w:t>Milton Gordon, 1964</w:t>
      </w:r>
      <w:r w:rsidR="00B81D14" w:rsidRPr="00B81D14">
        <w:rPr>
          <w:rFonts w:ascii="David" w:hAnsi="David" w:cs="David"/>
          <w:rtl/>
        </w:rPr>
        <w:t xml:space="preserve">) </w:t>
      </w:r>
      <w:r w:rsidR="00365A97">
        <w:rPr>
          <w:rFonts w:ascii="David" w:hAnsi="David" w:cs="David" w:hint="cs"/>
          <w:rtl/>
        </w:rPr>
        <w:t>שחידדו</w:t>
      </w:r>
      <w:r w:rsidR="00B81D14" w:rsidRPr="00B81D14">
        <w:rPr>
          <w:rFonts w:ascii="David" w:hAnsi="David" w:cs="David"/>
          <w:rtl/>
        </w:rPr>
        <w:t xml:space="preserve"> מאוחר יותר אופנים שונים של הטמעה: כור ההיתוך ופלורליזם</w:t>
      </w:r>
      <w:r w:rsidR="00365A97">
        <w:rPr>
          <w:rFonts w:ascii="David" w:hAnsi="David" w:cs="David" w:hint="cs"/>
          <w:rtl/>
        </w:rPr>
        <w:t>.</w:t>
      </w:r>
      <w:r w:rsidR="00B81D14" w:rsidRPr="00B81D14">
        <w:rPr>
          <w:rFonts w:ascii="David" w:hAnsi="David" w:cs="David"/>
          <w:rtl/>
        </w:rPr>
        <w:t xml:space="preserve"> בכור ההיתוך, גם המהגרים וגם הילידים משתנים כדי להכיל זה את זה באמצעות יצירת ישות לאומית חדשה</w:t>
      </w:r>
      <w:r w:rsidR="00EA2A14">
        <w:rPr>
          <w:rFonts w:ascii="David" w:hAnsi="David" w:cs="David" w:hint="cs"/>
          <w:rtl/>
        </w:rPr>
        <w:t>.</w:t>
      </w:r>
      <w:r w:rsidR="00DD2B95">
        <w:rPr>
          <w:rFonts w:ascii="David" w:hAnsi="David" w:cs="David" w:hint="cs"/>
          <w:rtl/>
        </w:rPr>
        <w:t xml:space="preserve"> </w:t>
      </w:r>
      <w:r w:rsidR="00DD2B95" w:rsidRPr="00B81D14">
        <w:rPr>
          <w:rFonts w:ascii="David" w:hAnsi="David" w:cs="David"/>
          <w:rtl/>
        </w:rPr>
        <w:t xml:space="preserve">במצב הפלורליסטי, שמתיישר עם ההבנה העכשווית של ארה"ב לגבי רב-תרבותיות, המהגרים מסתגלים לחברה המארחת במובנים מסוימים, תוך שמירה על הבדל אתני מסוים. </w:t>
      </w:r>
      <w:r w:rsidR="00365A97">
        <w:rPr>
          <w:rFonts w:ascii="David" w:hAnsi="David" w:cs="David" w:hint="cs"/>
          <w:rtl/>
        </w:rPr>
        <w:t>התיאוריה</w:t>
      </w:r>
      <w:r w:rsidR="00DD2B95" w:rsidRPr="00B81D14">
        <w:rPr>
          <w:rFonts w:ascii="David" w:hAnsi="David" w:cs="David"/>
          <w:rtl/>
        </w:rPr>
        <w:t xml:space="preserve"> השנייה של גורדון</w:t>
      </w:r>
      <w:r w:rsidR="00365A97">
        <w:rPr>
          <w:rFonts w:ascii="David" w:hAnsi="David" w:cs="David" w:hint="cs"/>
          <w:rtl/>
        </w:rPr>
        <w:t>,</w:t>
      </w:r>
      <w:r w:rsidR="00DD2B95" w:rsidRPr="00B81D14">
        <w:rPr>
          <w:rFonts w:ascii="David" w:hAnsi="David" w:cs="David"/>
          <w:rtl/>
        </w:rPr>
        <w:t xml:space="preserve"> פ</w:t>
      </w:r>
      <w:r w:rsidR="00365A97">
        <w:rPr>
          <w:rFonts w:ascii="David" w:hAnsi="David" w:cs="David" w:hint="cs"/>
          <w:rtl/>
        </w:rPr>
        <w:t>י</w:t>
      </w:r>
      <w:r w:rsidR="00DD2B95" w:rsidRPr="00B81D14">
        <w:rPr>
          <w:rFonts w:ascii="David" w:hAnsi="David" w:cs="David"/>
          <w:rtl/>
        </w:rPr>
        <w:t>תחה את רעיון ההטמעה, יהא אופן זה אשר יהיה</w:t>
      </w:r>
      <w:r w:rsidR="00365A97">
        <w:rPr>
          <w:rFonts w:ascii="David" w:hAnsi="David" w:cs="David" w:hint="cs"/>
          <w:rtl/>
        </w:rPr>
        <w:t>,</w:t>
      </w:r>
      <w:r w:rsidR="00DD2B95" w:rsidRPr="00B81D14">
        <w:rPr>
          <w:rFonts w:ascii="David" w:hAnsi="David" w:cs="David"/>
          <w:rtl/>
        </w:rPr>
        <w:t xml:space="preserve"> </w:t>
      </w:r>
      <w:r w:rsidR="00365A97" w:rsidRPr="00B81D14">
        <w:rPr>
          <w:rFonts w:ascii="David" w:hAnsi="David" w:cs="David" w:hint="cs"/>
          <w:rtl/>
        </w:rPr>
        <w:t>לממדים</w:t>
      </w:r>
      <w:r w:rsidR="00DD2B95" w:rsidRPr="00B81D14">
        <w:rPr>
          <w:rFonts w:ascii="David" w:hAnsi="David" w:cs="David"/>
          <w:rtl/>
        </w:rPr>
        <w:t xml:space="preserve"> שונים של שינוי כמו תרבות</w:t>
      </w:r>
      <w:r w:rsidR="00365A97">
        <w:rPr>
          <w:rFonts w:ascii="David" w:hAnsi="David" w:cs="David" w:hint="cs"/>
          <w:rtl/>
        </w:rPr>
        <w:t>,</w:t>
      </w:r>
      <w:r w:rsidR="00DD2B95" w:rsidRPr="00B81D14">
        <w:rPr>
          <w:rFonts w:ascii="David" w:hAnsi="David" w:cs="David"/>
          <w:rtl/>
        </w:rPr>
        <w:t xml:space="preserve"> נישואים וקבלה על ידי החברה המארחת בגישה ובפרקטיקה</w:t>
      </w:r>
      <w:r w:rsidR="00365A97">
        <w:rPr>
          <w:rStyle w:val="a7"/>
          <w:rFonts w:ascii="David" w:hAnsi="David" w:cs="David"/>
          <w:rtl/>
        </w:rPr>
        <w:footnoteReference w:id="4"/>
      </w:r>
      <w:r w:rsidR="007E3DB1">
        <w:rPr>
          <w:rFonts w:ascii="David" w:hAnsi="David" w:cs="David" w:hint="cs"/>
          <w:rtl/>
        </w:rPr>
        <w:t>.</w:t>
      </w:r>
    </w:p>
    <w:p w14:paraId="605249F6" w14:textId="2498ADE6" w:rsidR="00B81D14" w:rsidRDefault="00B81D14" w:rsidP="00E57E4E">
      <w:pPr>
        <w:spacing w:line="360" w:lineRule="auto"/>
        <w:jc w:val="both"/>
        <w:rPr>
          <w:rFonts w:ascii="David" w:hAnsi="David" w:cs="David"/>
          <w:rtl/>
        </w:rPr>
      </w:pPr>
    </w:p>
    <w:p w14:paraId="3DA3AAB2" w14:textId="4AD84368" w:rsidR="00B81D14" w:rsidRDefault="00B81D14" w:rsidP="00E57E4E">
      <w:pPr>
        <w:spacing w:line="360" w:lineRule="auto"/>
        <w:jc w:val="both"/>
        <w:rPr>
          <w:rFonts w:ascii="David" w:hAnsi="David" w:cs="David"/>
          <w:rtl/>
        </w:rPr>
      </w:pPr>
    </w:p>
    <w:p w14:paraId="1B88F8B0" w14:textId="77777777" w:rsidR="00DD2B95" w:rsidRDefault="00DD2B95" w:rsidP="00E57E4E">
      <w:pPr>
        <w:spacing w:line="360" w:lineRule="auto"/>
        <w:jc w:val="both"/>
        <w:rPr>
          <w:rFonts w:ascii="David" w:hAnsi="David" w:cs="David"/>
          <w:rtl/>
        </w:rPr>
      </w:pPr>
    </w:p>
    <w:p w14:paraId="7430DCFA" w14:textId="458D54C1" w:rsidR="00DD2B95" w:rsidRDefault="00DD2B95" w:rsidP="00DD2B95">
      <w:pPr>
        <w:spacing w:line="360" w:lineRule="auto"/>
        <w:jc w:val="both"/>
        <w:rPr>
          <w:rFonts w:ascii="David" w:hAnsi="David" w:cs="David"/>
          <w:rtl/>
        </w:rPr>
      </w:pPr>
      <w:r>
        <w:rPr>
          <w:rFonts w:ascii="David" w:hAnsi="David" w:cs="David" w:hint="cs"/>
          <w:rtl/>
        </w:rPr>
        <w:lastRenderedPageBreak/>
        <w:t xml:space="preserve">על כן, </w:t>
      </w:r>
      <w:r w:rsidRPr="00EE3FF7">
        <w:rPr>
          <w:rFonts w:ascii="David" w:hAnsi="David" w:cs="David"/>
          <w:rtl/>
        </w:rPr>
        <w:t>ברגע שהמהגרים מגיעים ליעד, הרשתות החברתיות מעצבות את המשך ההטמעה שלהן: היזמים הקולטים את המהגרים משתמשים ברשתות שלהם כדי לגשת להשקעות, להקים מובלעות אתניות ולמצוא מקומות עבודה בנישות למיניהן.</w:t>
      </w:r>
    </w:p>
    <w:p w14:paraId="0D0AD8EE" w14:textId="77777777" w:rsidR="00DD2B95" w:rsidRDefault="00DD2B95" w:rsidP="00E57E4E">
      <w:pPr>
        <w:spacing w:line="360" w:lineRule="auto"/>
        <w:jc w:val="both"/>
        <w:rPr>
          <w:rFonts w:ascii="David" w:hAnsi="David" w:cs="David"/>
          <w:rtl/>
        </w:rPr>
      </w:pPr>
    </w:p>
    <w:p w14:paraId="0181A741" w14:textId="4553479D" w:rsidR="00E57E4E" w:rsidRDefault="00627080" w:rsidP="00E57E4E">
      <w:pPr>
        <w:spacing w:line="360" w:lineRule="auto"/>
        <w:jc w:val="both"/>
        <w:rPr>
          <w:rFonts w:ascii="David" w:hAnsi="David" w:cs="David"/>
          <w:rtl/>
        </w:rPr>
      </w:pPr>
      <w:r w:rsidRPr="00627080">
        <w:rPr>
          <w:rFonts w:ascii="David" w:hAnsi="David" w:cs="David" w:hint="cs"/>
          <w:rtl/>
        </w:rPr>
        <w:t xml:space="preserve">בעולם המודרני, </w:t>
      </w:r>
      <w:r w:rsidR="00AA451B" w:rsidRPr="00627080">
        <w:rPr>
          <w:rFonts w:ascii="David" w:hAnsi="David" w:cs="David" w:hint="cs"/>
          <w:rtl/>
        </w:rPr>
        <w:t>הגירות בינלאומיות גדלו בהיקפן והשתנו באופיין</w:t>
      </w:r>
      <w:r w:rsidRPr="00627080">
        <w:rPr>
          <w:rFonts w:ascii="David" w:hAnsi="David" w:cs="David" w:hint="cs"/>
          <w:rtl/>
        </w:rPr>
        <w:t xml:space="preserve"> – החל מסוף מלחמת הע</w:t>
      </w:r>
      <w:r>
        <w:rPr>
          <w:rFonts w:ascii="David" w:hAnsi="David" w:cs="David" w:hint="cs"/>
          <w:rtl/>
        </w:rPr>
        <w:t>ו</w:t>
      </w:r>
      <w:r w:rsidRPr="00627080">
        <w:rPr>
          <w:rFonts w:ascii="David" w:hAnsi="David" w:cs="David" w:hint="cs"/>
          <w:rtl/>
        </w:rPr>
        <w:t>לם השנייה. אז,</w:t>
      </w:r>
      <w:r w:rsidR="00AA451B" w:rsidRPr="00627080">
        <w:rPr>
          <w:rFonts w:ascii="David" w:hAnsi="David" w:cs="David" w:hint="cs"/>
          <w:rtl/>
        </w:rPr>
        <w:t xml:space="preserve"> היו ש</w:t>
      </w:r>
      <w:r w:rsidRPr="00627080">
        <w:rPr>
          <w:rFonts w:ascii="David" w:hAnsi="David" w:cs="David" w:hint="cs"/>
          <w:rtl/>
        </w:rPr>
        <w:t xml:space="preserve">תי </w:t>
      </w:r>
      <w:r w:rsidR="00AA451B" w:rsidRPr="00627080">
        <w:rPr>
          <w:rFonts w:ascii="David" w:hAnsi="David" w:cs="David" w:hint="cs"/>
          <w:rtl/>
        </w:rPr>
        <w:t>תקופות</w:t>
      </w:r>
      <w:r w:rsidRPr="00627080">
        <w:rPr>
          <w:rFonts w:ascii="David" w:hAnsi="David" w:cs="David" w:hint="cs"/>
          <w:rtl/>
        </w:rPr>
        <w:t xml:space="preserve"> עיקריות:</w:t>
      </w:r>
      <w:r w:rsidR="00AA451B" w:rsidRPr="00627080">
        <w:rPr>
          <w:rFonts w:ascii="David" w:hAnsi="David" w:cs="David" w:hint="cs"/>
          <w:rtl/>
        </w:rPr>
        <w:t xml:space="preserve"> </w:t>
      </w:r>
      <w:r w:rsidRPr="00627080">
        <w:rPr>
          <w:rFonts w:ascii="David" w:hAnsi="David" w:cs="David" w:hint="cs"/>
          <w:rtl/>
        </w:rPr>
        <w:t>האחת,</w:t>
      </w:r>
      <w:r w:rsidR="00AA451B" w:rsidRPr="00627080">
        <w:rPr>
          <w:rFonts w:ascii="David" w:hAnsi="David" w:cs="David" w:hint="cs"/>
          <w:rtl/>
        </w:rPr>
        <w:t xml:space="preserve"> מ-1945 ועד תחילת שנות ה-70, </w:t>
      </w:r>
      <w:r w:rsidRPr="00627080">
        <w:rPr>
          <w:rFonts w:ascii="David" w:hAnsi="David" w:cs="David" w:hint="cs"/>
          <w:rtl/>
        </w:rPr>
        <w:t xml:space="preserve">בה </w:t>
      </w:r>
      <w:r w:rsidR="00AA451B" w:rsidRPr="00627080">
        <w:rPr>
          <w:rFonts w:ascii="David" w:hAnsi="David" w:cs="David" w:hint="cs"/>
          <w:rtl/>
        </w:rPr>
        <w:t xml:space="preserve">האסטרטגיה הכלכלית העיקרית הייתה ריכוז השקעות והרחבת היצור בתוך המדינות המפותחות הקיימות. </w:t>
      </w:r>
      <w:r w:rsidRPr="00627080">
        <w:rPr>
          <w:rFonts w:ascii="David" w:hAnsi="David" w:cs="David" w:hint="cs"/>
          <w:rtl/>
        </w:rPr>
        <w:t>ו</w:t>
      </w:r>
      <w:r w:rsidR="00AA451B" w:rsidRPr="00627080">
        <w:rPr>
          <w:rFonts w:ascii="David" w:hAnsi="David" w:cs="David" w:hint="cs"/>
          <w:rtl/>
        </w:rPr>
        <w:t>כתוצאה מכך, מספר רב של מהגרי עבודה נמשכו ממדינות פחות מפותחות אל אזורי התעש</w:t>
      </w:r>
      <w:r w:rsidRPr="00627080">
        <w:rPr>
          <w:rFonts w:ascii="David" w:hAnsi="David" w:cs="David" w:hint="cs"/>
          <w:rtl/>
        </w:rPr>
        <w:t>י</w:t>
      </w:r>
      <w:r w:rsidR="00AA451B" w:rsidRPr="00627080">
        <w:rPr>
          <w:rFonts w:ascii="David" w:hAnsi="David" w:cs="David" w:hint="cs"/>
          <w:rtl/>
        </w:rPr>
        <w:t xml:space="preserve">יה שהתרחבו במהירות במערב אירופה, צפון אמריקה ואוסטרליה. </w:t>
      </w:r>
      <w:r w:rsidRPr="00627080">
        <w:rPr>
          <w:rFonts w:ascii="David" w:hAnsi="David" w:cs="David" w:hint="cs"/>
          <w:rtl/>
        </w:rPr>
        <w:t>תמריץ להבניה מחודשת של הכלכלה העולמית, הכוללת השקעת הון באזורי תעשיה חדשים, שינוי דפוסים של סחר עולמי, וטכנולוגיות חדשות. התוצאה הייתה שלב שני של הגירה בינלאומית, החל מאמצע שנות ה-70 ותפיסת תאוצה בשנות ה-80-90. שלב זה כלל דפוסים חדשים ומורכבים של הגירה, שהשפיעה על המדינות המקבלות החדשות והישנות כאחד</w:t>
      </w:r>
      <w:r w:rsidR="00E57E4E">
        <w:rPr>
          <w:rStyle w:val="a7"/>
          <w:rFonts w:ascii="David" w:hAnsi="David" w:cs="David"/>
          <w:rtl/>
        </w:rPr>
        <w:footnoteReference w:id="5"/>
      </w:r>
      <w:r w:rsidR="00E57E4E">
        <w:rPr>
          <w:rFonts w:ascii="David" w:hAnsi="David" w:cs="David" w:hint="cs"/>
          <w:rtl/>
        </w:rPr>
        <w:t>.</w:t>
      </w:r>
    </w:p>
    <w:p w14:paraId="76151266" w14:textId="77777777" w:rsidR="00E22E7C" w:rsidRDefault="00E22E7C" w:rsidP="004A24DE">
      <w:pPr>
        <w:spacing w:line="360" w:lineRule="auto"/>
        <w:jc w:val="both"/>
        <w:rPr>
          <w:rFonts w:ascii="David" w:hAnsi="David" w:cs="David"/>
          <w:rtl/>
        </w:rPr>
      </w:pPr>
    </w:p>
    <w:p w14:paraId="0D1A20B0" w14:textId="216FCA1E" w:rsidR="00E57E4E" w:rsidRPr="00627080" w:rsidRDefault="007E650F" w:rsidP="004A24DE">
      <w:pPr>
        <w:spacing w:line="360" w:lineRule="auto"/>
        <w:jc w:val="both"/>
        <w:rPr>
          <w:rFonts w:ascii="David" w:hAnsi="David" w:cs="David"/>
          <w:rtl/>
        </w:rPr>
      </w:pPr>
      <w:r w:rsidRPr="007E650F">
        <w:rPr>
          <w:rFonts w:ascii="David" w:hAnsi="David" w:cs="David"/>
          <w:rtl/>
        </w:rPr>
        <w:t>בתקופה שלאחר 1945, להגירת העבודה היה חלק מכריע בצמיחה ובמבנה מחדש של כלכלות תעשייתיות, בעוד שהגירה כפויה הייתה תוצאה בלתי נמנעת של תהליכי היווצרות מדינה ושינוי כלכלי בתנאים של תחרות מערכות. לפיכך, העניין הציבורי בהגירה בתחילת שנות ה-90 ייצג שינוי בתפיסה, מעבר למשמעות האמיתית של התופעה. הגירה היא בבירור מרכיב מערכתי בתהליכי גלובליזציה, אך זוהי בסך הכל צורה חדשה של תפקיד מערכתי שהתקיים בתלבושות שונות מאז ראשיתו של השוק העולמי הקפיטליסטי בסביבות המאה השש-עשרה.</w:t>
      </w:r>
    </w:p>
    <w:p w14:paraId="7628E235" w14:textId="21AF8B07" w:rsidR="004677CC" w:rsidRPr="00AA451B" w:rsidRDefault="004677CC" w:rsidP="00AA451B">
      <w:pPr>
        <w:spacing w:line="360" w:lineRule="auto"/>
        <w:jc w:val="both"/>
        <w:rPr>
          <w:rFonts w:ascii="David" w:hAnsi="David" w:cs="David"/>
          <w:color w:val="000000" w:themeColor="text1"/>
          <w:rtl/>
        </w:rPr>
      </w:pPr>
    </w:p>
    <w:p w14:paraId="038B71D9" w14:textId="38F2CE10" w:rsidR="008D2096" w:rsidRPr="00CC602A" w:rsidRDefault="008D2096" w:rsidP="002A62AF">
      <w:pPr>
        <w:spacing w:line="360" w:lineRule="auto"/>
        <w:jc w:val="both"/>
        <w:rPr>
          <w:rFonts w:ascii="David" w:hAnsi="David" w:cs="David"/>
          <w:color w:val="000000" w:themeColor="text1"/>
          <w:rtl/>
        </w:rPr>
      </w:pPr>
    </w:p>
    <w:sectPr w:rsidR="008D2096" w:rsidRPr="00CC602A" w:rsidSect="007677F8">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49AC0" w14:textId="77777777" w:rsidR="00C74758" w:rsidRDefault="00C74758" w:rsidP="00E57E4E">
      <w:r>
        <w:separator/>
      </w:r>
    </w:p>
  </w:endnote>
  <w:endnote w:type="continuationSeparator" w:id="0">
    <w:p w14:paraId="523508C4" w14:textId="77777777" w:rsidR="00C74758" w:rsidRDefault="00C74758" w:rsidP="00E57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C823C" w14:textId="77777777" w:rsidR="00C74758" w:rsidRDefault="00C74758" w:rsidP="00E57E4E">
      <w:r>
        <w:separator/>
      </w:r>
    </w:p>
  </w:footnote>
  <w:footnote w:type="continuationSeparator" w:id="0">
    <w:p w14:paraId="1C08F6C1" w14:textId="77777777" w:rsidR="00C74758" w:rsidRDefault="00C74758" w:rsidP="00E57E4E">
      <w:r>
        <w:continuationSeparator/>
      </w:r>
    </w:p>
  </w:footnote>
  <w:footnote w:id="1">
    <w:p w14:paraId="64734E19" w14:textId="4301A39E" w:rsidR="00695910" w:rsidRPr="00695910" w:rsidRDefault="00695910" w:rsidP="0054383B">
      <w:pPr>
        <w:bidi w:val="0"/>
        <w:jc w:val="both"/>
        <w:rPr>
          <w:rFonts w:ascii="David" w:hAnsi="David" w:cs="David"/>
          <w:sz w:val="20"/>
          <w:szCs w:val="20"/>
        </w:rPr>
      </w:pPr>
      <w:r>
        <w:rPr>
          <w:rStyle w:val="a7"/>
        </w:rPr>
        <w:footnoteRef/>
      </w:r>
      <w:r>
        <w:rPr>
          <w:rtl/>
        </w:rPr>
        <w:t xml:space="preserve"> </w:t>
      </w:r>
      <w:r w:rsidRPr="00695910">
        <w:rPr>
          <w:rFonts w:ascii="David" w:hAnsi="David" w:cs="David"/>
          <w:sz w:val="20"/>
          <w:szCs w:val="20"/>
        </w:rPr>
        <w:t>James S (2017). Immigration &amp; Immigrant Communities (1650-2016), Salem Press</w:t>
      </w:r>
      <w:r w:rsidRPr="00695910">
        <w:rPr>
          <w:rFonts w:ascii="David" w:hAnsi="David" w:cs="David"/>
          <w:sz w:val="20"/>
          <w:szCs w:val="20"/>
          <w:rtl/>
        </w:rPr>
        <w:t>.</w:t>
      </w:r>
    </w:p>
  </w:footnote>
  <w:footnote w:id="2">
    <w:p w14:paraId="0EC22309" w14:textId="154B4E34" w:rsidR="0054383B" w:rsidRPr="0054383B" w:rsidRDefault="0054383B" w:rsidP="0054383B">
      <w:pPr>
        <w:pStyle w:val="a5"/>
        <w:bidi w:val="0"/>
        <w:rPr>
          <w:rtl/>
        </w:rPr>
      </w:pPr>
      <w:r>
        <w:rPr>
          <w:rStyle w:val="a7"/>
        </w:rPr>
        <w:footnoteRef/>
      </w:r>
      <w:r>
        <w:rPr>
          <w:rtl/>
        </w:rPr>
        <w:t xml:space="preserve"> </w:t>
      </w:r>
      <w:r w:rsidRPr="00EA2A14">
        <w:rPr>
          <w:rFonts w:ascii="David" w:hAnsi="David" w:cs="David" w:hint="cs"/>
        </w:rPr>
        <w:t xml:space="preserve">FitzGerald, D (2000). The Sociology of International </w:t>
      </w:r>
      <w:proofErr w:type="spellStart"/>
      <w:r w:rsidRPr="00EA2A14">
        <w:rPr>
          <w:rFonts w:ascii="David" w:hAnsi="David" w:cs="David" w:hint="cs"/>
        </w:rPr>
        <w:t>Migratio</w:t>
      </w:r>
      <w:proofErr w:type="spellEnd"/>
      <w:r>
        <w:rPr>
          <w:rFonts w:ascii="David" w:hAnsi="David" w:cs="David" w:hint="cs"/>
          <w:rtl/>
        </w:rPr>
        <w:t>n</w:t>
      </w:r>
      <w:r w:rsidRPr="00EA2A14">
        <w:rPr>
          <w:rFonts w:ascii="David" w:hAnsi="David" w:cs="David" w:hint="cs"/>
        </w:rPr>
        <w:t xml:space="preserve">, Migration Theory: Talking across Discipline, page </w:t>
      </w:r>
      <w:r>
        <w:rPr>
          <w:rFonts w:ascii="David" w:hAnsi="David" w:cs="David" w:hint="cs"/>
          <w:rtl/>
        </w:rPr>
        <w:t>119</w:t>
      </w:r>
    </w:p>
  </w:footnote>
  <w:footnote w:id="3">
    <w:p w14:paraId="6DB0657F" w14:textId="0503E6BA" w:rsidR="00EA2A14" w:rsidRDefault="00EA2A14" w:rsidP="0054383B">
      <w:pPr>
        <w:pStyle w:val="a5"/>
        <w:bidi w:val="0"/>
      </w:pPr>
      <w:r>
        <w:rPr>
          <w:rStyle w:val="a7"/>
        </w:rPr>
        <w:footnoteRef/>
      </w:r>
      <w:r>
        <w:rPr>
          <w:rtl/>
        </w:rPr>
        <w:t xml:space="preserve"> </w:t>
      </w:r>
      <w:r w:rsidRPr="00EA2A14">
        <w:rPr>
          <w:rFonts w:ascii="David" w:hAnsi="David" w:cs="David" w:hint="cs"/>
        </w:rPr>
        <w:t xml:space="preserve">FitzGerald, D (2000). The Sociology of International </w:t>
      </w:r>
      <w:proofErr w:type="spellStart"/>
      <w:r w:rsidRPr="00EA2A14">
        <w:rPr>
          <w:rFonts w:ascii="David" w:hAnsi="David" w:cs="David" w:hint="cs"/>
        </w:rPr>
        <w:t>Migratio</w:t>
      </w:r>
      <w:proofErr w:type="spellEnd"/>
      <w:r w:rsidR="0054383B">
        <w:rPr>
          <w:rFonts w:ascii="David" w:hAnsi="David" w:cs="David" w:hint="cs"/>
          <w:rtl/>
        </w:rPr>
        <w:t>n</w:t>
      </w:r>
      <w:r w:rsidRPr="00EA2A14">
        <w:rPr>
          <w:rFonts w:ascii="David" w:hAnsi="David" w:cs="David" w:hint="cs"/>
        </w:rPr>
        <w:t>, Migration Theory: Talking across Discipline, page 124</w:t>
      </w:r>
    </w:p>
  </w:footnote>
  <w:footnote w:id="4">
    <w:p w14:paraId="0879033F" w14:textId="04F002CD" w:rsidR="00365A97" w:rsidRPr="00365A97" w:rsidRDefault="00365A97" w:rsidP="00365A97">
      <w:pPr>
        <w:pStyle w:val="a5"/>
        <w:bidi w:val="0"/>
        <w:rPr>
          <w:rtl/>
        </w:rPr>
      </w:pPr>
      <w:r>
        <w:rPr>
          <w:rStyle w:val="a7"/>
        </w:rPr>
        <w:footnoteRef/>
      </w:r>
      <w:r>
        <w:rPr>
          <w:rtl/>
        </w:rPr>
        <w:t xml:space="preserve"> </w:t>
      </w:r>
      <w:r w:rsidRPr="00EA2A14">
        <w:rPr>
          <w:rFonts w:ascii="David" w:hAnsi="David" w:cs="David" w:hint="cs"/>
        </w:rPr>
        <w:t xml:space="preserve">FitzGerald, D (2000). The Sociology of International </w:t>
      </w:r>
      <w:proofErr w:type="spellStart"/>
      <w:r w:rsidRPr="00EA2A14">
        <w:rPr>
          <w:rFonts w:ascii="David" w:hAnsi="David" w:cs="David" w:hint="cs"/>
        </w:rPr>
        <w:t>Migratio</w:t>
      </w:r>
      <w:proofErr w:type="spellEnd"/>
      <w:r>
        <w:rPr>
          <w:rFonts w:ascii="David" w:hAnsi="David" w:cs="David" w:hint="cs"/>
          <w:rtl/>
        </w:rPr>
        <w:t>n</w:t>
      </w:r>
      <w:r w:rsidRPr="00EA2A14">
        <w:rPr>
          <w:rFonts w:ascii="David" w:hAnsi="David" w:cs="David" w:hint="cs"/>
        </w:rPr>
        <w:t xml:space="preserve">, Migration Theory: Talking across Discipline, page </w:t>
      </w:r>
      <w:r w:rsidRPr="00365A97">
        <w:rPr>
          <w:rFonts w:ascii="David" w:hAnsi="David" w:cs="David" w:hint="cs"/>
        </w:rPr>
        <w:t>124</w:t>
      </w:r>
      <w:r w:rsidRPr="00365A97">
        <w:rPr>
          <w:rFonts w:ascii="David" w:hAnsi="David" w:cs="David" w:hint="cs"/>
          <w:rtl/>
        </w:rPr>
        <w:t>125</w:t>
      </w:r>
      <w:r>
        <w:rPr>
          <w:rFonts w:hint="cs"/>
          <w:rtl/>
        </w:rPr>
        <w:t>-</w:t>
      </w:r>
    </w:p>
  </w:footnote>
  <w:footnote w:id="5">
    <w:p w14:paraId="191307BC" w14:textId="3602EB8A" w:rsidR="00E57E4E" w:rsidRPr="00E57E4E" w:rsidRDefault="00E57E4E" w:rsidP="00E57E4E">
      <w:pPr>
        <w:bidi w:val="0"/>
        <w:rPr>
          <w:rFonts w:ascii="David" w:hAnsi="David" w:cs="David"/>
        </w:rPr>
      </w:pPr>
      <w:r>
        <w:rPr>
          <w:rStyle w:val="a7"/>
        </w:rPr>
        <w:footnoteRef/>
      </w:r>
      <w:r>
        <w:rPr>
          <w:rtl/>
        </w:rPr>
        <w:t xml:space="preserve"> </w:t>
      </w:r>
      <w:r w:rsidRPr="00E57E4E">
        <w:rPr>
          <w:rFonts w:ascii="David" w:hAnsi="David" w:cs="David" w:hint="cs"/>
          <w:sz w:val="20"/>
          <w:szCs w:val="20"/>
        </w:rPr>
        <w:t>Castles, S., &amp; Miller, Mark J. (1998). Migration in Europe since 1945. In: The Age of Migration: International Population Movements in the Modern World (pp. 102-125). New York: Guilford.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3B72"/>
    <w:multiLevelType w:val="hybridMultilevel"/>
    <w:tmpl w:val="A4A614F4"/>
    <w:lvl w:ilvl="0" w:tplc="BBCC10AA">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63F0"/>
    <w:multiLevelType w:val="hybridMultilevel"/>
    <w:tmpl w:val="13CA84B6"/>
    <w:lvl w:ilvl="0" w:tplc="D3E0AE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B4548"/>
    <w:multiLevelType w:val="hybridMultilevel"/>
    <w:tmpl w:val="0CD23736"/>
    <w:lvl w:ilvl="0" w:tplc="8AC406D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53B7C"/>
    <w:multiLevelType w:val="hybridMultilevel"/>
    <w:tmpl w:val="87D0A282"/>
    <w:lvl w:ilvl="0" w:tplc="D2161FF0">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96067"/>
    <w:multiLevelType w:val="hybridMultilevel"/>
    <w:tmpl w:val="003C3F58"/>
    <w:lvl w:ilvl="0" w:tplc="B752479E">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F21D4"/>
    <w:multiLevelType w:val="hybridMultilevel"/>
    <w:tmpl w:val="CBA4E1A0"/>
    <w:lvl w:ilvl="0" w:tplc="8522F0D6">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20"/>
    <w:rsid w:val="00001179"/>
    <w:rsid w:val="00114295"/>
    <w:rsid w:val="001C00F0"/>
    <w:rsid w:val="00221E5F"/>
    <w:rsid w:val="002A62AF"/>
    <w:rsid w:val="00365A97"/>
    <w:rsid w:val="00383457"/>
    <w:rsid w:val="003C7766"/>
    <w:rsid w:val="003E7CD4"/>
    <w:rsid w:val="004677CC"/>
    <w:rsid w:val="004A0121"/>
    <w:rsid w:val="004A24DE"/>
    <w:rsid w:val="004C10A1"/>
    <w:rsid w:val="004C5AEF"/>
    <w:rsid w:val="004D063E"/>
    <w:rsid w:val="0053059E"/>
    <w:rsid w:val="0054383B"/>
    <w:rsid w:val="005C0241"/>
    <w:rsid w:val="006030D7"/>
    <w:rsid w:val="00627080"/>
    <w:rsid w:val="00684159"/>
    <w:rsid w:val="00695910"/>
    <w:rsid w:val="006D50DD"/>
    <w:rsid w:val="006E2508"/>
    <w:rsid w:val="00716C92"/>
    <w:rsid w:val="007212EC"/>
    <w:rsid w:val="007303C9"/>
    <w:rsid w:val="007677F8"/>
    <w:rsid w:val="00767B74"/>
    <w:rsid w:val="007E3DB1"/>
    <w:rsid w:val="007E650F"/>
    <w:rsid w:val="007E70F7"/>
    <w:rsid w:val="00873883"/>
    <w:rsid w:val="008A5E2E"/>
    <w:rsid w:val="008D2096"/>
    <w:rsid w:val="0095346D"/>
    <w:rsid w:val="00954884"/>
    <w:rsid w:val="00982080"/>
    <w:rsid w:val="009C253E"/>
    <w:rsid w:val="009E4545"/>
    <w:rsid w:val="009E4820"/>
    <w:rsid w:val="00A22D8A"/>
    <w:rsid w:val="00AA451B"/>
    <w:rsid w:val="00AB4B5B"/>
    <w:rsid w:val="00B65C66"/>
    <w:rsid w:val="00B81D14"/>
    <w:rsid w:val="00BB7775"/>
    <w:rsid w:val="00BD205D"/>
    <w:rsid w:val="00C022F9"/>
    <w:rsid w:val="00C10276"/>
    <w:rsid w:val="00C23B0B"/>
    <w:rsid w:val="00C74758"/>
    <w:rsid w:val="00C96C33"/>
    <w:rsid w:val="00CC4D68"/>
    <w:rsid w:val="00CC55BC"/>
    <w:rsid w:val="00CF7594"/>
    <w:rsid w:val="00D94C8D"/>
    <w:rsid w:val="00DA4E3E"/>
    <w:rsid w:val="00DD2B95"/>
    <w:rsid w:val="00E22E7C"/>
    <w:rsid w:val="00E57E4E"/>
    <w:rsid w:val="00EA2A14"/>
    <w:rsid w:val="00EC71C6"/>
    <w:rsid w:val="00EE3FF7"/>
    <w:rsid w:val="00EF600B"/>
    <w:rsid w:val="00F63684"/>
    <w:rsid w:val="00F65D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54ED14B"/>
  <w15:chartTrackingRefBased/>
  <w15:docId w15:val="{AFF03590-4F2A-6842-B234-57C01EAA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2AF"/>
    <w:pPr>
      <w:ind w:left="720"/>
      <w:contextualSpacing/>
    </w:pPr>
  </w:style>
  <w:style w:type="character" w:styleId="a4">
    <w:name w:val="Emphasis"/>
    <w:basedOn w:val="a0"/>
    <w:uiPriority w:val="20"/>
    <w:qFormat/>
    <w:rsid w:val="00E57E4E"/>
    <w:rPr>
      <w:i/>
      <w:iCs/>
    </w:rPr>
  </w:style>
  <w:style w:type="paragraph" w:styleId="a5">
    <w:name w:val="footnote text"/>
    <w:basedOn w:val="a"/>
    <w:link w:val="a6"/>
    <w:uiPriority w:val="99"/>
    <w:semiHidden/>
    <w:unhideWhenUsed/>
    <w:rsid w:val="00E57E4E"/>
    <w:rPr>
      <w:sz w:val="20"/>
      <w:szCs w:val="20"/>
    </w:rPr>
  </w:style>
  <w:style w:type="character" w:customStyle="1" w:styleId="a6">
    <w:name w:val="טקסט הערת שוליים תו"/>
    <w:basedOn w:val="a0"/>
    <w:link w:val="a5"/>
    <w:uiPriority w:val="99"/>
    <w:semiHidden/>
    <w:rsid w:val="00E57E4E"/>
    <w:rPr>
      <w:sz w:val="20"/>
      <w:szCs w:val="20"/>
    </w:rPr>
  </w:style>
  <w:style w:type="character" w:styleId="a7">
    <w:name w:val="footnote reference"/>
    <w:basedOn w:val="a0"/>
    <w:uiPriority w:val="99"/>
    <w:semiHidden/>
    <w:unhideWhenUsed/>
    <w:rsid w:val="00E57E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09540">
      <w:bodyDiv w:val="1"/>
      <w:marLeft w:val="0"/>
      <w:marRight w:val="0"/>
      <w:marTop w:val="0"/>
      <w:marBottom w:val="0"/>
      <w:divBdr>
        <w:top w:val="none" w:sz="0" w:space="0" w:color="auto"/>
        <w:left w:val="none" w:sz="0" w:space="0" w:color="auto"/>
        <w:bottom w:val="none" w:sz="0" w:space="0" w:color="auto"/>
        <w:right w:val="none" w:sz="0" w:space="0" w:color="auto"/>
      </w:divBdr>
    </w:div>
    <w:div w:id="272518952">
      <w:bodyDiv w:val="1"/>
      <w:marLeft w:val="0"/>
      <w:marRight w:val="0"/>
      <w:marTop w:val="0"/>
      <w:marBottom w:val="0"/>
      <w:divBdr>
        <w:top w:val="none" w:sz="0" w:space="0" w:color="auto"/>
        <w:left w:val="none" w:sz="0" w:space="0" w:color="auto"/>
        <w:bottom w:val="none" w:sz="0" w:space="0" w:color="auto"/>
        <w:right w:val="none" w:sz="0" w:space="0" w:color="auto"/>
      </w:divBdr>
    </w:div>
    <w:div w:id="348878309">
      <w:bodyDiv w:val="1"/>
      <w:marLeft w:val="0"/>
      <w:marRight w:val="0"/>
      <w:marTop w:val="0"/>
      <w:marBottom w:val="0"/>
      <w:divBdr>
        <w:top w:val="none" w:sz="0" w:space="0" w:color="auto"/>
        <w:left w:val="none" w:sz="0" w:space="0" w:color="auto"/>
        <w:bottom w:val="none" w:sz="0" w:space="0" w:color="auto"/>
        <w:right w:val="none" w:sz="0" w:space="0" w:color="auto"/>
      </w:divBdr>
    </w:div>
    <w:div w:id="1940016772">
      <w:bodyDiv w:val="1"/>
      <w:marLeft w:val="0"/>
      <w:marRight w:val="0"/>
      <w:marTop w:val="0"/>
      <w:marBottom w:val="0"/>
      <w:divBdr>
        <w:top w:val="none" w:sz="0" w:space="0" w:color="auto"/>
        <w:left w:val="none" w:sz="0" w:space="0" w:color="auto"/>
        <w:bottom w:val="none" w:sz="0" w:space="0" w:color="auto"/>
        <w:right w:val="none" w:sz="0" w:space="0" w:color="auto"/>
      </w:divBdr>
    </w:div>
    <w:div w:id="194958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74825-A05B-FF44-ACFE-D74E25143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752</Words>
  <Characters>3762</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21</cp:revision>
  <dcterms:created xsi:type="dcterms:W3CDTF">2021-12-14T11:28:00Z</dcterms:created>
  <dcterms:modified xsi:type="dcterms:W3CDTF">2022-01-08T15:19:00Z</dcterms:modified>
</cp:coreProperties>
</file>