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40332" w14:textId="0ABC9DA4" w:rsidR="002F4119" w:rsidRPr="000F2B1F" w:rsidRDefault="002F4119" w:rsidP="002F4119">
      <w:pPr>
        <w:bidi/>
        <w:spacing w:line="360" w:lineRule="auto"/>
        <w:jc w:val="center"/>
        <w:rPr>
          <w:rFonts w:ascii="David" w:hAnsi="David" w:cs="David"/>
          <w:sz w:val="28"/>
          <w:szCs w:val="28"/>
          <w:rtl/>
        </w:rPr>
      </w:pPr>
      <w:r w:rsidRPr="000F2B1F">
        <w:rPr>
          <w:rFonts w:ascii="David" w:hAnsi="David" w:cs="David" w:hint="cs"/>
          <w:sz w:val="28"/>
          <w:szCs w:val="28"/>
          <w:rtl/>
        </w:rPr>
        <w:t xml:space="preserve">האוניברסיטה הפתוחה </w:t>
      </w:r>
    </w:p>
    <w:p w14:paraId="00F84F15" w14:textId="47663883" w:rsidR="002F4119" w:rsidRPr="002F4119" w:rsidRDefault="000F2B1F" w:rsidP="002F4119">
      <w:pPr>
        <w:bidi/>
        <w:spacing w:line="360" w:lineRule="auto"/>
        <w:jc w:val="center"/>
        <w:rPr>
          <w:rFonts w:ascii="David" w:hAnsi="David" w:cs="David"/>
          <w:sz w:val="22"/>
          <w:szCs w:val="22"/>
          <w:rtl/>
        </w:rPr>
      </w:pPr>
      <w:r>
        <w:rPr>
          <w:rFonts w:ascii="David" w:hAnsi="David" w:cs="David" w:hint="cs"/>
          <w:sz w:val="22"/>
          <w:szCs w:val="22"/>
          <w:rtl/>
        </w:rPr>
        <w:t xml:space="preserve">תואר שני </w:t>
      </w:r>
      <w:r>
        <w:rPr>
          <w:rFonts w:ascii="David" w:hAnsi="David" w:cs="David"/>
          <w:sz w:val="22"/>
          <w:szCs w:val="22"/>
          <w:rtl/>
        </w:rPr>
        <w:t>–</w:t>
      </w:r>
      <w:r>
        <w:rPr>
          <w:rFonts w:ascii="David" w:hAnsi="David" w:cs="David" w:hint="cs"/>
          <w:sz w:val="22"/>
          <w:szCs w:val="22"/>
          <w:rtl/>
        </w:rPr>
        <w:t xml:space="preserve"> התוכנית לממשל ומדיניות ציבורית</w:t>
      </w:r>
    </w:p>
    <w:p w14:paraId="6F0FBBEB" w14:textId="77777777" w:rsidR="002F4119" w:rsidRDefault="002F4119" w:rsidP="002F4119">
      <w:pPr>
        <w:bidi/>
        <w:spacing w:line="360" w:lineRule="auto"/>
        <w:rPr>
          <w:rFonts w:ascii="David" w:hAnsi="David" w:cs="David"/>
          <w:b/>
          <w:bCs/>
          <w:sz w:val="22"/>
          <w:szCs w:val="22"/>
          <w:u w:val="single"/>
          <w:rtl/>
        </w:rPr>
      </w:pPr>
    </w:p>
    <w:p w14:paraId="76E3C20C" w14:textId="3792DE12" w:rsidR="002F4119" w:rsidRDefault="002F4119" w:rsidP="002F4119">
      <w:pPr>
        <w:bidi/>
        <w:spacing w:line="360" w:lineRule="auto"/>
        <w:rPr>
          <w:rFonts w:ascii="David" w:hAnsi="David" w:cs="David"/>
          <w:b/>
          <w:bCs/>
          <w:sz w:val="22"/>
          <w:szCs w:val="22"/>
          <w:u w:val="single"/>
          <w:rtl/>
        </w:rPr>
      </w:pPr>
    </w:p>
    <w:p w14:paraId="185E2245" w14:textId="6E5580B6" w:rsidR="000F2B1F" w:rsidRDefault="000F2B1F" w:rsidP="000F2B1F">
      <w:pPr>
        <w:bidi/>
        <w:spacing w:line="360" w:lineRule="auto"/>
        <w:rPr>
          <w:rFonts w:ascii="David" w:hAnsi="David" w:cs="David"/>
          <w:b/>
          <w:bCs/>
          <w:sz w:val="22"/>
          <w:szCs w:val="22"/>
          <w:u w:val="single"/>
          <w:rtl/>
        </w:rPr>
      </w:pPr>
    </w:p>
    <w:p w14:paraId="6137C98A" w14:textId="343BA40D" w:rsidR="000F2B1F" w:rsidRDefault="000F2B1F" w:rsidP="000F2B1F">
      <w:pPr>
        <w:bidi/>
        <w:spacing w:line="360" w:lineRule="auto"/>
        <w:rPr>
          <w:rFonts w:ascii="David" w:hAnsi="David" w:cs="David"/>
          <w:b/>
          <w:bCs/>
          <w:sz w:val="22"/>
          <w:szCs w:val="22"/>
          <w:u w:val="single"/>
          <w:rtl/>
        </w:rPr>
      </w:pPr>
    </w:p>
    <w:p w14:paraId="6F11564B" w14:textId="072877B5" w:rsidR="000F2B1F" w:rsidRDefault="000F2B1F" w:rsidP="000F2B1F">
      <w:pPr>
        <w:bidi/>
        <w:spacing w:line="360" w:lineRule="auto"/>
        <w:rPr>
          <w:rFonts w:ascii="David" w:hAnsi="David" w:cs="David"/>
          <w:b/>
          <w:bCs/>
          <w:sz w:val="22"/>
          <w:szCs w:val="22"/>
          <w:u w:val="single"/>
          <w:rtl/>
        </w:rPr>
      </w:pPr>
    </w:p>
    <w:p w14:paraId="368502FE" w14:textId="27D09282" w:rsidR="000F2B1F" w:rsidRDefault="000F2B1F" w:rsidP="000F2B1F">
      <w:pPr>
        <w:bidi/>
        <w:spacing w:line="360" w:lineRule="auto"/>
        <w:rPr>
          <w:rFonts w:ascii="David" w:hAnsi="David" w:cs="David"/>
          <w:b/>
          <w:bCs/>
          <w:sz w:val="22"/>
          <w:szCs w:val="22"/>
          <w:u w:val="single"/>
          <w:rtl/>
        </w:rPr>
      </w:pPr>
    </w:p>
    <w:p w14:paraId="07913C9A" w14:textId="69CE9C56" w:rsidR="000F2B1F" w:rsidRDefault="000F2B1F" w:rsidP="000F2B1F">
      <w:pPr>
        <w:bidi/>
        <w:spacing w:line="360" w:lineRule="auto"/>
        <w:rPr>
          <w:rFonts w:ascii="David" w:hAnsi="David" w:cs="David"/>
          <w:b/>
          <w:bCs/>
          <w:sz w:val="22"/>
          <w:szCs w:val="22"/>
          <w:u w:val="single"/>
          <w:rtl/>
        </w:rPr>
      </w:pPr>
    </w:p>
    <w:p w14:paraId="36507884" w14:textId="5928263B" w:rsidR="000F2B1F" w:rsidRPr="000F2B1F" w:rsidRDefault="000F2B1F" w:rsidP="000F2B1F">
      <w:pPr>
        <w:bidi/>
        <w:spacing w:line="360" w:lineRule="auto"/>
        <w:jc w:val="center"/>
        <w:rPr>
          <w:rFonts w:ascii="David" w:hAnsi="David" w:cs="David"/>
          <w:b/>
          <w:bCs/>
          <w:sz w:val="48"/>
          <w:szCs w:val="48"/>
          <w:rtl/>
        </w:rPr>
      </w:pPr>
      <w:r>
        <w:rPr>
          <w:rFonts w:ascii="David" w:hAnsi="David" w:cs="David" w:hint="cs"/>
          <w:b/>
          <w:bCs/>
          <w:sz w:val="48"/>
          <w:szCs w:val="48"/>
          <w:rtl/>
        </w:rPr>
        <w:t xml:space="preserve">רפרט בנושא: </w:t>
      </w:r>
      <w:r w:rsidRPr="000F2B1F">
        <w:rPr>
          <w:rFonts w:ascii="David" w:hAnsi="David" w:cs="David" w:hint="cs"/>
          <w:b/>
          <w:bCs/>
          <w:sz w:val="48"/>
          <w:szCs w:val="48"/>
          <w:rtl/>
        </w:rPr>
        <w:t>פעילותה של שרה אהרונסון, גיבורת מחתרת ניל״י, בראי הפמיניזם</w:t>
      </w:r>
    </w:p>
    <w:p w14:paraId="5C0C1456" w14:textId="77777777" w:rsidR="002F4119" w:rsidRDefault="002F4119" w:rsidP="002F4119">
      <w:pPr>
        <w:bidi/>
        <w:spacing w:line="360" w:lineRule="auto"/>
        <w:rPr>
          <w:rFonts w:ascii="David" w:hAnsi="David" w:cs="David"/>
          <w:b/>
          <w:bCs/>
          <w:sz w:val="22"/>
          <w:szCs w:val="22"/>
          <w:u w:val="single"/>
          <w:rtl/>
        </w:rPr>
      </w:pPr>
    </w:p>
    <w:p w14:paraId="6249EDB4" w14:textId="77777777" w:rsidR="002F4119" w:rsidRDefault="002F4119" w:rsidP="002F4119">
      <w:pPr>
        <w:bidi/>
        <w:spacing w:line="360" w:lineRule="auto"/>
        <w:rPr>
          <w:rFonts w:ascii="David" w:hAnsi="David" w:cs="David"/>
          <w:b/>
          <w:bCs/>
          <w:sz w:val="22"/>
          <w:szCs w:val="22"/>
          <w:u w:val="single"/>
          <w:rtl/>
        </w:rPr>
      </w:pPr>
    </w:p>
    <w:p w14:paraId="77D1A359" w14:textId="77777777" w:rsidR="002F4119" w:rsidRDefault="002F4119" w:rsidP="002F4119">
      <w:pPr>
        <w:bidi/>
        <w:spacing w:line="360" w:lineRule="auto"/>
        <w:rPr>
          <w:rFonts w:ascii="David" w:hAnsi="David" w:cs="David"/>
          <w:b/>
          <w:bCs/>
          <w:sz w:val="22"/>
          <w:szCs w:val="22"/>
          <w:u w:val="single"/>
          <w:rtl/>
        </w:rPr>
      </w:pPr>
    </w:p>
    <w:p w14:paraId="521EB5D3" w14:textId="77777777" w:rsidR="002F4119" w:rsidRDefault="002F4119" w:rsidP="002F4119">
      <w:pPr>
        <w:bidi/>
        <w:spacing w:line="360" w:lineRule="auto"/>
        <w:rPr>
          <w:rFonts w:ascii="David" w:hAnsi="David" w:cs="David"/>
          <w:b/>
          <w:bCs/>
          <w:sz w:val="22"/>
          <w:szCs w:val="22"/>
          <w:u w:val="single"/>
          <w:rtl/>
        </w:rPr>
      </w:pPr>
    </w:p>
    <w:p w14:paraId="450B05FD" w14:textId="77777777" w:rsidR="002F4119" w:rsidRDefault="002F4119" w:rsidP="002F4119">
      <w:pPr>
        <w:bidi/>
        <w:spacing w:line="360" w:lineRule="auto"/>
        <w:rPr>
          <w:rFonts w:ascii="David" w:hAnsi="David" w:cs="David"/>
          <w:b/>
          <w:bCs/>
          <w:sz w:val="22"/>
          <w:szCs w:val="22"/>
          <w:u w:val="single"/>
          <w:rtl/>
        </w:rPr>
      </w:pPr>
    </w:p>
    <w:p w14:paraId="18999EC9" w14:textId="77777777" w:rsidR="002F4119" w:rsidRDefault="002F4119" w:rsidP="002F4119">
      <w:pPr>
        <w:bidi/>
        <w:spacing w:line="360" w:lineRule="auto"/>
        <w:rPr>
          <w:rFonts w:ascii="David" w:hAnsi="David" w:cs="David"/>
          <w:b/>
          <w:bCs/>
          <w:sz w:val="22"/>
          <w:szCs w:val="22"/>
          <w:u w:val="single"/>
          <w:rtl/>
        </w:rPr>
      </w:pPr>
    </w:p>
    <w:p w14:paraId="759AFE13" w14:textId="77777777" w:rsidR="002F4119" w:rsidRDefault="002F4119" w:rsidP="002F4119">
      <w:pPr>
        <w:bidi/>
        <w:spacing w:line="360" w:lineRule="auto"/>
        <w:rPr>
          <w:rFonts w:ascii="David" w:hAnsi="David" w:cs="David"/>
          <w:b/>
          <w:bCs/>
          <w:sz w:val="22"/>
          <w:szCs w:val="22"/>
          <w:u w:val="single"/>
          <w:rtl/>
        </w:rPr>
      </w:pPr>
    </w:p>
    <w:p w14:paraId="105CDF44" w14:textId="77777777" w:rsidR="002F4119" w:rsidRDefault="002F4119" w:rsidP="002F4119">
      <w:pPr>
        <w:bidi/>
        <w:spacing w:line="360" w:lineRule="auto"/>
        <w:rPr>
          <w:rFonts w:ascii="David" w:hAnsi="David" w:cs="David"/>
          <w:b/>
          <w:bCs/>
          <w:sz w:val="22"/>
          <w:szCs w:val="22"/>
          <w:u w:val="single"/>
          <w:rtl/>
        </w:rPr>
      </w:pPr>
    </w:p>
    <w:p w14:paraId="23577B0C" w14:textId="77777777" w:rsidR="002F4119" w:rsidRDefault="002F4119" w:rsidP="002F4119">
      <w:pPr>
        <w:bidi/>
        <w:spacing w:line="360" w:lineRule="auto"/>
        <w:rPr>
          <w:rFonts w:ascii="David" w:hAnsi="David" w:cs="David"/>
          <w:b/>
          <w:bCs/>
          <w:sz w:val="22"/>
          <w:szCs w:val="22"/>
          <w:u w:val="single"/>
          <w:rtl/>
        </w:rPr>
      </w:pPr>
    </w:p>
    <w:p w14:paraId="34F4096F" w14:textId="77777777" w:rsidR="002F4119" w:rsidRDefault="002F4119" w:rsidP="002F4119">
      <w:pPr>
        <w:bidi/>
        <w:spacing w:line="360" w:lineRule="auto"/>
        <w:rPr>
          <w:rFonts w:ascii="David" w:hAnsi="David" w:cs="David"/>
          <w:b/>
          <w:bCs/>
          <w:sz w:val="22"/>
          <w:szCs w:val="22"/>
          <w:u w:val="single"/>
          <w:rtl/>
        </w:rPr>
      </w:pPr>
    </w:p>
    <w:p w14:paraId="4B3A70E0" w14:textId="77777777" w:rsidR="002F4119" w:rsidRDefault="002F4119" w:rsidP="002F4119">
      <w:pPr>
        <w:bidi/>
        <w:spacing w:line="360" w:lineRule="auto"/>
        <w:rPr>
          <w:rFonts w:ascii="David" w:hAnsi="David" w:cs="David"/>
          <w:b/>
          <w:bCs/>
          <w:sz w:val="22"/>
          <w:szCs w:val="22"/>
          <w:u w:val="single"/>
          <w:rtl/>
        </w:rPr>
      </w:pPr>
    </w:p>
    <w:p w14:paraId="2717BF9E" w14:textId="77777777" w:rsidR="002F4119" w:rsidRDefault="002F4119" w:rsidP="002F4119">
      <w:pPr>
        <w:bidi/>
        <w:spacing w:line="360" w:lineRule="auto"/>
        <w:rPr>
          <w:rFonts w:ascii="David" w:hAnsi="David" w:cs="David"/>
          <w:b/>
          <w:bCs/>
          <w:sz w:val="22"/>
          <w:szCs w:val="22"/>
          <w:u w:val="single"/>
          <w:rtl/>
        </w:rPr>
      </w:pPr>
    </w:p>
    <w:p w14:paraId="197DEC57" w14:textId="77777777" w:rsidR="002F4119" w:rsidRDefault="002F4119" w:rsidP="002F4119">
      <w:pPr>
        <w:bidi/>
        <w:spacing w:line="360" w:lineRule="auto"/>
        <w:rPr>
          <w:rFonts w:ascii="David" w:hAnsi="David" w:cs="David"/>
          <w:b/>
          <w:bCs/>
          <w:sz w:val="22"/>
          <w:szCs w:val="22"/>
          <w:u w:val="single"/>
          <w:rtl/>
        </w:rPr>
      </w:pPr>
    </w:p>
    <w:p w14:paraId="58074478" w14:textId="77777777" w:rsidR="002F4119" w:rsidRDefault="002F4119" w:rsidP="002F4119">
      <w:pPr>
        <w:bidi/>
        <w:spacing w:line="360" w:lineRule="auto"/>
        <w:rPr>
          <w:rFonts w:ascii="David" w:hAnsi="David" w:cs="David"/>
          <w:b/>
          <w:bCs/>
          <w:sz w:val="22"/>
          <w:szCs w:val="22"/>
          <w:u w:val="single"/>
          <w:rtl/>
        </w:rPr>
      </w:pPr>
    </w:p>
    <w:p w14:paraId="3F477F76" w14:textId="77777777" w:rsidR="002F4119" w:rsidRDefault="002F4119" w:rsidP="002F4119">
      <w:pPr>
        <w:bidi/>
        <w:spacing w:line="360" w:lineRule="auto"/>
        <w:rPr>
          <w:rFonts w:ascii="David" w:hAnsi="David" w:cs="David"/>
          <w:b/>
          <w:bCs/>
          <w:sz w:val="22"/>
          <w:szCs w:val="22"/>
          <w:u w:val="single"/>
          <w:rtl/>
        </w:rPr>
      </w:pPr>
    </w:p>
    <w:p w14:paraId="3865F8A1" w14:textId="77777777" w:rsidR="002F4119" w:rsidRDefault="002F4119" w:rsidP="002F4119">
      <w:pPr>
        <w:bidi/>
        <w:spacing w:line="360" w:lineRule="auto"/>
        <w:rPr>
          <w:rFonts w:ascii="David" w:hAnsi="David" w:cs="David"/>
          <w:b/>
          <w:bCs/>
          <w:sz w:val="22"/>
          <w:szCs w:val="22"/>
          <w:u w:val="single"/>
          <w:rtl/>
        </w:rPr>
      </w:pPr>
    </w:p>
    <w:p w14:paraId="0E13A373" w14:textId="77777777" w:rsidR="002F4119" w:rsidRDefault="002F4119" w:rsidP="002F4119">
      <w:pPr>
        <w:bidi/>
        <w:spacing w:line="360" w:lineRule="auto"/>
        <w:rPr>
          <w:rFonts w:ascii="David" w:hAnsi="David" w:cs="David"/>
          <w:b/>
          <w:bCs/>
          <w:sz w:val="22"/>
          <w:szCs w:val="22"/>
          <w:u w:val="single"/>
          <w:rtl/>
        </w:rPr>
      </w:pPr>
    </w:p>
    <w:p w14:paraId="0EB6EE5C" w14:textId="61445C48" w:rsidR="002F4119" w:rsidRDefault="000F2B1F" w:rsidP="002F4119">
      <w:pPr>
        <w:bidi/>
        <w:spacing w:line="360" w:lineRule="auto"/>
        <w:rPr>
          <w:rFonts w:ascii="David" w:hAnsi="David" w:cs="David"/>
          <w:sz w:val="22"/>
          <w:szCs w:val="22"/>
          <w:rtl/>
        </w:rPr>
      </w:pPr>
      <w:r w:rsidRPr="000F2B1F">
        <w:rPr>
          <w:rFonts w:ascii="David" w:hAnsi="David" w:cs="David" w:hint="cs"/>
          <w:sz w:val="22"/>
          <w:szCs w:val="22"/>
          <w:rtl/>
        </w:rPr>
        <w:t>שם הסטודנט:</w:t>
      </w:r>
      <w:r>
        <w:rPr>
          <w:rFonts w:ascii="David" w:hAnsi="David" w:cs="David" w:hint="cs"/>
          <w:b/>
          <w:bCs/>
          <w:sz w:val="22"/>
          <w:szCs w:val="22"/>
          <w:u w:val="single"/>
          <w:rtl/>
        </w:rPr>
        <w:t xml:space="preserve"> </w:t>
      </w:r>
      <w:r>
        <w:rPr>
          <w:rFonts w:ascii="David" w:hAnsi="David" w:cs="David" w:hint="cs"/>
          <w:sz w:val="22"/>
          <w:szCs w:val="22"/>
          <w:rtl/>
        </w:rPr>
        <w:t>ישראל סרנגה</w:t>
      </w:r>
    </w:p>
    <w:p w14:paraId="169510E6" w14:textId="13B01908" w:rsidR="000F2B1F" w:rsidRDefault="000F2B1F" w:rsidP="000F2B1F">
      <w:pPr>
        <w:bidi/>
        <w:spacing w:line="360" w:lineRule="auto"/>
        <w:rPr>
          <w:rFonts w:ascii="David" w:hAnsi="David" w:cs="David"/>
          <w:sz w:val="22"/>
          <w:szCs w:val="22"/>
          <w:rtl/>
        </w:rPr>
      </w:pPr>
      <w:r>
        <w:rPr>
          <w:rFonts w:ascii="David" w:hAnsi="David" w:cs="David" w:hint="cs"/>
          <w:sz w:val="22"/>
          <w:szCs w:val="22"/>
          <w:rtl/>
        </w:rPr>
        <w:t>ת.ז: 203389986</w:t>
      </w:r>
    </w:p>
    <w:p w14:paraId="65BCFA55" w14:textId="2B9DF97D" w:rsidR="000F2B1F" w:rsidRPr="000F2B1F" w:rsidRDefault="000F2B1F" w:rsidP="000F2B1F">
      <w:pPr>
        <w:bidi/>
        <w:spacing w:line="360" w:lineRule="auto"/>
        <w:rPr>
          <w:rFonts w:ascii="David" w:hAnsi="David" w:cs="David"/>
          <w:sz w:val="22"/>
          <w:szCs w:val="22"/>
          <w:rtl/>
        </w:rPr>
      </w:pPr>
      <w:r>
        <w:rPr>
          <w:rFonts w:ascii="David" w:hAnsi="David" w:cs="David" w:hint="cs"/>
          <w:sz w:val="22"/>
          <w:szCs w:val="22"/>
          <w:rtl/>
        </w:rPr>
        <w:t>שם הקורס: דמוקרטיה ופמיניזם - 12026</w:t>
      </w:r>
    </w:p>
    <w:p w14:paraId="1084681C" w14:textId="77777777" w:rsidR="002F4119" w:rsidRDefault="002F4119" w:rsidP="002F4119">
      <w:pPr>
        <w:bidi/>
        <w:spacing w:line="360" w:lineRule="auto"/>
        <w:rPr>
          <w:rFonts w:ascii="David" w:hAnsi="David" w:cs="David"/>
          <w:b/>
          <w:bCs/>
          <w:sz w:val="22"/>
          <w:szCs w:val="22"/>
          <w:u w:val="single"/>
          <w:rtl/>
        </w:rPr>
      </w:pPr>
    </w:p>
    <w:p w14:paraId="41949B88" w14:textId="77777777" w:rsidR="002F4119" w:rsidRDefault="002F4119" w:rsidP="002F4119">
      <w:pPr>
        <w:bidi/>
        <w:spacing w:line="360" w:lineRule="auto"/>
        <w:rPr>
          <w:rFonts w:ascii="David" w:hAnsi="David" w:cs="David"/>
          <w:b/>
          <w:bCs/>
          <w:sz w:val="22"/>
          <w:szCs w:val="22"/>
          <w:u w:val="single"/>
          <w:rtl/>
        </w:rPr>
      </w:pPr>
    </w:p>
    <w:p w14:paraId="3C8635E4" w14:textId="77777777" w:rsidR="002F4119" w:rsidRDefault="002F4119" w:rsidP="002F4119">
      <w:pPr>
        <w:bidi/>
        <w:spacing w:line="360" w:lineRule="auto"/>
        <w:rPr>
          <w:rFonts w:ascii="David" w:hAnsi="David" w:cs="David"/>
          <w:b/>
          <w:bCs/>
          <w:sz w:val="22"/>
          <w:szCs w:val="22"/>
          <w:u w:val="single"/>
          <w:rtl/>
        </w:rPr>
      </w:pPr>
    </w:p>
    <w:p w14:paraId="17C72BAA" w14:textId="77777777" w:rsidR="002F4119" w:rsidRDefault="002F4119" w:rsidP="002F4119">
      <w:pPr>
        <w:bidi/>
        <w:spacing w:line="360" w:lineRule="auto"/>
        <w:rPr>
          <w:rFonts w:ascii="David" w:hAnsi="David" w:cs="David"/>
          <w:b/>
          <w:bCs/>
          <w:sz w:val="22"/>
          <w:szCs w:val="22"/>
          <w:u w:val="single"/>
          <w:rtl/>
        </w:rPr>
      </w:pPr>
    </w:p>
    <w:p w14:paraId="6D602FDD" w14:textId="77777777" w:rsidR="002F4119" w:rsidRDefault="002F4119" w:rsidP="002F4119">
      <w:pPr>
        <w:bidi/>
        <w:spacing w:line="360" w:lineRule="auto"/>
        <w:rPr>
          <w:rFonts w:ascii="David" w:hAnsi="David" w:cs="David"/>
          <w:b/>
          <w:bCs/>
          <w:sz w:val="22"/>
          <w:szCs w:val="22"/>
          <w:u w:val="single"/>
          <w:rtl/>
        </w:rPr>
      </w:pPr>
    </w:p>
    <w:p w14:paraId="457B71F4" w14:textId="77777777" w:rsidR="002F4119" w:rsidRDefault="002F4119" w:rsidP="002F4119">
      <w:pPr>
        <w:bidi/>
        <w:spacing w:line="360" w:lineRule="auto"/>
        <w:rPr>
          <w:rFonts w:ascii="David" w:hAnsi="David" w:cs="David"/>
          <w:b/>
          <w:bCs/>
          <w:sz w:val="22"/>
          <w:szCs w:val="22"/>
          <w:u w:val="single"/>
          <w:rtl/>
        </w:rPr>
      </w:pPr>
    </w:p>
    <w:p w14:paraId="50C89F9F" w14:textId="77777777" w:rsidR="002F4119" w:rsidRDefault="002F4119" w:rsidP="002F4119">
      <w:pPr>
        <w:bidi/>
        <w:spacing w:line="360" w:lineRule="auto"/>
        <w:rPr>
          <w:rFonts w:ascii="David" w:hAnsi="David" w:cs="David"/>
          <w:b/>
          <w:bCs/>
          <w:sz w:val="22"/>
          <w:szCs w:val="22"/>
          <w:u w:val="single"/>
          <w:rtl/>
        </w:rPr>
      </w:pPr>
    </w:p>
    <w:p w14:paraId="181D5250" w14:textId="77777777" w:rsidR="002F4119" w:rsidRDefault="002F4119" w:rsidP="002F4119">
      <w:pPr>
        <w:bidi/>
        <w:spacing w:line="360" w:lineRule="auto"/>
        <w:rPr>
          <w:rFonts w:ascii="David" w:hAnsi="David" w:cs="David"/>
          <w:b/>
          <w:bCs/>
          <w:sz w:val="22"/>
          <w:szCs w:val="22"/>
          <w:u w:val="single"/>
          <w:rtl/>
        </w:rPr>
      </w:pPr>
    </w:p>
    <w:p w14:paraId="75EF670A" w14:textId="77777777" w:rsidR="002F4119" w:rsidRDefault="002F4119" w:rsidP="002F4119">
      <w:pPr>
        <w:bidi/>
        <w:spacing w:line="360" w:lineRule="auto"/>
        <w:rPr>
          <w:rFonts w:ascii="David" w:hAnsi="David" w:cs="David"/>
          <w:b/>
          <w:bCs/>
          <w:sz w:val="22"/>
          <w:szCs w:val="22"/>
          <w:u w:val="single"/>
          <w:rtl/>
        </w:rPr>
      </w:pPr>
    </w:p>
    <w:p w14:paraId="4C183BEA" w14:textId="3A1477FA" w:rsidR="002F11DD" w:rsidRDefault="002F11DD" w:rsidP="002F4119">
      <w:pPr>
        <w:bidi/>
        <w:spacing w:line="360" w:lineRule="auto"/>
        <w:rPr>
          <w:rFonts w:ascii="David" w:hAnsi="David" w:cs="David"/>
          <w:b/>
          <w:bCs/>
          <w:sz w:val="28"/>
          <w:szCs w:val="28"/>
          <w:rtl/>
        </w:rPr>
      </w:pPr>
      <w:r>
        <w:rPr>
          <w:rFonts w:ascii="David" w:hAnsi="David" w:cs="David" w:hint="cs"/>
          <w:b/>
          <w:bCs/>
          <w:sz w:val="28"/>
          <w:szCs w:val="28"/>
          <w:rtl/>
        </w:rPr>
        <w:lastRenderedPageBreak/>
        <w:t>תוכן עניינים</w:t>
      </w:r>
    </w:p>
    <w:p w14:paraId="3E4B8CDC" w14:textId="7367A1FF" w:rsidR="002F11DD" w:rsidRDefault="002F11DD" w:rsidP="002F11DD">
      <w:pPr>
        <w:bidi/>
        <w:spacing w:line="360" w:lineRule="auto"/>
        <w:rPr>
          <w:rFonts w:ascii="David" w:hAnsi="David" w:cs="David"/>
          <w:b/>
          <w:bCs/>
          <w:sz w:val="28"/>
          <w:szCs w:val="28"/>
          <w:rtl/>
        </w:rPr>
      </w:pPr>
    </w:p>
    <w:p w14:paraId="69BE97D0" w14:textId="346A6097" w:rsidR="002F11DD" w:rsidRDefault="002F11DD" w:rsidP="00C61439">
      <w:pPr>
        <w:bidi/>
        <w:spacing w:line="720" w:lineRule="auto"/>
        <w:rPr>
          <w:rFonts w:ascii="David" w:hAnsi="David" w:cs="David"/>
          <w:rtl/>
        </w:rPr>
      </w:pPr>
      <w:r w:rsidRPr="002F11DD">
        <w:rPr>
          <w:rFonts w:ascii="David" w:hAnsi="David" w:cs="David" w:hint="cs"/>
          <w:rtl/>
        </w:rPr>
        <w:t xml:space="preserve">מבוא ............................................... עמ׳ </w:t>
      </w:r>
      <w:r>
        <w:rPr>
          <w:rFonts w:ascii="David" w:hAnsi="David" w:cs="David" w:hint="cs"/>
          <w:rtl/>
        </w:rPr>
        <w:t>3</w:t>
      </w:r>
    </w:p>
    <w:p w14:paraId="2A2952EE" w14:textId="194160D4" w:rsidR="002F11DD" w:rsidRDefault="002F11DD" w:rsidP="00C61439">
      <w:pPr>
        <w:bidi/>
        <w:spacing w:line="720" w:lineRule="auto"/>
        <w:rPr>
          <w:rFonts w:ascii="David" w:hAnsi="David" w:cs="David"/>
          <w:rtl/>
        </w:rPr>
      </w:pPr>
      <w:r>
        <w:rPr>
          <w:rFonts w:ascii="David" w:hAnsi="David" w:cs="David" w:hint="cs"/>
          <w:rtl/>
        </w:rPr>
        <w:t xml:space="preserve">פרק ראשון: פמיניזם </w:t>
      </w:r>
      <w:r>
        <w:rPr>
          <w:rFonts w:ascii="David" w:hAnsi="David" w:cs="David"/>
          <w:rtl/>
        </w:rPr>
        <w:t>–</w:t>
      </w:r>
      <w:r>
        <w:rPr>
          <w:rFonts w:ascii="David" w:hAnsi="David" w:cs="David" w:hint="cs"/>
          <w:rtl/>
        </w:rPr>
        <w:t xml:space="preserve"> בין מגדר ללאומיות</w:t>
      </w:r>
      <w:r w:rsidRPr="002F11DD">
        <w:rPr>
          <w:rFonts w:ascii="David" w:hAnsi="David" w:cs="David" w:hint="cs"/>
          <w:rtl/>
        </w:rPr>
        <w:t xml:space="preserve"> ............................................... עמ׳ </w:t>
      </w:r>
      <w:r>
        <w:rPr>
          <w:rFonts w:ascii="David" w:hAnsi="David" w:cs="David" w:hint="cs"/>
          <w:rtl/>
        </w:rPr>
        <w:t>4-5</w:t>
      </w:r>
    </w:p>
    <w:p w14:paraId="6C51A89D" w14:textId="500EBB2D" w:rsidR="002F11DD" w:rsidRDefault="002F11DD" w:rsidP="00C61439">
      <w:pPr>
        <w:bidi/>
        <w:spacing w:line="720" w:lineRule="auto"/>
        <w:rPr>
          <w:rFonts w:ascii="David" w:hAnsi="David" w:cs="David"/>
          <w:rtl/>
        </w:rPr>
      </w:pPr>
      <w:r>
        <w:rPr>
          <w:rFonts w:ascii="David" w:hAnsi="David" w:cs="David" w:hint="cs"/>
          <w:rtl/>
        </w:rPr>
        <w:t xml:space="preserve">פרק </w:t>
      </w:r>
      <w:r>
        <w:rPr>
          <w:rFonts w:ascii="David" w:hAnsi="David" w:cs="David" w:hint="cs"/>
          <w:rtl/>
        </w:rPr>
        <w:t>שני</w:t>
      </w:r>
      <w:r>
        <w:rPr>
          <w:rFonts w:ascii="David" w:hAnsi="David" w:cs="David" w:hint="cs"/>
          <w:rtl/>
        </w:rPr>
        <w:t xml:space="preserve">: </w:t>
      </w:r>
      <w:r>
        <w:rPr>
          <w:rFonts w:ascii="David" w:hAnsi="David" w:cs="David" w:hint="cs"/>
          <w:rtl/>
        </w:rPr>
        <w:t xml:space="preserve">זיכרון קולקטיבי </w:t>
      </w:r>
      <w:r>
        <w:rPr>
          <w:rFonts w:ascii="David" w:hAnsi="David" w:cs="David"/>
          <w:rtl/>
        </w:rPr>
        <w:t>–</w:t>
      </w:r>
      <w:r>
        <w:rPr>
          <w:rFonts w:ascii="David" w:hAnsi="David" w:cs="David" w:hint="cs"/>
          <w:rtl/>
        </w:rPr>
        <w:t xml:space="preserve"> ציוני גברי?</w:t>
      </w:r>
      <w:r w:rsidRPr="002F11DD">
        <w:rPr>
          <w:rFonts w:ascii="David" w:hAnsi="David" w:cs="David" w:hint="cs"/>
          <w:rtl/>
        </w:rPr>
        <w:t xml:space="preserve"> ............................................... עמ׳ </w:t>
      </w:r>
      <w:r>
        <w:rPr>
          <w:rFonts w:ascii="David" w:hAnsi="David" w:cs="David" w:hint="cs"/>
          <w:rtl/>
        </w:rPr>
        <w:t>6</w:t>
      </w:r>
    </w:p>
    <w:p w14:paraId="1CA0F43F" w14:textId="124706A8" w:rsidR="002F11DD" w:rsidRDefault="002F11DD" w:rsidP="00C61439">
      <w:pPr>
        <w:bidi/>
        <w:spacing w:line="720" w:lineRule="auto"/>
        <w:rPr>
          <w:rFonts w:ascii="David" w:hAnsi="David" w:cs="David"/>
          <w:rtl/>
        </w:rPr>
      </w:pPr>
      <w:r>
        <w:rPr>
          <w:rFonts w:ascii="David" w:hAnsi="David" w:cs="David" w:hint="cs"/>
          <w:rtl/>
        </w:rPr>
        <w:t xml:space="preserve">פרק </w:t>
      </w:r>
      <w:r>
        <w:rPr>
          <w:rFonts w:ascii="David" w:hAnsi="David" w:cs="David" w:hint="cs"/>
          <w:rtl/>
        </w:rPr>
        <w:t>שלישי</w:t>
      </w:r>
      <w:r>
        <w:rPr>
          <w:rFonts w:ascii="David" w:hAnsi="David" w:cs="David" w:hint="cs"/>
          <w:rtl/>
        </w:rPr>
        <w:t xml:space="preserve">: </w:t>
      </w:r>
      <w:r>
        <w:rPr>
          <w:rFonts w:ascii="David" w:hAnsi="David" w:cs="David" w:hint="cs"/>
          <w:rtl/>
        </w:rPr>
        <w:t>שרה אהרונסון</w:t>
      </w:r>
      <w:r w:rsidRPr="002F11DD">
        <w:rPr>
          <w:rFonts w:ascii="David" w:hAnsi="David" w:cs="David" w:hint="cs"/>
          <w:rtl/>
        </w:rPr>
        <w:t xml:space="preserve"> ............................................... עמ׳ </w:t>
      </w:r>
      <w:r>
        <w:rPr>
          <w:rFonts w:ascii="David" w:hAnsi="David" w:cs="David" w:hint="cs"/>
          <w:rtl/>
        </w:rPr>
        <w:t>7-8</w:t>
      </w:r>
    </w:p>
    <w:p w14:paraId="602F962C" w14:textId="40CEEA62" w:rsidR="002F11DD" w:rsidRDefault="002F11DD" w:rsidP="00C61439">
      <w:pPr>
        <w:bidi/>
        <w:spacing w:line="720" w:lineRule="auto"/>
        <w:rPr>
          <w:rFonts w:ascii="David" w:hAnsi="David" w:cs="David"/>
          <w:rtl/>
        </w:rPr>
      </w:pPr>
      <w:r>
        <w:rPr>
          <w:rFonts w:ascii="David" w:hAnsi="David" w:cs="David" w:hint="cs"/>
          <w:rtl/>
        </w:rPr>
        <w:t xml:space="preserve">דיון, מסקנות וסיכום </w:t>
      </w:r>
      <w:r w:rsidRPr="002F11DD">
        <w:rPr>
          <w:rFonts w:ascii="David" w:hAnsi="David" w:cs="David" w:hint="cs"/>
          <w:rtl/>
        </w:rPr>
        <w:t>...............................................</w:t>
      </w:r>
      <w:r>
        <w:rPr>
          <w:rFonts w:ascii="David" w:hAnsi="David" w:cs="David" w:hint="cs"/>
          <w:rtl/>
        </w:rPr>
        <w:t xml:space="preserve"> עמ׳ 9</w:t>
      </w:r>
    </w:p>
    <w:p w14:paraId="5D0297A7" w14:textId="04C27E81" w:rsidR="002F11DD" w:rsidRDefault="00C61439" w:rsidP="00C61439">
      <w:pPr>
        <w:bidi/>
        <w:spacing w:line="720" w:lineRule="auto"/>
        <w:rPr>
          <w:rFonts w:ascii="David" w:hAnsi="David" w:cs="David"/>
          <w:rtl/>
        </w:rPr>
      </w:pPr>
      <w:r>
        <w:rPr>
          <w:rFonts w:ascii="David" w:hAnsi="David" w:cs="David" w:hint="cs"/>
          <w:rtl/>
        </w:rPr>
        <w:t xml:space="preserve">ביביליוגרפיה </w:t>
      </w:r>
      <w:r w:rsidRPr="002F11DD">
        <w:rPr>
          <w:rFonts w:ascii="David" w:hAnsi="David" w:cs="David" w:hint="cs"/>
          <w:rtl/>
        </w:rPr>
        <w:t>...............................................</w:t>
      </w:r>
      <w:r>
        <w:rPr>
          <w:rFonts w:ascii="David" w:hAnsi="David" w:cs="David" w:hint="cs"/>
          <w:rtl/>
        </w:rPr>
        <w:t xml:space="preserve"> עמ׳ 10-12</w:t>
      </w:r>
    </w:p>
    <w:p w14:paraId="3485F6FB" w14:textId="77777777" w:rsidR="002F11DD" w:rsidRPr="002F11DD" w:rsidRDefault="002F11DD" w:rsidP="002F11DD">
      <w:pPr>
        <w:bidi/>
        <w:spacing w:line="360" w:lineRule="auto"/>
        <w:rPr>
          <w:rFonts w:ascii="David" w:hAnsi="David" w:cs="David"/>
          <w:rtl/>
        </w:rPr>
      </w:pPr>
    </w:p>
    <w:p w14:paraId="41E6547C" w14:textId="77777777" w:rsidR="002F11DD" w:rsidRDefault="002F11DD" w:rsidP="002F11DD">
      <w:pPr>
        <w:bidi/>
        <w:spacing w:line="360" w:lineRule="auto"/>
        <w:rPr>
          <w:rFonts w:ascii="David" w:hAnsi="David" w:cs="David"/>
          <w:b/>
          <w:bCs/>
          <w:sz w:val="28"/>
          <w:szCs w:val="28"/>
          <w:rtl/>
        </w:rPr>
      </w:pPr>
    </w:p>
    <w:p w14:paraId="150648EF" w14:textId="77777777" w:rsidR="002F11DD" w:rsidRDefault="002F11DD" w:rsidP="002F11DD">
      <w:pPr>
        <w:bidi/>
        <w:spacing w:line="360" w:lineRule="auto"/>
        <w:rPr>
          <w:rFonts w:ascii="David" w:hAnsi="David" w:cs="David"/>
          <w:b/>
          <w:bCs/>
          <w:sz w:val="28"/>
          <w:szCs w:val="28"/>
          <w:rtl/>
        </w:rPr>
      </w:pPr>
    </w:p>
    <w:p w14:paraId="0E160440" w14:textId="77777777" w:rsidR="002F11DD" w:rsidRDefault="002F11DD" w:rsidP="002F11DD">
      <w:pPr>
        <w:bidi/>
        <w:spacing w:line="360" w:lineRule="auto"/>
        <w:rPr>
          <w:rFonts w:ascii="David" w:hAnsi="David" w:cs="David"/>
          <w:b/>
          <w:bCs/>
          <w:sz w:val="28"/>
          <w:szCs w:val="28"/>
          <w:rtl/>
        </w:rPr>
      </w:pPr>
    </w:p>
    <w:p w14:paraId="0CC2BF86" w14:textId="77777777" w:rsidR="002F11DD" w:rsidRDefault="002F11DD" w:rsidP="002F11DD">
      <w:pPr>
        <w:bidi/>
        <w:spacing w:line="360" w:lineRule="auto"/>
        <w:rPr>
          <w:rFonts w:ascii="David" w:hAnsi="David" w:cs="David"/>
          <w:b/>
          <w:bCs/>
          <w:sz w:val="28"/>
          <w:szCs w:val="28"/>
          <w:rtl/>
        </w:rPr>
      </w:pPr>
    </w:p>
    <w:p w14:paraId="1FD2F800" w14:textId="77777777" w:rsidR="002F11DD" w:rsidRDefault="002F11DD" w:rsidP="002F11DD">
      <w:pPr>
        <w:bidi/>
        <w:spacing w:line="360" w:lineRule="auto"/>
        <w:rPr>
          <w:rFonts w:ascii="David" w:hAnsi="David" w:cs="David"/>
          <w:b/>
          <w:bCs/>
          <w:sz w:val="28"/>
          <w:szCs w:val="28"/>
          <w:rtl/>
        </w:rPr>
      </w:pPr>
    </w:p>
    <w:p w14:paraId="18BA0599" w14:textId="77777777" w:rsidR="002F11DD" w:rsidRDefault="002F11DD" w:rsidP="002F11DD">
      <w:pPr>
        <w:bidi/>
        <w:spacing w:line="360" w:lineRule="auto"/>
        <w:rPr>
          <w:rFonts w:ascii="David" w:hAnsi="David" w:cs="David"/>
          <w:b/>
          <w:bCs/>
          <w:sz w:val="28"/>
          <w:szCs w:val="28"/>
          <w:rtl/>
        </w:rPr>
      </w:pPr>
    </w:p>
    <w:p w14:paraId="3AED8366" w14:textId="77777777" w:rsidR="002F11DD" w:rsidRDefault="002F11DD" w:rsidP="002F11DD">
      <w:pPr>
        <w:bidi/>
        <w:spacing w:line="360" w:lineRule="auto"/>
        <w:rPr>
          <w:rFonts w:ascii="David" w:hAnsi="David" w:cs="David"/>
          <w:b/>
          <w:bCs/>
          <w:sz w:val="28"/>
          <w:szCs w:val="28"/>
          <w:rtl/>
        </w:rPr>
      </w:pPr>
    </w:p>
    <w:p w14:paraId="7BDD20EA" w14:textId="77777777" w:rsidR="002F11DD" w:rsidRDefault="002F11DD" w:rsidP="002F11DD">
      <w:pPr>
        <w:bidi/>
        <w:spacing w:line="360" w:lineRule="auto"/>
        <w:rPr>
          <w:rFonts w:ascii="David" w:hAnsi="David" w:cs="David"/>
          <w:b/>
          <w:bCs/>
          <w:sz w:val="28"/>
          <w:szCs w:val="28"/>
          <w:rtl/>
        </w:rPr>
      </w:pPr>
    </w:p>
    <w:p w14:paraId="7C7AD6F3" w14:textId="77777777" w:rsidR="002F11DD" w:rsidRDefault="002F11DD" w:rsidP="002F11DD">
      <w:pPr>
        <w:bidi/>
        <w:spacing w:line="360" w:lineRule="auto"/>
        <w:rPr>
          <w:rFonts w:ascii="David" w:hAnsi="David" w:cs="David"/>
          <w:b/>
          <w:bCs/>
          <w:sz w:val="28"/>
          <w:szCs w:val="28"/>
          <w:rtl/>
        </w:rPr>
      </w:pPr>
    </w:p>
    <w:p w14:paraId="69A33864" w14:textId="77777777" w:rsidR="002F11DD" w:rsidRDefault="002F11DD" w:rsidP="002F11DD">
      <w:pPr>
        <w:bidi/>
        <w:spacing w:line="360" w:lineRule="auto"/>
        <w:rPr>
          <w:rFonts w:ascii="David" w:hAnsi="David" w:cs="David"/>
          <w:b/>
          <w:bCs/>
          <w:sz w:val="28"/>
          <w:szCs w:val="28"/>
          <w:rtl/>
        </w:rPr>
      </w:pPr>
    </w:p>
    <w:p w14:paraId="54556109" w14:textId="77777777" w:rsidR="002F11DD" w:rsidRDefault="002F11DD" w:rsidP="002F11DD">
      <w:pPr>
        <w:bidi/>
        <w:spacing w:line="360" w:lineRule="auto"/>
        <w:rPr>
          <w:rFonts w:ascii="David" w:hAnsi="David" w:cs="David"/>
          <w:b/>
          <w:bCs/>
          <w:sz w:val="28"/>
          <w:szCs w:val="28"/>
          <w:rtl/>
        </w:rPr>
      </w:pPr>
    </w:p>
    <w:p w14:paraId="2AF002A5" w14:textId="77777777" w:rsidR="002F11DD" w:rsidRDefault="002F11DD" w:rsidP="002F11DD">
      <w:pPr>
        <w:bidi/>
        <w:spacing w:line="360" w:lineRule="auto"/>
        <w:rPr>
          <w:rFonts w:ascii="David" w:hAnsi="David" w:cs="David"/>
          <w:b/>
          <w:bCs/>
          <w:sz w:val="28"/>
          <w:szCs w:val="28"/>
          <w:rtl/>
        </w:rPr>
      </w:pPr>
    </w:p>
    <w:p w14:paraId="6FD6F71D" w14:textId="77777777" w:rsidR="002F11DD" w:rsidRDefault="002F11DD" w:rsidP="002F11DD">
      <w:pPr>
        <w:bidi/>
        <w:spacing w:line="360" w:lineRule="auto"/>
        <w:rPr>
          <w:rFonts w:ascii="David" w:hAnsi="David" w:cs="David"/>
          <w:b/>
          <w:bCs/>
          <w:sz w:val="28"/>
          <w:szCs w:val="28"/>
          <w:rtl/>
        </w:rPr>
      </w:pPr>
    </w:p>
    <w:p w14:paraId="4D59117C" w14:textId="77777777" w:rsidR="002F11DD" w:rsidRDefault="002F11DD" w:rsidP="002F11DD">
      <w:pPr>
        <w:bidi/>
        <w:spacing w:line="360" w:lineRule="auto"/>
        <w:rPr>
          <w:rFonts w:ascii="David" w:hAnsi="David" w:cs="David"/>
          <w:b/>
          <w:bCs/>
          <w:sz w:val="28"/>
          <w:szCs w:val="28"/>
          <w:rtl/>
        </w:rPr>
      </w:pPr>
    </w:p>
    <w:p w14:paraId="498EDA7A" w14:textId="77777777" w:rsidR="002F11DD" w:rsidRDefault="002F11DD" w:rsidP="002F11DD">
      <w:pPr>
        <w:bidi/>
        <w:spacing w:line="360" w:lineRule="auto"/>
        <w:rPr>
          <w:rFonts w:ascii="David" w:hAnsi="David" w:cs="David"/>
          <w:b/>
          <w:bCs/>
          <w:sz w:val="28"/>
          <w:szCs w:val="28"/>
          <w:rtl/>
        </w:rPr>
      </w:pPr>
    </w:p>
    <w:p w14:paraId="70E5CD72" w14:textId="77777777" w:rsidR="002F11DD" w:rsidRDefault="002F11DD" w:rsidP="002F11DD">
      <w:pPr>
        <w:bidi/>
        <w:spacing w:line="360" w:lineRule="auto"/>
        <w:rPr>
          <w:rFonts w:ascii="David" w:hAnsi="David" w:cs="David"/>
          <w:b/>
          <w:bCs/>
          <w:sz w:val="28"/>
          <w:szCs w:val="28"/>
          <w:rtl/>
        </w:rPr>
      </w:pPr>
    </w:p>
    <w:p w14:paraId="2A142AE0" w14:textId="77777777" w:rsidR="002F11DD" w:rsidRDefault="002F11DD" w:rsidP="002F11DD">
      <w:pPr>
        <w:bidi/>
        <w:spacing w:line="360" w:lineRule="auto"/>
        <w:rPr>
          <w:rFonts w:ascii="David" w:hAnsi="David" w:cs="David"/>
          <w:b/>
          <w:bCs/>
          <w:sz w:val="28"/>
          <w:szCs w:val="28"/>
          <w:rtl/>
        </w:rPr>
      </w:pPr>
    </w:p>
    <w:p w14:paraId="1D2A3C84" w14:textId="77777777" w:rsidR="002F11DD" w:rsidRDefault="002F11DD" w:rsidP="002F11DD">
      <w:pPr>
        <w:bidi/>
        <w:spacing w:line="360" w:lineRule="auto"/>
        <w:rPr>
          <w:rFonts w:ascii="David" w:hAnsi="David" w:cs="David"/>
          <w:b/>
          <w:bCs/>
          <w:sz w:val="28"/>
          <w:szCs w:val="28"/>
          <w:rtl/>
        </w:rPr>
      </w:pPr>
    </w:p>
    <w:p w14:paraId="20FFF45E" w14:textId="77777777" w:rsidR="002F11DD" w:rsidRDefault="002F11DD" w:rsidP="002F11DD">
      <w:pPr>
        <w:bidi/>
        <w:spacing w:line="360" w:lineRule="auto"/>
        <w:rPr>
          <w:rFonts w:ascii="David" w:hAnsi="David" w:cs="David"/>
          <w:b/>
          <w:bCs/>
          <w:sz w:val="28"/>
          <w:szCs w:val="28"/>
          <w:rtl/>
        </w:rPr>
      </w:pPr>
    </w:p>
    <w:p w14:paraId="5C5FC74F" w14:textId="77777777" w:rsidR="002F11DD" w:rsidRDefault="002F11DD" w:rsidP="002F11DD">
      <w:pPr>
        <w:bidi/>
        <w:spacing w:line="360" w:lineRule="auto"/>
        <w:rPr>
          <w:rFonts w:ascii="David" w:hAnsi="David" w:cs="David"/>
          <w:b/>
          <w:bCs/>
          <w:sz w:val="28"/>
          <w:szCs w:val="28"/>
          <w:rtl/>
        </w:rPr>
      </w:pPr>
    </w:p>
    <w:p w14:paraId="5631CDF4" w14:textId="77777777" w:rsidR="002F11DD" w:rsidRDefault="002F11DD" w:rsidP="002F11DD">
      <w:pPr>
        <w:bidi/>
        <w:spacing w:line="360" w:lineRule="auto"/>
        <w:rPr>
          <w:rFonts w:ascii="David" w:hAnsi="David" w:cs="David"/>
          <w:b/>
          <w:bCs/>
          <w:sz w:val="28"/>
          <w:szCs w:val="28"/>
          <w:rtl/>
        </w:rPr>
      </w:pPr>
    </w:p>
    <w:p w14:paraId="3A4C88CC" w14:textId="77777777" w:rsidR="002F11DD" w:rsidRDefault="002F11DD" w:rsidP="002F11DD">
      <w:pPr>
        <w:bidi/>
        <w:spacing w:line="360" w:lineRule="auto"/>
        <w:rPr>
          <w:rFonts w:ascii="David" w:hAnsi="David" w:cs="David"/>
          <w:b/>
          <w:bCs/>
          <w:sz w:val="28"/>
          <w:szCs w:val="28"/>
          <w:rtl/>
        </w:rPr>
      </w:pPr>
    </w:p>
    <w:p w14:paraId="2C298E00" w14:textId="77777777" w:rsidR="002F11DD" w:rsidRDefault="002F11DD" w:rsidP="002F11DD">
      <w:pPr>
        <w:bidi/>
        <w:spacing w:line="360" w:lineRule="auto"/>
        <w:rPr>
          <w:rFonts w:ascii="David" w:hAnsi="David" w:cs="David"/>
          <w:b/>
          <w:bCs/>
          <w:sz w:val="28"/>
          <w:szCs w:val="28"/>
          <w:rtl/>
        </w:rPr>
      </w:pPr>
    </w:p>
    <w:p w14:paraId="2122F832" w14:textId="77777777" w:rsidR="002F11DD" w:rsidRDefault="002F11DD" w:rsidP="002F11DD">
      <w:pPr>
        <w:bidi/>
        <w:spacing w:line="360" w:lineRule="auto"/>
        <w:rPr>
          <w:rFonts w:ascii="David" w:hAnsi="David" w:cs="David"/>
          <w:b/>
          <w:bCs/>
          <w:sz w:val="28"/>
          <w:szCs w:val="28"/>
          <w:rtl/>
        </w:rPr>
      </w:pPr>
    </w:p>
    <w:p w14:paraId="6EAE7F58" w14:textId="77777777" w:rsidR="002F11DD" w:rsidRDefault="002F11DD" w:rsidP="002F11DD">
      <w:pPr>
        <w:bidi/>
        <w:spacing w:line="360" w:lineRule="auto"/>
        <w:rPr>
          <w:rFonts w:ascii="David" w:hAnsi="David" w:cs="David"/>
          <w:b/>
          <w:bCs/>
          <w:sz w:val="28"/>
          <w:szCs w:val="28"/>
          <w:rtl/>
        </w:rPr>
      </w:pPr>
    </w:p>
    <w:p w14:paraId="047F6A4C" w14:textId="77777777" w:rsidR="002F11DD" w:rsidRDefault="002F11DD" w:rsidP="002F11DD">
      <w:pPr>
        <w:bidi/>
        <w:spacing w:line="360" w:lineRule="auto"/>
        <w:rPr>
          <w:rFonts w:ascii="David" w:hAnsi="David" w:cs="David"/>
          <w:b/>
          <w:bCs/>
          <w:sz w:val="28"/>
          <w:szCs w:val="28"/>
          <w:rtl/>
        </w:rPr>
      </w:pPr>
    </w:p>
    <w:p w14:paraId="03981E64" w14:textId="3F178613" w:rsidR="008019D8" w:rsidRPr="002F11DD" w:rsidRDefault="008019D8" w:rsidP="002F11DD">
      <w:pPr>
        <w:bidi/>
        <w:spacing w:line="360" w:lineRule="auto"/>
        <w:rPr>
          <w:rFonts w:ascii="David" w:hAnsi="David" w:cs="David"/>
          <w:b/>
          <w:bCs/>
          <w:sz w:val="28"/>
          <w:szCs w:val="28"/>
          <w:rtl/>
        </w:rPr>
      </w:pPr>
      <w:r w:rsidRPr="002F11DD">
        <w:rPr>
          <w:rFonts w:ascii="David" w:hAnsi="David" w:cs="David" w:hint="cs"/>
          <w:b/>
          <w:bCs/>
          <w:sz w:val="28"/>
          <w:szCs w:val="28"/>
          <w:rtl/>
        </w:rPr>
        <w:t>מבוא</w:t>
      </w:r>
    </w:p>
    <w:p w14:paraId="0949AAA6" w14:textId="77777777" w:rsidR="008019D8" w:rsidRDefault="008019D8" w:rsidP="00A1124C">
      <w:pPr>
        <w:bidi/>
        <w:spacing w:line="360" w:lineRule="auto"/>
        <w:rPr>
          <w:rFonts w:ascii="David" w:hAnsi="David" w:cs="David"/>
          <w:sz w:val="22"/>
          <w:szCs w:val="22"/>
          <w:rtl/>
        </w:rPr>
      </w:pPr>
    </w:p>
    <w:p w14:paraId="16AA84F1" w14:textId="67EDD4E3" w:rsidR="007B4DD2" w:rsidRPr="008019D8" w:rsidRDefault="007B4DD2" w:rsidP="00A1124C">
      <w:pPr>
        <w:bidi/>
        <w:spacing w:line="360" w:lineRule="auto"/>
        <w:rPr>
          <w:rFonts w:ascii="David" w:hAnsi="David" w:cs="David"/>
          <w:sz w:val="22"/>
          <w:szCs w:val="22"/>
          <w:rtl/>
        </w:rPr>
      </w:pPr>
      <w:r w:rsidRPr="008019D8">
        <w:rPr>
          <w:rFonts w:ascii="David" w:hAnsi="David" w:cs="David" w:hint="cs"/>
          <w:sz w:val="22"/>
          <w:szCs w:val="22"/>
          <w:rtl/>
        </w:rPr>
        <w:t xml:space="preserve">הזיכרון הקולקטיבי של מדינת ישראל והיסטוריית המאבק הציוני רוויים </w:t>
      </w:r>
      <w:r w:rsidR="007B021D">
        <w:rPr>
          <w:rFonts w:ascii="David" w:hAnsi="David" w:cs="David" w:hint="cs"/>
          <w:sz w:val="22"/>
          <w:szCs w:val="22"/>
          <w:rtl/>
        </w:rPr>
        <w:t>בגברים ככאלה התרמו יותר מהנשים.</w:t>
      </w:r>
      <w:r w:rsidRPr="008019D8">
        <w:rPr>
          <w:rFonts w:ascii="David" w:hAnsi="David" w:cs="David" w:hint="cs"/>
          <w:sz w:val="22"/>
          <w:szCs w:val="22"/>
          <w:rtl/>
        </w:rPr>
        <w:t xml:space="preserve"> בין המחתרות והפעולות השונות לקידומו של החזון הציוני פעלו דמויות נשיות רבות כגון, חנה סנש, גולדה מאיר וכמובן, שרה</w:t>
      </w:r>
      <w:r w:rsidR="005747B7">
        <w:rPr>
          <w:rFonts w:ascii="David" w:hAnsi="David" w:cs="David" w:hint="cs"/>
          <w:sz w:val="22"/>
          <w:szCs w:val="22"/>
          <w:rtl/>
        </w:rPr>
        <w:t xml:space="preserve"> אהרונסון -</w:t>
      </w:r>
      <w:r w:rsidRPr="008019D8">
        <w:rPr>
          <w:rFonts w:ascii="David" w:hAnsi="David" w:cs="David" w:hint="cs"/>
          <w:sz w:val="22"/>
          <w:szCs w:val="22"/>
          <w:rtl/>
        </w:rPr>
        <w:t xml:space="preserve"> גיבורת ניל״י. הנשים הללו מהוות אבני דרך משמעותיות מהרעיון הציוני להקמתה של מדינת ישראל. אף על פי כן, ההיסטוריה של נשים, נכתבה כנספח של הסיפור הציוני והישראלי המרכזי. ואולם הסיפור הצדדי לא השתלב בסיפור הכללי אלא התפתח בנפרד ממנו. ובדומה לכך, סיפור העבר המרכזי לא הושפע מן הסיפור הצדדי והנפרד על אודות העבר הנשי הייחודי, על קולן הנאלם של נשים, ועל עלילת שוליותן והדרתן מן התחום הפומבי והציבורי של חיי הלאום</w:t>
      </w:r>
      <w:r w:rsidRPr="008019D8">
        <w:rPr>
          <w:rStyle w:val="a5"/>
          <w:rFonts w:ascii="David" w:hAnsi="David" w:cs="David" w:hint="cs"/>
          <w:sz w:val="22"/>
          <w:szCs w:val="22"/>
          <w:rtl/>
        </w:rPr>
        <w:footnoteReference w:id="1"/>
      </w:r>
      <w:r w:rsidRPr="008019D8">
        <w:rPr>
          <w:rFonts w:ascii="David" w:hAnsi="David" w:cs="David" w:hint="cs"/>
          <w:sz w:val="22"/>
          <w:szCs w:val="22"/>
          <w:rtl/>
        </w:rPr>
        <w:t>.</w:t>
      </w:r>
    </w:p>
    <w:p w14:paraId="1F4AB0A8" w14:textId="0F67DD06" w:rsidR="007B4DD2" w:rsidRPr="008019D8" w:rsidRDefault="007B4DD2" w:rsidP="00A1124C">
      <w:pPr>
        <w:bidi/>
        <w:spacing w:line="360" w:lineRule="auto"/>
        <w:rPr>
          <w:rFonts w:ascii="David" w:hAnsi="David" w:cs="David"/>
          <w:sz w:val="22"/>
          <w:szCs w:val="22"/>
          <w:rtl/>
        </w:rPr>
      </w:pPr>
    </w:p>
    <w:p w14:paraId="1E96E74E" w14:textId="0584126B" w:rsidR="007B4DD2" w:rsidRPr="008019D8" w:rsidRDefault="007B4DD2" w:rsidP="007B021D">
      <w:pPr>
        <w:bidi/>
        <w:spacing w:line="360" w:lineRule="auto"/>
        <w:rPr>
          <w:rFonts w:ascii="David" w:hAnsi="David" w:cs="David"/>
          <w:sz w:val="22"/>
          <w:szCs w:val="22"/>
          <w:rtl/>
        </w:rPr>
      </w:pPr>
      <w:r w:rsidRPr="008019D8">
        <w:rPr>
          <w:rFonts w:ascii="David" w:hAnsi="David" w:cs="David" w:hint="cs"/>
          <w:sz w:val="22"/>
          <w:szCs w:val="22"/>
          <w:rtl/>
        </w:rPr>
        <w:t xml:space="preserve">על כן, </w:t>
      </w:r>
      <w:r w:rsidR="00F5084B">
        <w:rPr>
          <w:rFonts w:ascii="David" w:hAnsi="David" w:cs="David" w:hint="cs"/>
          <w:sz w:val="22"/>
          <w:szCs w:val="22"/>
          <w:rtl/>
        </w:rPr>
        <w:t xml:space="preserve">דומה </w:t>
      </w:r>
      <w:r w:rsidR="003F34FF" w:rsidRPr="008019D8">
        <w:rPr>
          <w:rFonts w:ascii="David" w:hAnsi="David" w:cs="David" w:hint="cs"/>
          <w:sz w:val="22"/>
          <w:szCs w:val="22"/>
          <w:rtl/>
        </w:rPr>
        <w:t xml:space="preserve">כי </w:t>
      </w:r>
      <w:r w:rsidRPr="008019D8">
        <w:rPr>
          <w:rFonts w:ascii="David" w:hAnsi="David" w:cs="David" w:hint="cs"/>
          <w:sz w:val="22"/>
          <w:szCs w:val="22"/>
          <w:rtl/>
        </w:rPr>
        <w:t>המאבק הפמיניסטי בישראל</w:t>
      </w:r>
      <w:r w:rsidR="00F5084B">
        <w:rPr>
          <w:rFonts w:ascii="David" w:hAnsi="David" w:cs="David" w:hint="cs"/>
          <w:sz w:val="22"/>
          <w:szCs w:val="22"/>
          <w:rtl/>
        </w:rPr>
        <w:t>, מראשיתה ועוד מתקופת היישוב,</w:t>
      </w:r>
      <w:r w:rsidR="003F34FF" w:rsidRPr="008019D8">
        <w:rPr>
          <w:rFonts w:ascii="David" w:hAnsi="David" w:cs="David" w:hint="cs"/>
          <w:sz w:val="22"/>
          <w:szCs w:val="22"/>
          <w:rtl/>
        </w:rPr>
        <w:t xml:space="preserve"> </w:t>
      </w:r>
      <w:r w:rsidR="00F5084B">
        <w:rPr>
          <w:rFonts w:ascii="David" w:hAnsi="David" w:cs="David" w:hint="cs"/>
          <w:sz w:val="22"/>
          <w:szCs w:val="22"/>
          <w:rtl/>
        </w:rPr>
        <w:t>היה</w:t>
      </w:r>
      <w:r w:rsidRPr="008019D8">
        <w:rPr>
          <w:rFonts w:ascii="David" w:hAnsi="David" w:cs="David" w:hint="cs"/>
          <w:sz w:val="22"/>
          <w:szCs w:val="22"/>
          <w:rtl/>
        </w:rPr>
        <w:t xml:space="preserve"> בעייתי יותר מאשר</w:t>
      </w:r>
      <w:r w:rsidR="003F34FF" w:rsidRPr="008019D8">
        <w:rPr>
          <w:rFonts w:ascii="David" w:hAnsi="David" w:cs="David" w:hint="cs"/>
          <w:sz w:val="22"/>
          <w:szCs w:val="22"/>
          <w:rtl/>
        </w:rPr>
        <w:t xml:space="preserve"> </w:t>
      </w:r>
      <w:r w:rsidR="00F5084B">
        <w:rPr>
          <w:rFonts w:ascii="David" w:hAnsi="David" w:cs="David" w:hint="cs"/>
          <w:sz w:val="22"/>
          <w:szCs w:val="22"/>
          <w:rtl/>
        </w:rPr>
        <w:t>במדינות או תנועות לאומיות אחרות.</w:t>
      </w:r>
      <w:r w:rsidR="007B021D">
        <w:rPr>
          <w:rFonts w:ascii="David" w:hAnsi="David" w:cs="David" w:hint="cs"/>
          <w:sz w:val="22"/>
          <w:szCs w:val="22"/>
          <w:rtl/>
        </w:rPr>
        <w:t xml:space="preserve"> זאת בשל מעמדן הדתי של נשים במדינה בעלת בסיס אתני מוצהר, מדינת לאום יהודית, יחד עם הגדרתה העצמית כמדינה הפועלת לפי עקרונות דמוקרטיים, יוצרת שיח המתנה את אזרחותן המלאה של הנשים היהודיות בתרומתן לקולקטיב ומצביעה על האימהות כמהווה את עיקר תרומה זו</w:t>
      </w:r>
      <w:r w:rsidR="007B021D">
        <w:rPr>
          <w:rStyle w:val="a5"/>
          <w:rFonts w:ascii="David" w:hAnsi="David" w:cs="David"/>
          <w:sz w:val="22"/>
          <w:szCs w:val="22"/>
          <w:rtl/>
        </w:rPr>
        <w:footnoteReference w:id="2"/>
      </w:r>
      <w:r w:rsidR="007B021D">
        <w:rPr>
          <w:rFonts w:ascii="David" w:hAnsi="David" w:cs="David" w:hint="cs"/>
          <w:sz w:val="22"/>
          <w:szCs w:val="22"/>
          <w:rtl/>
        </w:rPr>
        <w:t xml:space="preserve">. יחד עם זאת, </w:t>
      </w:r>
      <w:r w:rsidR="003F34FF" w:rsidRPr="008019D8">
        <w:rPr>
          <w:rFonts w:ascii="David" w:hAnsi="David" w:cs="David" w:hint="cs"/>
          <w:sz w:val="22"/>
          <w:szCs w:val="22"/>
          <w:rtl/>
        </w:rPr>
        <w:t>מערכת הזכויות והחובות שלהן איננה שווה למערכת הזכויות והחובות של הגברים</w:t>
      </w:r>
      <w:r w:rsidR="003F34FF" w:rsidRPr="008019D8">
        <w:rPr>
          <w:rStyle w:val="a5"/>
          <w:rFonts w:ascii="David" w:hAnsi="David" w:cs="David" w:hint="cs"/>
          <w:sz w:val="22"/>
          <w:szCs w:val="22"/>
          <w:rtl/>
        </w:rPr>
        <w:footnoteReference w:id="3"/>
      </w:r>
      <w:r w:rsidR="003F34FF" w:rsidRPr="008019D8">
        <w:rPr>
          <w:rFonts w:ascii="David" w:hAnsi="David" w:cs="David" w:hint="cs"/>
          <w:sz w:val="22"/>
          <w:szCs w:val="22"/>
          <w:rtl/>
        </w:rPr>
        <w:t xml:space="preserve">. אך דווקא נקודות הציון הנשיות בסיפור הציוני לא היו כאלה. שרה אהרונסון, מהווה אלמנט ייחודי ויוצא דופן בסיפור ההיסטורי הציוני, הן בחייה ובפועלה והן בעיצוב מיתוס הזיכרון שלה. מרכזיותה בסיפורה של תנועת הריגול ניל״י בפרט, ושל גבורה בארץ ישראל בכלל, נעוצה בזהותה המגדרית המורכבת. </w:t>
      </w:r>
    </w:p>
    <w:p w14:paraId="3954BF2C" w14:textId="79326F02" w:rsidR="003F34FF" w:rsidRPr="008019D8" w:rsidRDefault="003F34FF" w:rsidP="00A1124C">
      <w:pPr>
        <w:bidi/>
        <w:spacing w:line="360" w:lineRule="auto"/>
        <w:rPr>
          <w:rFonts w:ascii="David" w:hAnsi="David" w:cs="David"/>
          <w:sz w:val="22"/>
          <w:szCs w:val="22"/>
          <w:rtl/>
        </w:rPr>
      </w:pPr>
    </w:p>
    <w:p w14:paraId="551FC2B8" w14:textId="4702DD12" w:rsidR="001F0B6B" w:rsidRDefault="003F34FF" w:rsidP="002315DA">
      <w:pPr>
        <w:bidi/>
        <w:spacing w:line="360" w:lineRule="auto"/>
        <w:rPr>
          <w:rFonts w:ascii="David" w:hAnsi="David" w:cs="David"/>
          <w:b/>
          <w:bCs/>
          <w:sz w:val="22"/>
          <w:szCs w:val="22"/>
          <w:rtl/>
        </w:rPr>
      </w:pPr>
      <w:r w:rsidRPr="008019D8">
        <w:rPr>
          <w:rFonts w:ascii="David" w:hAnsi="David" w:cs="David" w:hint="cs"/>
          <w:sz w:val="22"/>
          <w:szCs w:val="22"/>
          <w:rtl/>
        </w:rPr>
        <w:t>בעבודתי אעסוק באחת מפרשיות הגבורה בתולדת העם היהודי – פרשת ניל״י, ובדמות המפתח שבה – שרה אה</w:t>
      </w:r>
      <w:r w:rsidR="00A53A92" w:rsidRPr="008019D8">
        <w:rPr>
          <w:rFonts w:ascii="David" w:hAnsi="David" w:cs="David" w:hint="cs"/>
          <w:sz w:val="22"/>
          <w:szCs w:val="22"/>
          <w:rtl/>
        </w:rPr>
        <w:t xml:space="preserve">רונסון, שפועלה והנצחת </w:t>
      </w:r>
      <w:r w:rsidR="001F0B6B">
        <w:rPr>
          <w:rFonts w:ascii="David" w:hAnsi="David" w:cs="David" w:hint="cs"/>
          <w:sz w:val="22"/>
          <w:szCs w:val="22"/>
          <w:rtl/>
        </w:rPr>
        <w:t>זכרה</w:t>
      </w:r>
      <w:r w:rsidR="00A53A92" w:rsidRPr="008019D8">
        <w:rPr>
          <w:rFonts w:ascii="David" w:hAnsi="David" w:cs="David" w:hint="cs"/>
          <w:sz w:val="22"/>
          <w:szCs w:val="22"/>
          <w:rtl/>
        </w:rPr>
        <w:t xml:space="preserve"> נעים על הציר שבין מאבק מגדרי לקורבן לאומי. אהרונסון, שניצחה על פעולות ניל״י בארץ ישראל, הייתה דמות מרכזית</w:t>
      </w:r>
      <w:r w:rsidR="008019D8" w:rsidRPr="008019D8">
        <w:rPr>
          <w:rFonts w:ascii="David" w:hAnsi="David" w:cs="David" w:hint="cs"/>
          <w:sz w:val="22"/>
          <w:szCs w:val="22"/>
          <w:rtl/>
        </w:rPr>
        <w:t xml:space="preserve"> בארגון. לפיכך, אבקש לבדוק </w:t>
      </w:r>
      <w:r w:rsidR="0017310A" w:rsidRPr="008019D8">
        <w:rPr>
          <w:rFonts w:ascii="David" w:hAnsi="David" w:cs="David" w:hint="cs"/>
          <w:b/>
          <w:bCs/>
          <w:sz w:val="22"/>
          <w:szCs w:val="22"/>
          <w:rtl/>
        </w:rPr>
        <w:t xml:space="preserve">כיצד </w:t>
      </w:r>
      <w:r w:rsidR="0017310A">
        <w:rPr>
          <w:rFonts w:ascii="David" w:hAnsi="David" w:cs="David" w:hint="cs"/>
          <w:b/>
          <w:bCs/>
          <w:sz w:val="22"/>
          <w:szCs w:val="22"/>
          <w:rtl/>
        </w:rPr>
        <w:t>פעילותה של שרה אהרונסון נתפסת בזיכרון הקולקטיבי</w:t>
      </w:r>
      <w:r w:rsidR="0017310A" w:rsidRPr="008019D8">
        <w:rPr>
          <w:rFonts w:ascii="David" w:hAnsi="David" w:cs="David" w:hint="cs"/>
          <w:b/>
          <w:bCs/>
          <w:sz w:val="22"/>
          <w:szCs w:val="22"/>
          <w:rtl/>
        </w:rPr>
        <w:t>?</w:t>
      </w:r>
      <w:r w:rsidR="001F0B6B">
        <w:rPr>
          <w:rFonts w:ascii="David" w:hAnsi="David" w:cs="David" w:hint="cs"/>
          <w:b/>
          <w:bCs/>
          <w:sz w:val="22"/>
          <w:szCs w:val="22"/>
          <w:rtl/>
        </w:rPr>
        <w:t xml:space="preserve"> </w:t>
      </w:r>
      <w:r w:rsidR="001F0B6B">
        <w:rPr>
          <w:rFonts w:ascii="David" w:hAnsi="David" w:cs="David" w:hint="cs"/>
          <w:sz w:val="22"/>
          <w:szCs w:val="22"/>
          <w:rtl/>
        </w:rPr>
        <w:t>כלומר, האם ניתן לראות בשרה גיבורת ניל״י כפמיניסטית בפועלה וכפי שהיא משתקפת בעיצוב הזיכרון הלאומי, או כלוחמת לאומית המבקשת לקדם את הרעיון הציוני.</w:t>
      </w:r>
    </w:p>
    <w:p w14:paraId="31C69D35" w14:textId="77777777" w:rsidR="002315DA" w:rsidRDefault="002315DA" w:rsidP="002315DA">
      <w:pPr>
        <w:bidi/>
        <w:spacing w:line="360" w:lineRule="auto"/>
        <w:rPr>
          <w:rFonts w:ascii="David" w:hAnsi="David" w:cs="David"/>
          <w:sz w:val="22"/>
          <w:szCs w:val="22"/>
          <w:rtl/>
        </w:rPr>
      </w:pPr>
    </w:p>
    <w:p w14:paraId="01E49846" w14:textId="77777777" w:rsidR="001F0B6B" w:rsidRPr="008019D8" w:rsidRDefault="001F0B6B" w:rsidP="001F0B6B">
      <w:pPr>
        <w:bidi/>
        <w:spacing w:line="360" w:lineRule="auto"/>
        <w:rPr>
          <w:rFonts w:ascii="David" w:hAnsi="David" w:cs="David"/>
          <w:sz w:val="22"/>
          <w:szCs w:val="22"/>
          <w:rtl/>
        </w:rPr>
      </w:pPr>
    </w:p>
    <w:p w14:paraId="251C72D5" w14:textId="4F6E0E66" w:rsidR="008019D8" w:rsidRDefault="008019D8" w:rsidP="00A1124C">
      <w:pPr>
        <w:bidi/>
        <w:rPr>
          <w:rtl/>
        </w:rPr>
      </w:pPr>
    </w:p>
    <w:p w14:paraId="4C2B41A9" w14:textId="3282CBBC" w:rsidR="008019D8" w:rsidRDefault="008019D8" w:rsidP="00A1124C">
      <w:pPr>
        <w:bidi/>
        <w:rPr>
          <w:rtl/>
        </w:rPr>
      </w:pPr>
    </w:p>
    <w:p w14:paraId="5ECEAEE1" w14:textId="3A17E7CC" w:rsidR="008019D8" w:rsidRDefault="008019D8" w:rsidP="00A1124C">
      <w:pPr>
        <w:bidi/>
        <w:rPr>
          <w:rtl/>
        </w:rPr>
      </w:pPr>
    </w:p>
    <w:p w14:paraId="422452D4" w14:textId="21A8924F" w:rsidR="008019D8" w:rsidRDefault="008019D8" w:rsidP="00A1124C">
      <w:pPr>
        <w:bidi/>
        <w:rPr>
          <w:rtl/>
        </w:rPr>
      </w:pPr>
    </w:p>
    <w:p w14:paraId="5B01B1C5" w14:textId="6B0DC0EF" w:rsidR="002F11DD" w:rsidRDefault="002F11DD" w:rsidP="002F11DD">
      <w:pPr>
        <w:bidi/>
        <w:rPr>
          <w:rtl/>
        </w:rPr>
      </w:pPr>
    </w:p>
    <w:p w14:paraId="09AF8005" w14:textId="2CCF0893" w:rsidR="002F11DD" w:rsidRDefault="002F11DD" w:rsidP="002F11DD">
      <w:pPr>
        <w:bidi/>
        <w:rPr>
          <w:rtl/>
        </w:rPr>
      </w:pPr>
    </w:p>
    <w:p w14:paraId="1D88B131" w14:textId="77777777" w:rsidR="002F11DD" w:rsidRDefault="002F11DD" w:rsidP="002F11DD">
      <w:pPr>
        <w:bidi/>
        <w:rPr>
          <w:rtl/>
        </w:rPr>
      </w:pPr>
    </w:p>
    <w:p w14:paraId="05BA78AF" w14:textId="5DB48B31" w:rsidR="008019D8" w:rsidRDefault="008019D8" w:rsidP="00A1124C">
      <w:pPr>
        <w:bidi/>
        <w:rPr>
          <w:rtl/>
        </w:rPr>
      </w:pPr>
    </w:p>
    <w:p w14:paraId="724CCAC9" w14:textId="13BE8AD2" w:rsidR="008019D8" w:rsidRDefault="008019D8" w:rsidP="00A1124C">
      <w:pPr>
        <w:bidi/>
        <w:rPr>
          <w:rtl/>
        </w:rPr>
      </w:pPr>
    </w:p>
    <w:p w14:paraId="0FE05077" w14:textId="77777777" w:rsidR="002F11DD" w:rsidRDefault="002F11DD" w:rsidP="002F11DD">
      <w:pPr>
        <w:bidi/>
        <w:rPr>
          <w:rtl/>
        </w:rPr>
      </w:pPr>
    </w:p>
    <w:p w14:paraId="3D0238E8" w14:textId="194DDFF2" w:rsidR="0017310A" w:rsidRDefault="0017310A" w:rsidP="0017310A">
      <w:pPr>
        <w:bidi/>
        <w:spacing w:line="360" w:lineRule="auto"/>
        <w:rPr>
          <w:rFonts w:ascii="David" w:hAnsi="David" w:cs="David"/>
          <w:b/>
          <w:bCs/>
          <w:sz w:val="22"/>
          <w:szCs w:val="22"/>
          <w:rtl/>
        </w:rPr>
      </w:pPr>
    </w:p>
    <w:p w14:paraId="6B9A22A6" w14:textId="464708D7" w:rsidR="0017310A" w:rsidRPr="00406FE6" w:rsidRDefault="0017310A" w:rsidP="0017310A">
      <w:pPr>
        <w:bidi/>
        <w:spacing w:line="360" w:lineRule="auto"/>
        <w:rPr>
          <w:rFonts w:ascii="David" w:hAnsi="David" w:cs="David"/>
          <w:b/>
          <w:bCs/>
          <w:sz w:val="28"/>
          <w:szCs w:val="28"/>
          <w:rtl/>
        </w:rPr>
      </w:pPr>
      <w:r w:rsidRPr="00406FE6">
        <w:rPr>
          <w:rFonts w:ascii="David" w:hAnsi="David" w:cs="David" w:hint="cs"/>
          <w:b/>
          <w:bCs/>
          <w:sz w:val="28"/>
          <w:szCs w:val="28"/>
          <w:rtl/>
        </w:rPr>
        <w:t xml:space="preserve">פרק ראשון: פמיניזם – בין מגדר ללאומיות </w:t>
      </w:r>
    </w:p>
    <w:p w14:paraId="209D22E9" w14:textId="77777777" w:rsidR="006C6858" w:rsidRDefault="006C6858" w:rsidP="00A51BE0">
      <w:pPr>
        <w:bidi/>
        <w:spacing w:line="360" w:lineRule="auto"/>
        <w:rPr>
          <w:rFonts w:ascii="David" w:hAnsi="David" w:cs="David"/>
          <w:sz w:val="22"/>
          <w:szCs w:val="22"/>
          <w:rtl/>
        </w:rPr>
      </w:pPr>
    </w:p>
    <w:p w14:paraId="326197F1" w14:textId="77777777" w:rsidR="00CB4F33" w:rsidRDefault="00922330" w:rsidP="00CB4F33">
      <w:pPr>
        <w:bidi/>
        <w:spacing w:line="360" w:lineRule="auto"/>
        <w:jc w:val="both"/>
        <w:rPr>
          <w:rFonts w:ascii="David" w:hAnsi="David" w:cs="David"/>
          <w:sz w:val="22"/>
          <w:szCs w:val="22"/>
          <w:rtl/>
        </w:rPr>
      </w:pPr>
      <w:r w:rsidRPr="00CB4F33">
        <w:rPr>
          <w:rFonts w:ascii="David" w:hAnsi="David" w:cs="David" w:hint="cs"/>
          <w:sz w:val="22"/>
          <w:szCs w:val="22"/>
          <w:rtl/>
        </w:rPr>
        <w:t xml:space="preserve">לאומיות, פמיניזם ומגדר תופסים חלק רחב מההוויה הפוליטית, החברתית והצבאית כבר מהמאה ה-19 ונוכחותם גוברת במאה ה-20. </w:t>
      </w:r>
      <w:r w:rsidRPr="00CB4F33">
        <w:rPr>
          <w:rFonts w:cs="David" w:hint="cs"/>
          <w:spacing w:val="4"/>
          <w:sz w:val="22"/>
          <w:szCs w:val="22"/>
          <w:rtl/>
        </w:rPr>
        <w:t>אידיאולוגיית הלאומיות, תחושת ההשתייכות לקבוצה אשר חבריה מאוחדים בקשרים גזעיים, לשוניים והיסטוריים, הובילה להופעתן של מדינות לאום קטנות לא מעטות. אידיאולוגיה זו, המעלה את המדינה הלאומית ומציגה אותה כצורה האידיאלית של התארגנות פוליטית והרשאית לדרוש מאזרחיה נאמנות מוחלטת, קובעת כי ההשתייכות ללאום מסוים קובעת את הזהות הראשונית והבסיסית ביותר של אדם.</w:t>
      </w:r>
      <w:r w:rsidRPr="00CB4F33">
        <w:rPr>
          <w:rFonts w:ascii="David" w:hAnsi="David" w:cs="David" w:hint="cs"/>
          <w:sz w:val="22"/>
          <w:szCs w:val="22"/>
          <w:rtl/>
        </w:rPr>
        <w:t xml:space="preserve"> תב</w:t>
      </w:r>
      <w:r w:rsidR="00CB4F33">
        <w:rPr>
          <w:rFonts w:ascii="David" w:hAnsi="David" w:cs="David" w:hint="cs"/>
          <w:sz w:val="22"/>
          <w:szCs w:val="22"/>
          <w:rtl/>
        </w:rPr>
        <w:t>י</w:t>
      </w:r>
      <w:r w:rsidRPr="00CB4F33">
        <w:rPr>
          <w:rFonts w:ascii="David" w:hAnsi="David" w:cs="David" w:hint="cs"/>
          <w:sz w:val="22"/>
          <w:szCs w:val="22"/>
          <w:rtl/>
        </w:rPr>
        <w:t xml:space="preserve">עתם של מיעוטים בעלי זיקה לאומית להכרה פוליטית הייתה זו שקידמה גם את המיעוטים החברתיים, ובניהם המיעוט הנשי (חברתי), למאבק שתוצאותיו ניכרות עד היום. </w:t>
      </w:r>
    </w:p>
    <w:p w14:paraId="04599BA0" w14:textId="77777777" w:rsidR="00CB4F33" w:rsidRDefault="00CB4F33" w:rsidP="00CB4F33">
      <w:pPr>
        <w:bidi/>
        <w:spacing w:line="360" w:lineRule="auto"/>
        <w:jc w:val="both"/>
        <w:rPr>
          <w:rFonts w:ascii="David" w:hAnsi="David" w:cs="David"/>
          <w:sz w:val="22"/>
          <w:szCs w:val="22"/>
          <w:rtl/>
        </w:rPr>
      </w:pPr>
    </w:p>
    <w:p w14:paraId="6B09DD24" w14:textId="650ED04A" w:rsidR="00F33DBD" w:rsidRDefault="00922330" w:rsidP="00CB4F33">
      <w:pPr>
        <w:bidi/>
        <w:spacing w:line="360" w:lineRule="auto"/>
        <w:jc w:val="both"/>
        <w:rPr>
          <w:rFonts w:ascii="David" w:hAnsi="David" w:cs="David"/>
          <w:sz w:val="22"/>
          <w:szCs w:val="22"/>
          <w:rtl/>
        </w:rPr>
      </w:pPr>
      <w:r>
        <w:rPr>
          <w:rFonts w:ascii="David" w:hAnsi="David" w:cs="David" w:hint="cs"/>
          <w:sz w:val="22"/>
          <w:szCs w:val="22"/>
          <w:rtl/>
        </w:rPr>
        <w:t xml:space="preserve">אחד ממושגי המפתח של אותו מאבק היה המגדר </w:t>
      </w:r>
      <w:r>
        <w:rPr>
          <w:rFonts w:ascii="David" w:hAnsi="David" w:cs="David"/>
          <w:sz w:val="22"/>
          <w:szCs w:val="22"/>
          <w:rtl/>
        </w:rPr>
        <w:t>–</w:t>
      </w:r>
      <w:r>
        <w:rPr>
          <w:rFonts w:ascii="David" w:hAnsi="David" w:cs="David" w:hint="cs"/>
          <w:sz w:val="22"/>
          <w:szCs w:val="22"/>
          <w:rtl/>
        </w:rPr>
        <w:t xml:space="preserve"> אותה גדר המפרידה בין המינים, המשמשת להגדרת הזהות הנשית והגברית כאחת. זהויות אלה מתפתחות באורח דינמי זו ביחס לזו, ולפיכך אין הן ׳נתונים׳ טבעיים. ׳מגדר׳ מתאר אף את ההתפתחות ההיסטורית של ההבדלים הפוליטיים, הכלכליים והחברתיים בין המינים ואת העיצוב התרבותי והייצוגי של גבריות ונשיות</w:t>
      </w:r>
      <w:r>
        <w:rPr>
          <w:rStyle w:val="a5"/>
          <w:rFonts w:ascii="David" w:hAnsi="David" w:cs="David"/>
          <w:sz w:val="22"/>
          <w:szCs w:val="22"/>
          <w:rtl/>
        </w:rPr>
        <w:footnoteReference w:id="4"/>
      </w:r>
      <w:r w:rsidR="00CB4F33">
        <w:rPr>
          <w:rFonts w:ascii="David" w:hAnsi="David" w:cs="David" w:hint="cs"/>
          <w:sz w:val="22"/>
          <w:szCs w:val="22"/>
          <w:rtl/>
        </w:rPr>
        <w:t>.</w:t>
      </w:r>
    </w:p>
    <w:p w14:paraId="5E175C02" w14:textId="77777777" w:rsidR="00012A6B" w:rsidRDefault="00012A6B" w:rsidP="00012A6B">
      <w:pPr>
        <w:bidi/>
        <w:spacing w:line="360" w:lineRule="auto"/>
        <w:rPr>
          <w:rFonts w:ascii="David" w:hAnsi="David" w:cs="David"/>
          <w:sz w:val="22"/>
          <w:szCs w:val="22"/>
          <w:rtl/>
        </w:rPr>
      </w:pPr>
    </w:p>
    <w:p w14:paraId="2F55047E" w14:textId="3D81811D" w:rsidR="0017310A" w:rsidRDefault="00CB4F33" w:rsidP="004469CD">
      <w:pPr>
        <w:bidi/>
        <w:spacing w:line="360" w:lineRule="auto"/>
        <w:rPr>
          <w:rFonts w:ascii="David" w:hAnsi="David" w:cs="David"/>
          <w:sz w:val="22"/>
          <w:szCs w:val="22"/>
          <w:rtl/>
        </w:rPr>
      </w:pPr>
      <w:r>
        <w:rPr>
          <w:rFonts w:ascii="David" w:hAnsi="David" w:cs="David" w:hint="cs"/>
          <w:sz w:val="22"/>
          <w:szCs w:val="22"/>
          <w:rtl/>
        </w:rPr>
        <w:t xml:space="preserve">על כן, </w:t>
      </w:r>
      <w:r w:rsidR="003C65A4">
        <w:rPr>
          <w:rFonts w:ascii="David" w:hAnsi="David" w:cs="David" w:hint="cs"/>
          <w:sz w:val="22"/>
          <w:szCs w:val="22"/>
          <w:rtl/>
        </w:rPr>
        <w:t>כבר במחצית השנייה של המאה ה-19 התחילה להתערער בקרב היישוב הישן החלוקה המגדרית המובנת מאליה במסורת היהודית בין הספירה הפרטית לזו הציבורית. אחד הביטויים לכך היה הקמת בית הספר לבנות בירושלים. ערעור החלוקה המגדרית התחזק עם הגעתן לארץ של נשות העלייה הראשונה. אלה, דרשו להשתלב בספירה הציבורית. שילובן של הנשים בספירה הציבורית לבש פנים רבות ומגוונות והנשים היו למורות, מחנכות, סופרות וכיוצא בזה. בכך הן היו לחלק אינטגרלי של יוצרי התרבות העברית החדשה</w:t>
      </w:r>
      <w:r w:rsidR="005C4689">
        <w:rPr>
          <w:rStyle w:val="a5"/>
          <w:rFonts w:ascii="David" w:hAnsi="David" w:cs="David"/>
          <w:sz w:val="22"/>
          <w:szCs w:val="22"/>
          <w:rtl/>
        </w:rPr>
        <w:footnoteReference w:id="5"/>
      </w:r>
      <w:r w:rsidR="00F33DBD">
        <w:rPr>
          <w:rFonts w:ascii="David" w:hAnsi="David" w:cs="David" w:hint="cs"/>
          <w:sz w:val="22"/>
          <w:szCs w:val="22"/>
          <w:rtl/>
        </w:rPr>
        <w:t>.</w:t>
      </w:r>
    </w:p>
    <w:p w14:paraId="2C431CDD" w14:textId="25B71045" w:rsidR="004469CD" w:rsidRDefault="004469CD" w:rsidP="004469CD">
      <w:pPr>
        <w:bidi/>
        <w:spacing w:line="360" w:lineRule="auto"/>
        <w:rPr>
          <w:rFonts w:ascii="David" w:hAnsi="David" w:cs="David"/>
          <w:sz w:val="22"/>
          <w:szCs w:val="22"/>
          <w:rtl/>
        </w:rPr>
      </w:pPr>
    </w:p>
    <w:p w14:paraId="7AF7F391" w14:textId="27653346" w:rsidR="004469CD" w:rsidRDefault="004469CD" w:rsidP="004469CD">
      <w:pPr>
        <w:bidi/>
        <w:spacing w:line="360" w:lineRule="auto"/>
        <w:rPr>
          <w:rFonts w:ascii="David" w:hAnsi="David" w:cs="David"/>
          <w:sz w:val="22"/>
          <w:szCs w:val="22"/>
          <w:rtl/>
        </w:rPr>
      </w:pPr>
      <w:r>
        <w:rPr>
          <w:rFonts w:ascii="David" w:hAnsi="David" w:cs="David" w:hint="cs"/>
          <w:sz w:val="22"/>
          <w:szCs w:val="22"/>
          <w:rtl/>
        </w:rPr>
        <w:t xml:space="preserve">מורכבותו של המאבק הפמיניסטי בישראל, הנובע ממעמדן המיוחד של נשים במדינה, נע על ציר הגדרתי וערכי דואלי </w:t>
      </w:r>
      <w:r>
        <w:rPr>
          <w:rFonts w:ascii="David" w:hAnsi="David" w:cs="David"/>
          <w:sz w:val="22"/>
          <w:szCs w:val="22"/>
          <w:rtl/>
        </w:rPr>
        <w:t>–</w:t>
      </w:r>
      <w:r>
        <w:rPr>
          <w:rFonts w:ascii="David" w:hAnsi="David" w:cs="David" w:hint="cs"/>
          <w:sz w:val="22"/>
          <w:szCs w:val="22"/>
          <w:rtl/>
        </w:rPr>
        <w:t xml:space="preserve"> מדינה יהודית ודמוקרטית. החברה הישראלית בת זמננו, הנתפשת לכאורה כחברה מודרנית המחויבת לתפיסה חילונית, דמוקרטית ושוויונית, מתהווה ופועלת, בתוך עולם מושגים דתי-פטריארכלי המשפיע על ממדים רבים של הווייתה</w:t>
      </w:r>
      <w:r w:rsidR="00D650B5">
        <w:rPr>
          <w:rStyle w:val="a5"/>
          <w:rFonts w:ascii="David" w:hAnsi="David" w:cs="David"/>
          <w:sz w:val="22"/>
          <w:szCs w:val="22"/>
          <w:rtl/>
        </w:rPr>
        <w:footnoteReference w:id="6"/>
      </w:r>
      <w:r w:rsidR="00CE225E">
        <w:rPr>
          <w:rFonts w:ascii="David" w:hAnsi="David" w:cs="David" w:hint="cs"/>
          <w:sz w:val="22"/>
          <w:szCs w:val="22"/>
          <w:rtl/>
        </w:rPr>
        <w:t xml:space="preserve">. עם זאת, עוד בתקופת היישוב היה ניתן לזהות ברצונה של התנועה הציונית ליצור שינוי חברתי ולהעלות על נס את עיקרון השוויון בין המינים, על מנת להשתתף בפרויקט </w:t>
      </w:r>
      <w:r w:rsidR="00CE225E">
        <w:rPr>
          <w:rFonts w:ascii="David" w:hAnsi="David" w:cs="David" w:hint="cs"/>
          <w:sz w:val="22"/>
          <w:szCs w:val="22"/>
          <w:rtl/>
        </w:rPr>
        <w:lastRenderedPageBreak/>
        <w:t>הציוני בתנאים שווים: גיוס נשים לצבא וחוק שיווי זכויות. חוקים אלה ביקשו לבטא ליברליזם מסוים בתפיסה הפוליטית-ממסדית של הנשים במדינת ישראל הצעירה</w:t>
      </w:r>
      <w:r w:rsidR="00CE225E">
        <w:rPr>
          <w:rStyle w:val="a5"/>
          <w:rFonts w:ascii="David" w:hAnsi="David" w:cs="David"/>
          <w:sz w:val="22"/>
          <w:szCs w:val="22"/>
          <w:rtl/>
        </w:rPr>
        <w:footnoteReference w:id="7"/>
      </w:r>
      <w:r w:rsidR="009C346A">
        <w:rPr>
          <w:rFonts w:ascii="David" w:hAnsi="David" w:cs="David" w:hint="cs"/>
          <w:sz w:val="22"/>
          <w:szCs w:val="22"/>
          <w:rtl/>
        </w:rPr>
        <w:t>.</w:t>
      </w:r>
    </w:p>
    <w:p w14:paraId="706CC551" w14:textId="17DA99CE" w:rsidR="009C346A" w:rsidRDefault="009C346A" w:rsidP="009C346A">
      <w:pPr>
        <w:bidi/>
        <w:spacing w:line="360" w:lineRule="auto"/>
        <w:rPr>
          <w:rFonts w:ascii="David" w:hAnsi="David" w:cs="David"/>
          <w:sz w:val="22"/>
          <w:szCs w:val="22"/>
          <w:rtl/>
        </w:rPr>
      </w:pPr>
    </w:p>
    <w:p w14:paraId="384B4489" w14:textId="6661E870" w:rsidR="009C346A" w:rsidRDefault="009C346A" w:rsidP="009C346A">
      <w:pPr>
        <w:bidi/>
        <w:spacing w:line="360" w:lineRule="auto"/>
        <w:rPr>
          <w:rFonts w:ascii="David" w:hAnsi="David" w:cs="David"/>
          <w:sz w:val="22"/>
          <w:szCs w:val="22"/>
          <w:rtl/>
        </w:rPr>
      </w:pPr>
      <w:r>
        <w:rPr>
          <w:rFonts w:ascii="David" w:hAnsi="David" w:cs="David" w:hint="cs"/>
          <w:sz w:val="22"/>
          <w:szCs w:val="22"/>
          <w:rtl/>
        </w:rPr>
        <w:t xml:space="preserve">על כן, ראשית פעילותה של התנועה הפמיניסטית העולמית ביישוב היהודי בארץ ישראל הורגשה רק בשנת 1919, עם הקמת התודעה הסופרג׳יסטית </w:t>
      </w:r>
      <w:r>
        <w:rPr>
          <w:rFonts w:ascii="David" w:hAnsi="David" w:cs="David"/>
          <w:sz w:val="22"/>
          <w:szCs w:val="22"/>
          <w:rtl/>
        </w:rPr>
        <w:t>–</w:t>
      </w:r>
      <w:r>
        <w:rPr>
          <w:rFonts w:ascii="David" w:hAnsi="David" w:cs="David" w:hint="cs"/>
          <w:sz w:val="22"/>
          <w:szCs w:val="22"/>
          <w:rtl/>
        </w:rPr>
        <w:t xml:space="preserve"> התאחדות נשים עבריות לשיווי זכויות בארץ ישראל. התאחדות זו, הייתה למעשה ארגון גג שאיחד בתוכו כמה ארגוני נשים, כמו ויצ״ו והדסה שפעלו בארץ</w:t>
      </w:r>
      <w:r>
        <w:rPr>
          <w:rStyle w:val="a5"/>
          <w:rFonts w:ascii="David" w:hAnsi="David" w:cs="David"/>
          <w:sz w:val="22"/>
          <w:szCs w:val="22"/>
          <w:rtl/>
        </w:rPr>
        <w:footnoteReference w:id="8"/>
      </w:r>
      <w:r>
        <w:rPr>
          <w:rFonts w:ascii="David" w:hAnsi="David" w:cs="David" w:hint="cs"/>
          <w:sz w:val="22"/>
          <w:szCs w:val="22"/>
          <w:rtl/>
        </w:rPr>
        <w:t>.</w:t>
      </w:r>
    </w:p>
    <w:p w14:paraId="451DDDBA" w14:textId="279F7BE0" w:rsidR="00CB4F33" w:rsidRDefault="00CB4F33" w:rsidP="00CB4F33">
      <w:pPr>
        <w:bidi/>
        <w:spacing w:line="360" w:lineRule="auto"/>
        <w:rPr>
          <w:rFonts w:ascii="David" w:hAnsi="David" w:cs="David"/>
          <w:sz w:val="22"/>
          <w:szCs w:val="22"/>
          <w:rtl/>
        </w:rPr>
      </w:pPr>
    </w:p>
    <w:p w14:paraId="2C6006CF" w14:textId="7AF20325" w:rsidR="002F11DD" w:rsidRDefault="002F11DD" w:rsidP="002F11DD">
      <w:pPr>
        <w:bidi/>
        <w:spacing w:line="360" w:lineRule="auto"/>
        <w:rPr>
          <w:rFonts w:ascii="David" w:hAnsi="David" w:cs="David"/>
          <w:sz w:val="22"/>
          <w:szCs w:val="22"/>
          <w:rtl/>
        </w:rPr>
      </w:pPr>
    </w:p>
    <w:p w14:paraId="316F9B60" w14:textId="77777777" w:rsidR="002F11DD" w:rsidRDefault="002F11DD" w:rsidP="002F11DD">
      <w:pPr>
        <w:bidi/>
        <w:spacing w:line="360" w:lineRule="auto"/>
        <w:rPr>
          <w:rFonts w:ascii="David" w:hAnsi="David" w:cs="David"/>
          <w:sz w:val="22"/>
          <w:szCs w:val="22"/>
          <w:rtl/>
        </w:rPr>
      </w:pPr>
    </w:p>
    <w:p w14:paraId="73774EE5" w14:textId="77777777" w:rsidR="00F26ABB" w:rsidRDefault="00F26ABB" w:rsidP="00CB4F33">
      <w:pPr>
        <w:bidi/>
        <w:spacing w:line="360" w:lineRule="auto"/>
        <w:rPr>
          <w:rFonts w:ascii="David" w:hAnsi="David" w:cs="David"/>
          <w:b/>
          <w:bCs/>
          <w:sz w:val="22"/>
          <w:szCs w:val="22"/>
          <w:rtl/>
        </w:rPr>
      </w:pPr>
    </w:p>
    <w:p w14:paraId="371BF1C6" w14:textId="68D2A0FF" w:rsidR="00CB4F33" w:rsidRPr="0054603C" w:rsidRDefault="00CB4F33" w:rsidP="00F26ABB">
      <w:pPr>
        <w:bidi/>
        <w:spacing w:line="360" w:lineRule="auto"/>
        <w:rPr>
          <w:rFonts w:ascii="David" w:hAnsi="David" w:cs="David"/>
          <w:b/>
          <w:bCs/>
          <w:sz w:val="22"/>
          <w:szCs w:val="22"/>
          <w:rtl/>
        </w:rPr>
      </w:pPr>
      <w:r w:rsidRPr="0054603C">
        <w:rPr>
          <w:rFonts w:ascii="David" w:hAnsi="David" w:cs="David" w:hint="cs"/>
          <w:b/>
          <w:bCs/>
          <w:sz w:val="22"/>
          <w:szCs w:val="22"/>
          <w:rtl/>
        </w:rPr>
        <w:t xml:space="preserve">הציונות </w:t>
      </w:r>
      <w:r w:rsidRPr="0054603C">
        <w:rPr>
          <w:rFonts w:ascii="David" w:hAnsi="David" w:cs="David"/>
          <w:b/>
          <w:bCs/>
          <w:sz w:val="22"/>
          <w:szCs w:val="22"/>
          <w:rtl/>
        </w:rPr>
        <w:t>–</w:t>
      </w:r>
      <w:r w:rsidRPr="0054603C">
        <w:rPr>
          <w:rFonts w:ascii="David" w:hAnsi="David" w:cs="David" w:hint="cs"/>
          <w:b/>
          <w:bCs/>
          <w:sz w:val="22"/>
          <w:szCs w:val="22"/>
          <w:rtl/>
        </w:rPr>
        <w:t xml:space="preserve"> גברים בלבד?</w:t>
      </w:r>
    </w:p>
    <w:p w14:paraId="6F408679" w14:textId="6BFC5DFF" w:rsidR="0054603C" w:rsidRDefault="0054603C" w:rsidP="0054603C">
      <w:pPr>
        <w:bidi/>
        <w:spacing w:line="360" w:lineRule="auto"/>
        <w:rPr>
          <w:rFonts w:ascii="David" w:hAnsi="David" w:cs="David"/>
          <w:sz w:val="22"/>
          <w:szCs w:val="22"/>
          <w:rtl/>
        </w:rPr>
      </w:pPr>
    </w:p>
    <w:p w14:paraId="7972DD4C" w14:textId="38CC2998" w:rsidR="00D632B5" w:rsidRDefault="005E1DE1" w:rsidP="00D632B5">
      <w:pPr>
        <w:bidi/>
        <w:spacing w:line="360" w:lineRule="auto"/>
        <w:rPr>
          <w:rFonts w:ascii="David" w:hAnsi="David" w:cs="David"/>
          <w:sz w:val="22"/>
          <w:szCs w:val="22"/>
          <w:rtl/>
        </w:rPr>
      </w:pPr>
      <w:r>
        <w:rPr>
          <w:rFonts w:ascii="David" w:hAnsi="David" w:cs="David" w:hint="cs"/>
          <w:sz w:val="22"/>
          <w:szCs w:val="22"/>
          <w:rtl/>
        </w:rPr>
        <w:t xml:space="preserve">מראשית דרכה הכריזה הציונות על מעמד פוליטי שווה לנשים. למרות זאת, </w:t>
      </w:r>
      <w:r w:rsidR="00D632B5">
        <w:rPr>
          <w:rFonts w:ascii="David" w:hAnsi="David" w:cs="David" w:hint="cs"/>
          <w:sz w:val="22"/>
          <w:szCs w:val="22"/>
          <w:rtl/>
        </w:rPr>
        <w:t>הן נתקלו בקשיים בבואן להגשים את ההבטחה הגלומה בהכרזה זו. ההנחה כי מראשית הציונות היו און וביטחון מזוהים עם גבריות, מקבלת בדברים אלה ביטוי צלול. מהדהדת התפיסה שהיהודייה החדשה בת הגולה, קל וחומר היא אישה מסורתית ״ישנה״ ו״אחרת״, היפוכן של ה״צברה״ בת הארץ. האחרונה ייצגה אם טיפוס חדשה ומהפכנית, אך נוקשה</w:t>
      </w:r>
      <w:r w:rsidR="00D632B5">
        <w:rPr>
          <w:rStyle w:val="a5"/>
          <w:rFonts w:ascii="David" w:hAnsi="David" w:cs="David"/>
          <w:sz w:val="22"/>
          <w:szCs w:val="22"/>
          <w:rtl/>
        </w:rPr>
        <w:footnoteReference w:id="9"/>
      </w:r>
    </w:p>
    <w:p w14:paraId="635BDB56" w14:textId="77777777" w:rsidR="00D632B5" w:rsidRDefault="00D632B5" w:rsidP="00D632B5">
      <w:pPr>
        <w:bidi/>
        <w:spacing w:line="360" w:lineRule="auto"/>
        <w:rPr>
          <w:rFonts w:ascii="David" w:hAnsi="David" w:cs="David"/>
          <w:sz w:val="22"/>
          <w:szCs w:val="22"/>
          <w:rtl/>
        </w:rPr>
      </w:pPr>
    </w:p>
    <w:p w14:paraId="646F5490" w14:textId="72935885" w:rsidR="00CB4F33" w:rsidRDefault="0054603C" w:rsidP="00AC6D20">
      <w:pPr>
        <w:bidi/>
        <w:spacing w:line="360" w:lineRule="auto"/>
        <w:rPr>
          <w:rFonts w:ascii="David" w:hAnsi="David" w:cs="David"/>
          <w:sz w:val="22"/>
          <w:szCs w:val="22"/>
          <w:rtl/>
        </w:rPr>
      </w:pPr>
      <w:r>
        <w:rPr>
          <w:rFonts w:ascii="David" w:hAnsi="David" w:cs="David" w:hint="cs"/>
          <w:sz w:val="22"/>
          <w:szCs w:val="22"/>
          <w:rtl/>
        </w:rPr>
        <w:t>הציונות המדינית, שמשנתה הייתה דומיננטית בתהליך החברתי והמדיני שהוליד את הקמת מדינת ישראל, נוע</w:t>
      </w:r>
      <w:r w:rsidR="00114172">
        <w:rPr>
          <w:rFonts w:ascii="David" w:hAnsi="David" w:cs="David" w:hint="cs"/>
          <w:sz w:val="22"/>
          <w:szCs w:val="22"/>
          <w:rtl/>
        </w:rPr>
        <w:t>ד</w:t>
      </w:r>
      <w:r>
        <w:rPr>
          <w:rFonts w:ascii="David" w:hAnsi="David" w:cs="David" w:hint="cs"/>
          <w:sz w:val="22"/>
          <w:szCs w:val="22"/>
          <w:rtl/>
        </w:rPr>
        <w:t>ה להיות תנועה לשחרור לאומי של העם היהודי. בתוך כך, היא נועדה להיות תנועת השחרור של הגבר היהודי מן הקיום הגלותי. הגלותיות, שממנה נועדה הציונות לגאול את הגבר היהודי, הובנתה בשיח הציוני בתור צורת קיום חסרת תוחלת, לא גברית ולכן גם נשית. כלומר הציונות נועדה לשחרר את הגבר היהודי מן הנשיות העלובה שבה היה לכוד בגולה</w:t>
      </w:r>
      <w:r>
        <w:rPr>
          <w:rStyle w:val="a5"/>
          <w:rFonts w:ascii="David" w:hAnsi="David" w:cs="David"/>
          <w:sz w:val="22"/>
          <w:szCs w:val="22"/>
          <w:rtl/>
        </w:rPr>
        <w:footnoteReference w:id="10"/>
      </w:r>
      <w:r>
        <w:rPr>
          <w:rFonts w:ascii="David" w:hAnsi="David" w:cs="David" w:hint="cs"/>
          <w:sz w:val="22"/>
          <w:szCs w:val="22"/>
          <w:rtl/>
        </w:rPr>
        <w:t>.</w:t>
      </w:r>
    </w:p>
    <w:p w14:paraId="19B7CBB2" w14:textId="3B0E3C5D" w:rsidR="00CD73B3" w:rsidRDefault="00CD73B3" w:rsidP="00CD73B3">
      <w:pPr>
        <w:bidi/>
        <w:spacing w:line="360" w:lineRule="auto"/>
        <w:rPr>
          <w:rFonts w:ascii="David" w:hAnsi="David" w:cs="David"/>
          <w:sz w:val="22"/>
          <w:szCs w:val="22"/>
          <w:rtl/>
        </w:rPr>
      </w:pPr>
    </w:p>
    <w:p w14:paraId="2C2E8750" w14:textId="4C3D38CF" w:rsidR="00CD73B3" w:rsidRDefault="00AB31A2" w:rsidP="00CD73B3">
      <w:pPr>
        <w:bidi/>
        <w:spacing w:line="360" w:lineRule="auto"/>
        <w:rPr>
          <w:rFonts w:ascii="David" w:hAnsi="David" w:cs="David"/>
          <w:sz w:val="22"/>
          <w:szCs w:val="22"/>
          <w:rtl/>
        </w:rPr>
      </w:pPr>
      <w:r>
        <w:rPr>
          <w:rFonts w:ascii="David" w:hAnsi="David" w:cs="David" w:hint="cs"/>
          <w:sz w:val="22"/>
          <w:szCs w:val="22"/>
          <w:rtl/>
        </w:rPr>
        <w:t xml:space="preserve">אמנם לא רק בתנועה הלאומית הציונות הודרו הנשים ומוקמו בשולי העשייה הפוליטית, שכן </w:t>
      </w:r>
      <w:r w:rsidR="00CD73B3">
        <w:rPr>
          <w:rFonts w:ascii="David" w:hAnsi="David" w:cs="David" w:hint="cs"/>
          <w:sz w:val="22"/>
          <w:szCs w:val="22"/>
          <w:rtl/>
        </w:rPr>
        <w:t>הדרת נשים, או נכון יותר ה׳נשי׳, מן הזירה החלוצית הפכה מתוך כך לא רק להחלטה רציונלית-פרקטית הקשורה בכישוריהן הפיזיים או המנטליים של נשים, אלא למניע עקרוני שפעל במודע או שלא במודע, בניסיון להבנות מחדש את המהות ה׳בריאה׳ של העם היהודי</w:t>
      </w:r>
      <w:r>
        <w:rPr>
          <w:rStyle w:val="a5"/>
          <w:rFonts w:ascii="David" w:hAnsi="David" w:cs="David"/>
          <w:sz w:val="22"/>
          <w:szCs w:val="22"/>
          <w:rtl/>
        </w:rPr>
        <w:footnoteReference w:id="11"/>
      </w:r>
      <w:r>
        <w:rPr>
          <w:rFonts w:ascii="David" w:hAnsi="David" w:cs="David" w:hint="cs"/>
          <w:sz w:val="22"/>
          <w:szCs w:val="22"/>
          <w:rtl/>
        </w:rPr>
        <w:t>. כך גם באשר לזיהוי הגבר עם הציבורי ואת האישה עם הפרטי, הבולט בספרות ובפובליציסטיק</w:t>
      </w:r>
      <w:r>
        <w:rPr>
          <w:rFonts w:ascii="David" w:hAnsi="David" w:cs="David" w:hint="eastAsia"/>
          <w:sz w:val="22"/>
          <w:szCs w:val="22"/>
          <w:rtl/>
        </w:rPr>
        <w:t>ה</w:t>
      </w:r>
      <w:r>
        <w:rPr>
          <w:rFonts w:ascii="David" w:hAnsi="David" w:cs="David" w:hint="cs"/>
          <w:sz w:val="22"/>
          <w:szCs w:val="22"/>
          <w:rtl/>
        </w:rPr>
        <w:t xml:space="preserve"> של תחילת המאה העשרים</w:t>
      </w:r>
      <w:r>
        <w:rPr>
          <w:rStyle w:val="a5"/>
          <w:rFonts w:ascii="David" w:hAnsi="David" w:cs="David"/>
          <w:sz w:val="22"/>
          <w:szCs w:val="22"/>
          <w:rtl/>
        </w:rPr>
        <w:footnoteReference w:id="12"/>
      </w:r>
      <w:r>
        <w:rPr>
          <w:rFonts w:ascii="David" w:hAnsi="David" w:cs="David" w:hint="cs"/>
          <w:sz w:val="22"/>
          <w:szCs w:val="22"/>
          <w:rtl/>
        </w:rPr>
        <w:t>.</w:t>
      </w:r>
    </w:p>
    <w:p w14:paraId="63B92D25" w14:textId="77777777" w:rsidR="00AB31A2" w:rsidRDefault="00AB31A2" w:rsidP="00AB31A2">
      <w:pPr>
        <w:bidi/>
        <w:spacing w:line="360" w:lineRule="auto"/>
        <w:rPr>
          <w:rFonts w:ascii="David" w:hAnsi="David" w:cs="David"/>
          <w:sz w:val="22"/>
          <w:szCs w:val="22"/>
          <w:rtl/>
        </w:rPr>
      </w:pPr>
    </w:p>
    <w:p w14:paraId="784EF76C" w14:textId="77777777" w:rsidR="001A7C62" w:rsidRDefault="001A7C62" w:rsidP="00AB31A2">
      <w:pPr>
        <w:bidi/>
        <w:spacing w:line="360" w:lineRule="auto"/>
        <w:rPr>
          <w:rFonts w:ascii="David" w:hAnsi="David" w:cs="David"/>
          <w:b/>
          <w:bCs/>
          <w:sz w:val="22"/>
          <w:szCs w:val="22"/>
          <w:rtl/>
        </w:rPr>
      </w:pPr>
    </w:p>
    <w:p w14:paraId="54578482" w14:textId="77777777" w:rsidR="001A7C62" w:rsidRDefault="001A7C62" w:rsidP="001A7C62">
      <w:pPr>
        <w:bidi/>
        <w:spacing w:line="360" w:lineRule="auto"/>
        <w:rPr>
          <w:rFonts w:ascii="David" w:hAnsi="David" w:cs="David"/>
          <w:b/>
          <w:bCs/>
          <w:sz w:val="22"/>
          <w:szCs w:val="22"/>
          <w:rtl/>
        </w:rPr>
      </w:pPr>
    </w:p>
    <w:p w14:paraId="122F9304" w14:textId="77777777" w:rsidR="001A7C62" w:rsidRDefault="001A7C62" w:rsidP="001A7C62">
      <w:pPr>
        <w:bidi/>
        <w:spacing w:line="360" w:lineRule="auto"/>
        <w:rPr>
          <w:rFonts w:ascii="David" w:hAnsi="David" w:cs="David"/>
          <w:b/>
          <w:bCs/>
          <w:sz w:val="22"/>
          <w:szCs w:val="22"/>
          <w:rtl/>
        </w:rPr>
      </w:pPr>
    </w:p>
    <w:p w14:paraId="7E92C795" w14:textId="77777777" w:rsidR="001A7C62" w:rsidRDefault="001A7C62" w:rsidP="001A7C62">
      <w:pPr>
        <w:bidi/>
        <w:spacing w:line="360" w:lineRule="auto"/>
        <w:rPr>
          <w:rFonts w:ascii="David" w:hAnsi="David" w:cs="David"/>
          <w:b/>
          <w:bCs/>
          <w:sz w:val="22"/>
          <w:szCs w:val="22"/>
          <w:rtl/>
        </w:rPr>
      </w:pPr>
    </w:p>
    <w:p w14:paraId="6D2E6A96" w14:textId="77777777" w:rsidR="001A7C62" w:rsidRDefault="001A7C62" w:rsidP="001A7C62">
      <w:pPr>
        <w:bidi/>
        <w:spacing w:line="360" w:lineRule="auto"/>
        <w:rPr>
          <w:rFonts w:ascii="David" w:hAnsi="David" w:cs="David"/>
          <w:b/>
          <w:bCs/>
          <w:sz w:val="22"/>
          <w:szCs w:val="22"/>
          <w:rtl/>
        </w:rPr>
      </w:pPr>
    </w:p>
    <w:p w14:paraId="4BA6CF58" w14:textId="77777777" w:rsidR="001A7C62" w:rsidRDefault="001A7C62" w:rsidP="001A7C62">
      <w:pPr>
        <w:bidi/>
        <w:spacing w:line="360" w:lineRule="auto"/>
        <w:rPr>
          <w:rFonts w:ascii="David" w:hAnsi="David" w:cs="David"/>
          <w:b/>
          <w:bCs/>
          <w:sz w:val="22"/>
          <w:szCs w:val="22"/>
          <w:rtl/>
        </w:rPr>
      </w:pPr>
    </w:p>
    <w:p w14:paraId="4E91C512" w14:textId="77777777" w:rsidR="001A7C62" w:rsidRDefault="001A7C62" w:rsidP="001A7C62">
      <w:pPr>
        <w:bidi/>
        <w:spacing w:line="360" w:lineRule="auto"/>
        <w:rPr>
          <w:rFonts w:ascii="David" w:hAnsi="David" w:cs="David"/>
          <w:b/>
          <w:bCs/>
          <w:sz w:val="22"/>
          <w:szCs w:val="22"/>
          <w:rtl/>
        </w:rPr>
      </w:pPr>
    </w:p>
    <w:p w14:paraId="075CD033" w14:textId="77777777" w:rsidR="001A7C62" w:rsidRDefault="001A7C62" w:rsidP="001A7C62">
      <w:pPr>
        <w:bidi/>
        <w:spacing w:line="360" w:lineRule="auto"/>
        <w:rPr>
          <w:rFonts w:ascii="David" w:hAnsi="David" w:cs="David"/>
          <w:b/>
          <w:bCs/>
          <w:sz w:val="22"/>
          <w:szCs w:val="22"/>
          <w:rtl/>
        </w:rPr>
      </w:pPr>
    </w:p>
    <w:p w14:paraId="750CD33B" w14:textId="77777777" w:rsidR="001A7C62" w:rsidRDefault="001A7C62" w:rsidP="001A7C62">
      <w:pPr>
        <w:bidi/>
        <w:spacing w:line="360" w:lineRule="auto"/>
        <w:rPr>
          <w:rFonts w:ascii="David" w:hAnsi="David" w:cs="David"/>
          <w:b/>
          <w:bCs/>
          <w:sz w:val="22"/>
          <w:szCs w:val="22"/>
          <w:rtl/>
        </w:rPr>
      </w:pPr>
    </w:p>
    <w:p w14:paraId="781F8FB1" w14:textId="49D71FF7" w:rsidR="001A7C62" w:rsidRDefault="001A7C62" w:rsidP="001A7C62">
      <w:pPr>
        <w:bidi/>
        <w:spacing w:line="360" w:lineRule="auto"/>
        <w:rPr>
          <w:rFonts w:ascii="David" w:hAnsi="David" w:cs="David"/>
          <w:b/>
          <w:bCs/>
          <w:sz w:val="22"/>
          <w:szCs w:val="22"/>
          <w:rtl/>
        </w:rPr>
      </w:pPr>
    </w:p>
    <w:p w14:paraId="5CF224C4" w14:textId="50794B78" w:rsidR="002F11DD" w:rsidRDefault="002F11DD" w:rsidP="002F11DD">
      <w:pPr>
        <w:bidi/>
        <w:spacing w:line="360" w:lineRule="auto"/>
        <w:rPr>
          <w:rFonts w:ascii="David" w:hAnsi="David" w:cs="David"/>
          <w:b/>
          <w:bCs/>
          <w:sz w:val="22"/>
          <w:szCs w:val="22"/>
          <w:rtl/>
        </w:rPr>
      </w:pPr>
    </w:p>
    <w:p w14:paraId="58511362" w14:textId="396179CF" w:rsidR="002F11DD" w:rsidRDefault="002F11DD" w:rsidP="002F11DD">
      <w:pPr>
        <w:bidi/>
        <w:spacing w:line="360" w:lineRule="auto"/>
        <w:rPr>
          <w:rFonts w:ascii="David" w:hAnsi="David" w:cs="David"/>
          <w:b/>
          <w:bCs/>
          <w:sz w:val="22"/>
          <w:szCs w:val="22"/>
          <w:rtl/>
        </w:rPr>
      </w:pPr>
    </w:p>
    <w:p w14:paraId="6B8AC08E" w14:textId="4509F6EE" w:rsidR="002F11DD" w:rsidRDefault="002F11DD" w:rsidP="002F11DD">
      <w:pPr>
        <w:bidi/>
        <w:spacing w:line="360" w:lineRule="auto"/>
        <w:rPr>
          <w:rFonts w:ascii="David" w:hAnsi="David" w:cs="David"/>
          <w:b/>
          <w:bCs/>
          <w:sz w:val="22"/>
          <w:szCs w:val="22"/>
          <w:rtl/>
        </w:rPr>
      </w:pPr>
    </w:p>
    <w:p w14:paraId="2A52DF4E" w14:textId="484D7AD1" w:rsidR="002F11DD" w:rsidRDefault="002F11DD" w:rsidP="002F11DD">
      <w:pPr>
        <w:bidi/>
        <w:spacing w:line="360" w:lineRule="auto"/>
        <w:rPr>
          <w:rFonts w:ascii="David" w:hAnsi="David" w:cs="David"/>
          <w:b/>
          <w:bCs/>
          <w:sz w:val="22"/>
          <w:szCs w:val="22"/>
          <w:rtl/>
        </w:rPr>
      </w:pPr>
    </w:p>
    <w:p w14:paraId="5F6D88B4" w14:textId="082246FF" w:rsidR="002F11DD" w:rsidRDefault="002F11DD" w:rsidP="002F11DD">
      <w:pPr>
        <w:bidi/>
        <w:spacing w:line="360" w:lineRule="auto"/>
        <w:rPr>
          <w:rFonts w:ascii="David" w:hAnsi="David" w:cs="David"/>
          <w:b/>
          <w:bCs/>
          <w:sz w:val="22"/>
          <w:szCs w:val="22"/>
          <w:rtl/>
        </w:rPr>
      </w:pPr>
    </w:p>
    <w:p w14:paraId="260A63CE" w14:textId="77A38E07" w:rsidR="002F11DD" w:rsidRDefault="002F11DD" w:rsidP="002F11DD">
      <w:pPr>
        <w:bidi/>
        <w:spacing w:line="360" w:lineRule="auto"/>
        <w:rPr>
          <w:rFonts w:ascii="David" w:hAnsi="David" w:cs="David"/>
          <w:b/>
          <w:bCs/>
          <w:sz w:val="22"/>
          <w:szCs w:val="22"/>
          <w:rtl/>
        </w:rPr>
      </w:pPr>
    </w:p>
    <w:p w14:paraId="588CAB96" w14:textId="77777777" w:rsidR="002F11DD" w:rsidRDefault="002F11DD" w:rsidP="002F11DD">
      <w:pPr>
        <w:bidi/>
        <w:spacing w:line="360" w:lineRule="auto"/>
        <w:rPr>
          <w:rFonts w:ascii="David" w:hAnsi="David" w:cs="David"/>
          <w:b/>
          <w:bCs/>
          <w:sz w:val="22"/>
          <w:szCs w:val="22"/>
          <w:rtl/>
        </w:rPr>
      </w:pPr>
    </w:p>
    <w:p w14:paraId="1E9972CA" w14:textId="77777777" w:rsidR="00944559" w:rsidRDefault="00944559" w:rsidP="00944559">
      <w:pPr>
        <w:bidi/>
        <w:spacing w:line="360" w:lineRule="auto"/>
        <w:rPr>
          <w:rFonts w:ascii="David" w:hAnsi="David" w:cs="David"/>
          <w:b/>
          <w:bCs/>
          <w:sz w:val="28"/>
          <w:szCs w:val="28"/>
          <w:rtl/>
        </w:rPr>
      </w:pPr>
    </w:p>
    <w:p w14:paraId="3B1222AC" w14:textId="07BDFCD7" w:rsidR="00AB31A2" w:rsidRPr="00406FE6" w:rsidRDefault="001A7C62" w:rsidP="00944559">
      <w:pPr>
        <w:bidi/>
        <w:spacing w:line="360" w:lineRule="auto"/>
        <w:rPr>
          <w:rFonts w:ascii="David" w:hAnsi="David" w:cs="David"/>
          <w:b/>
          <w:bCs/>
          <w:sz w:val="28"/>
          <w:szCs w:val="28"/>
          <w:rtl/>
        </w:rPr>
      </w:pPr>
      <w:r w:rsidRPr="00406FE6">
        <w:rPr>
          <w:rFonts w:ascii="David" w:hAnsi="David" w:cs="David" w:hint="cs"/>
          <w:b/>
          <w:bCs/>
          <w:sz w:val="28"/>
          <w:szCs w:val="28"/>
          <w:rtl/>
        </w:rPr>
        <w:t xml:space="preserve">פרק שני: </w:t>
      </w:r>
      <w:r w:rsidR="00AB31A2" w:rsidRPr="00406FE6">
        <w:rPr>
          <w:rFonts w:ascii="David" w:hAnsi="David" w:cs="David" w:hint="cs"/>
          <w:b/>
          <w:bCs/>
          <w:sz w:val="28"/>
          <w:szCs w:val="28"/>
          <w:rtl/>
        </w:rPr>
        <w:t>זיכרון קולקטיבי</w:t>
      </w:r>
      <w:r w:rsidRPr="00406FE6">
        <w:rPr>
          <w:rFonts w:ascii="David" w:hAnsi="David" w:cs="David" w:hint="cs"/>
          <w:b/>
          <w:bCs/>
          <w:sz w:val="28"/>
          <w:szCs w:val="28"/>
          <w:rtl/>
        </w:rPr>
        <w:t xml:space="preserve"> -</w:t>
      </w:r>
      <w:r w:rsidR="00AB31A2" w:rsidRPr="00406FE6">
        <w:rPr>
          <w:rFonts w:ascii="David" w:hAnsi="David" w:cs="David" w:hint="cs"/>
          <w:b/>
          <w:bCs/>
          <w:sz w:val="28"/>
          <w:szCs w:val="28"/>
          <w:rtl/>
        </w:rPr>
        <w:t xml:space="preserve"> ציוני גברי</w:t>
      </w:r>
      <w:r w:rsidRPr="00406FE6">
        <w:rPr>
          <w:rFonts w:ascii="David" w:hAnsi="David" w:cs="David" w:hint="cs"/>
          <w:b/>
          <w:bCs/>
          <w:sz w:val="28"/>
          <w:szCs w:val="28"/>
          <w:rtl/>
        </w:rPr>
        <w:t>?</w:t>
      </w:r>
    </w:p>
    <w:p w14:paraId="787B1C33" w14:textId="77777777" w:rsidR="00580941" w:rsidRDefault="00580941" w:rsidP="00114172">
      <w:pPr>
        <w:bidi/>
        <w:spacing w:line="360" w:lineRule="auto"/>
        <w:rPr>
          <w:rFonts w:ascii="David" w:hAnsi="David" w:cs="David"/>
          <w:sz w:val="22"/>
          <w:szCs w:val="22"/>
          <w:rtl/>
        </w:rPr>
      </w:pPr>
    </w:p>
    <w:p w14:paraId="74EC166E" w14:textId="17A25E70" w:rsidR="00997AB5" w:rsidRDefault="00997AB5" w:rsidP="00997AB5">
      <w:pPr>
        <w:bidi/>
        <w:spacing w:line="360" w:lineRule="auto"/>
        <w:rPr>
          <w:rFonts w:ascii="David" w:hAnsi="David" w:cs="David"/>
          <w:sz w:val="22"/>
          <w:szCs w:val="22"/>
          <w:rtl/>
        </w:rPr>
      </w:pPr>
      <w:r>
        <w:rPr>
          <w:rFonts w:ascii="David" w:hAnsi="David" w:cs="David" w:hint="cs"/>
          <w:sz w:val="22"/>
          <w:szCs w:val="22"/>
          <w:rtl/>
        </w:rPr>
        <w:t>סוגיית הזיכרון הקיבוצי (הקולקטיבי), קרי האופן שבו החברה תוספת ומבינה את עברה ומפיצה הבנה זו לצורכי ההווה והעתיד, מעוררת עניין בשיח הציבורי הישראלי ובמחקר ההיסטורי. הזיכרון הוא כוח מאחד המספק משמעות, לגיטימיות, לכידות וזהות משותפת לקבוצה או לאוכלוסיית מדינה, וביכולתו לשרטט את קווי המתאר שלהן, את גבולותיהן, ולעצב את דימוי</w:t>
      </w:r>
      <w:r w:rsidR="00DB1019">
        <w:rPr>
          <w:rFonts w:ascii="David" w:hAnsi="David" w:cs="David" w:hint="cs"/>
          <w:sz w:val="22"/>
          <w:szCs w:val="22"/>
          <w:rtl/>
        </w:rPr>
        <w:t>ו</w:t>
      </w:r>
      <w:r>
        <w:rPr>
          <w:rFonts w:ascii="David" w:hAnsi="David" w:cs="David" w:hint="cs"/>
          <w:sz w:val="22"/>
          <w:szCs w:val="22"/>
          <w:rtl/>
        </w:rPr>
        <w:t xml:space="preserve"> העצמי. בחינת הזיכרון של נרטיבים מסוימים מהעבר הלאומי לעומת שכחה והשכחה של אחרים מובילה לבחינה מחדש של גבולות הזהות הלאומית </w:t>
      </w:r>
      <w:r>
        <w:rPr>
          <w:rFonts w:ascii="David" w:hAnsi="David" w:cs="David"/>
          <w:sz w:val="22"/>
          <w:szCs w:val="22"/>
          <w:rtl/>
        </w:rPr>
        <w:t>–</w:t>
      </w:r>
      <w:r>
        <w:rPr>
          <w:rFonts w:ascii="David" w:hAnsi="David" w:cs="David" w:hint="cs"/>
          <w:sz w:val="22"/>
          <w:szCs w:val="22"/>
          <w:rtl/>
        </w:rPr>
        <w:t xml:space="preserve"> מה שנכלל בה ומה שהודר ממנה</w:t>
      </w:r>
      <w:r>
        <w:rPr>
          <w:rStyle w:val="a5"/>
          <w:rFonts w:ascii="David" w:hAnsi="David" w:cs="David"/>
          <w:sz w:val="22"/>
          <w:szCs w:val="22"/>
          <w:rtl/>
        </w:rPr>
        <w:footnoteReference w:id="13"/>
      </w:r>
      <w:r>
        <w:rPr>
          <w:rFonts w:ascii="David" w:hAnsi="David" w:cs="David" w:hint="cs"/>
          <w:sz w:val="22"/>
          <w:szCs w:val="22"/>
          <w:rtl/>
        </w:rPr>
        <w:t>.</w:t>
      </w:r>
    </w:p>
    <w:p w14:paraId="312A9985" w14:textId="77777777" w:rsidR="00997AB5" w:rsidRDefault="00997AB5" w:rsidP="00997AB5">
      <w:pPr>
        <w:bidi/>
        <w:spacing w:line="360" w:lineRule="auto"/>
        <w:rPr>
          <w:rFonts w:ascii="David" w:hAnsi="David" w:cs="David"/>
          <w:sz w:val="22"/>
          <w:szCs w:val="22"/>
          <w:rtl/>
        </w:rPr>
      </w:pPr>
    </w:p>
    <w:p w14:paraId="65E98720" w14:textId="4B0DA4A3" w:rsidR="00114172" w:rsidRDefault="00270C42" w:rsidP="00997AB5">
      <w:pPr>
        <w:bidi/>
        <w:spacing w:line="360" w:lineRule="auto"/>
        <w:rPr>
          <w:rFonts w:ascii="David" w:hAnsi="David" w:cs="David"/>
          <w:sz w:val="22"/>
          <w:szCs w:val="22"/>
          <w:rtl/>
        </w:rPr>
      </w:pPr>
      <w:r>
        <w:rPr>
          <w:rFonts w:ascii="David" w:hAnsi="David" w:cs="David" w:hint="cs"/>
          <w:sz w:val="22"/>
          <w:szCs w:val="22"/>
          <w:rtl/>
        </w:rPr>
        <w:t>דניאל גוטווין רואה בזיכרון הקולקטיבי ״תמונת עבר ההולכת ונבנית תוך מאבק בין סוכני זיכרון מתחרים... עושים שימוש מניפולטיבי בעבר ומעצבים זכרונות סותרים כאמצעי לקביעת סדר היום הלאומי</w:t>
      </w:r>
      <w:r>
        <w:rPr>
          <w:rStyle w:val="a5"/>
          <w:rFonts w:ascii="David" w:hAnsi="David" w:cs="David"/>
          <w:sz w:val="22"/>
          <w:szCs w:val="22"/>
          <w:rtl/>
        </w:rPr>
        <w:footnoteReference w:id="14"/>
      </w:r>
      <w:r w:rsidR="00580941">
        <w:rPr>
          <w:rFonts w:ascii="David" w:hAnsi="David" w:cs="David" w:hint="cs"/>
          <w:sz w:val="22"/>
          <w:szCs w:val="22"/>
          <w:rtl/>
        </w:rPr>
        <w:t xml:space="preserve">. </w:t>
      </w:r>
      <w:r w:rsidR="00580941">
        <w:rPr>
          <w:rFonts w:cs="David" w:hint="cs"/>
          <w:spacing w:val="4"/>
          <w:sz w:val="22"/>
          <w:szCs w:val="22"/>
          <w:rtl/>
        </w:rPr>
        <w:t xml:space="preserve">וכפי שמגדירה עדית זרטל את הזיכרון הקולקטיבי, </w:t>
      </w:r>
      <w:r w:rsidR="00580941" w:rsidRPr="00580941">
        <w:rPr>
          <w:rFonts w:cs="David" w:hint="cs"/>
          <w:spacing w:val="4"/>
          <w:sz w:val="22"/>
          <w:szCs w:val="22"/>
          <w:rtl/>
        </w:rPr>
        <w:t>יצירת תחושות הלאומיות וה</w:t>
      </w:r>
      <w:r w:rsidR="00580941" w:rsidRPr="00580941">
        <w:rPr>
          <w:rFonts w:cs="David"/>
          <w:spacing w:val="4"/>
          <w:sz w:val="22"/>
          <w:szCs w:val="22"/>
          <w:rtl/>
        </w:rPr>
        <w:t xml:space="preserve">זהות קולקטיבית </w:t>
      </w:r>
      <w:r w:rsidR="00580941" w:rsidRPr="00580941">
        <w:rPr>
          <w:rFonts w:cs="David" w:hint="cs"/>
          <w:spacing w:val="4"/>
          <w:sz w:val="22"/>
          <w:szCs w:val="22"/>
          <w:rtl/>
        </w:rPr>
        <w:t>מחייבות, לפיכך את הבנייתו ותחזוקו המתמיד של ה</w:t>
      </w:r>
      <w:r w:rsidR="00580941" w:rsidRPr="00580941">
        <w:rPr>
          <w:rFonts w:cs="David"/>
          <w:spacing w:val="4"/>
          <w:sz w:val="22"/>
          <w:szCs w:val="22"/>
          <w:rtl/>
        </w:rPr>
        <w:t xml:space="preserve">זיכרון </w:t>
      </w:r>
      <w:r w:rsidR="00580941" w:rsidRPr="00580941">
        <w:rPr>
          <w:rFonts w:cs="David" w:hint="cs"/>
          <w:spacing w:val="4"/>
          <w:sz w:val="22"/>
          <w:szCs w:val="22"/>
          <w:rtl/>
        </w:rPr>
        <w:t>ה</w:t>
      </w:r>
      <w:r w:rsidR="00580941" w:rsidRPr="00580941">
        <w:rPr>
          <w:rFonts w:cs="David"/>
          <w:spacing w:val="4"/>
          <w:sz w:val="22"/>
          <w:szCs w:val="22"/>
          <w:rtl/>
        </w:rPr>
        <w:t>משותף</w:t>
      </w:r>
      <w:r w:rsidR="00580941" w:rsidRPr="00580941">
        <w:rPr>
          <w:rFonts w:cs="David" w:hint="cs"/>
          <w:spacing w:val="4"/>
          <w:sz w:val="22"/>
          <w:szCs w:val="22"/>
          <w:rtl/>
        </w:rPr>
        <w:t xml:space="preserve">. יצירת אותה </w:t>
      </w:r>
      <w:r w:rsidR="00580941" w:rsidRPr="00580941">
        <w:rPr>
          <w:rFonts w:cs="David"/>
          <w:spacing w:val="4"/>
          <w:sz w:val="22"/>
          <w:szCs w:val="22"/>
          <w:rtl/>
        </w:rPr>
        <w:t>"מציאות חברתית, מוצר פוליטי, תרבותי, המעוצב ולובש צורה בתוך מערכת המשתנים והאינטרסים הפוליטיים והחברתיים של קהילה נתונה</w:t>
      </w:r>
      <w:r w:rsidR="00DB1019">
        <w:rPr>
          <w:rFonts w:cs="David" w:hint="cs"/>
          <w:spacing w:val="4"/>
          <w:sz w:val="22"/>
          <w:szCs w:val="22"/>
          <w:rtl/>
        </w:rPr>
        <w:t>״</w:t>
      </w:r>
      <w:r w:rsidR="00580941">
        <w:rPr>
          <w:rStyle w:val="a5"/>
          <w:rFonts w:ascii="David" w:hAnsi="David" w:cs="David"/>
          <w:sz w:val="22"/>
          <w:szCs w:val="22"/>
          <w:rtl/>
        </w:rPr>
        <w:footnoteReference w:id="15"/>
      </w:r>
      <w:r w:rsidR="001A7C62">
        <w:rPr>
          <w:rFonts w:ascii="David" w:hAnsi="David" w:cs="David" w:hint="cs"/>
          <w:sz w:val="22"/>
          <w:szCs w:val="22"/>
          <w:rtl/>
        </w:rPr>
        <w:t>.</w:t>
      </w:r>
    </w:p>
    <w:p w14:paraId="6E5A7132" w14:textId="1EB57E08" w:rsidR="001A7C62" w:rsidRDefault="001A7C62" w:rsidP="001A7C62">
      <w:pPr>
        <w:bidi/>
        <w:spacing w:line="360" w:lineRule="auto"/>
        <w:rPr>
          <w:rFonts w:ascii="David" w:hAnsi="David" w:cs="David"/>
          <w:sz w:val="22"/>
          <w:szCs w:val="22"/>
          <w:rtl/>
        </w:rPr>
      </w:pPr>
    </w:p>
    <w:p w14:paraId="33B0BDEB" w14:textId="1439E3F0" w:rsidR="001A7C62" w:rsidRDefault="001A7C62" w:rsidP="001A7C62">
      <w:pPr>
        <w:bidi/>
        <w:spacing w:line="360" w:lineRule="auto"/>
        <w:rPr>
          <w:rFonts w:ascii="David" w:hAnsi="David" w:cs="David"/>
          <w:sz w:val="22"/>
          <w:szCs w:val="22"/>
          <w:rtl/>
        </w:rPr>
      </w:pPr>
      <w:r>
        <w:rPr>
          <w:rFonts w:ascii="David" w:hAnsi="David" w:cs="David" w:hint="cs"/>
          <w:sz w:val="22"/>
          <w:szCs w:val="22"/>
          <w:rtl/>
        </w:rPr>
        <w:t xml:space="preserve">בחברה הישראלית, כמו בכל חברה, יש התגוששות מתמדת על הבניית השיח והזיכרון הקולקטיבי בין קבוצות שונות הנאבקות על שליטה והשפעה. במקרה הנדון, המאבק הוא בין סימני זיכרון גבריים לנשיים. לעומת שפע של דמויות מיתיות גבריות בסיפור הציוני, מספרן של הנשים הלאומיות מועט. ״הזיכרון הקולקטיבי משכיח אותם יסודות הסותרים בעליל את התודעה ה׳רצויה׳ לקולקטיב. כלומר, קיים פער מסוים בין עברו של הקולקטיב כשהוא לעצמו לבין ׳עברו׳, כפי שהוא מעוצב על ידיו </w:t>
      </w:r>
      <w:proofErr w:type="spellStart"/>
      <w:r>
        <w:rPr>
          <w:rFonts w:ascii="David" w:hAnsi="David" w:cs="David" w:hint="cs"/>
          <w:sz w:val="22"/>
          <w:szCs w:val="22"/>
          <w:rtl/>
        </w:rPr>
        <w:t>בזכרונו</w:t>
      </w:r>
      <w:proofErr w:type="spellEnd"/>
      <w:r>
        <w:rPr>
          <w:rFonts w:ascii="David" w:hAnsi="David" w:cs="David" w:hint="cs"/>
          <w:sz w:val="22"/>
          <w:szCs w:val="22"/>
          <w:rtl/>
        </w:rPr>
        <w:t>״</w:t>
      </w:r>
      <w:r>
        <w:rPr>
          <w:rStyle w:val="a5"/>
          <w:rFonts w:ascii="David" w:hAnsi="David" w:cs="David"/>
          <w:sz w:val="22"/>
          <w:szCs w:val="22"/>
          <w:rtl/>
        </w:rPr>
        <w:footnoteReference w:id="16"/>
      </w:r>
      <w:r>
        <w:rPr>
          <w:rFonts w:ascii="David" w:hAnsi="David" w:cs="David" w:hint="cs"/>
          <w:sz w:val="22"/>
          <w:szCs w:val="22"/>
          <w:rtl/>
        </w:rPr>
        <w:t>.</w:t>
      </w:r>
    </w:p>
    <w:p w14:paraId="0BEA3D3E" w14:textId="64B0BCC7" w:rsidR="00527088" w:rsidRDefault="00527088" w:rsidP="00527088">
      <w:pPr>
        <w:bidi/>
        <w:spacing w:line="360" w:lineRule="auto"/>
        <w:rPr>
          <w:rFonts w:ascii="David" w:hAnsi="David" w:cs="David"/>
          <w:sz w:val="22"/>
          <w:szCs w:val="22"/>
          <w:rtl/>
        </w:rPr>
      </w:pPr>
    </w:p>
    <w:p w14:paraId="6B4707B7" w14:textId="3E8725F2" w:rsidR="00527088" w:rsidRDefault="00527088" w:rsidP="00527088">
      <w:pPr>
        <w:bidi/>
        <w:spacing w:line="360" w:lineRule="auto"/>
        <w:rPr>
          <w:rFonts w:ascii="David" w:hAnsi="David" w:cs="David"/>
          <w:sz w:val="22"/>
          <w:szCs w:val="22"/>
          <w:rtl/>
        </w:rPr>
      </w:pPr>
      <w:r>
        <w:rPr>
          <w:rFonts w:ascii="David" w:hAnsi="David" w:cs="David" w:hint="cs"/>
          <w:sz w:val="22"/>
          <w:szCs w:val="22"/>
          <w:rtl/>
        </w:rPr>
        <w:lastRenderedPageBreak/>
        <w:t>הטענה הרווחת היא כי הזיכרון הקיבוצי היה בעיקר מרכזי או ממלכתי, מאחר והוא הומצא בידי אליטה פוליטית-תרבותית</w:t>
      </w:r>
      <w:r w:rsidR="00607DF3">
        <w:rPr>
          <w:rFonts w:ascii="David" w:hAnsi="David" w:cs="David" w:hint="cs"/>
          <w:sz w:val="22"/>
          <w:szCs w:val="22"/>
          <w:rtl/>
        </w:rPr>
        <w:t xml:space="preserve"> הנתפסת כאחידה והמזוהה עם הממס</w:t>
      </w:r>
      <w:r w:rsidR="00081AE5">
        <w:rPr>
          <w:rFonts w:ascii="David" w:hAnsi="David" w:cs="David" w:hint="cs"/>
          <w:sz w:val="22"/>
          <w:szCs w:val="22"/>
          <w:rtl/>
        </w:rPr>
        <w:t>ד.</w:t>
      </w:r>
      <w:r w:rsidR="00607DF3">
        <w:rPr>
          <w:rFonts w:ascii="David" w:hAnsi="David" w:cs="David" w:hint="cs"/>
          <w:sz w:val="22"/>
          <w:szCs w:val="22"/>
          <w:rtl/>
        </w:rPr>
        <w:t xml:space="preserve"> בחינתו המחודשת של הזיכרון הלאומי, אופני ההנצחה והשימור של נרטיבים מסוימים לעומת השכחת אחרים, היא גם בחינה מחודשת של גבולות הזהות הלאומית, כך שהדיון בזיכרון חייב לכלול בתוכו את האופן בו עיבו תפיסות מגדריות וזהויות את מושאי הזיכרון הקיבוצי, את הפרקטיקות של זיכרון והשכחה, ואף את הפנתיאון הלאומי של גיבורים וגיבורות</w:t>
      </w:r>
      <w:r w:rsidR="00607DF3">
        <w:rPr>
          <w:rStyle w:val="a5"/>
          <w:rFonts w:ascii="David" w:hAnsi="David" w:cs="David"/>
          <w:sz w:val="22"/>
          <w:szCs w:val="22"/>
          <w:rtl/>
        </w:rPr>
        <w:footnoteReference w:id="17"/>
      </w:r>
      <w:r w:rsidR="00607DF3">
        <w:rPr>
          <w:rFonts w:ascii="David" w:hAnsi="David" w:cs="David" w:hint="cs"/>
          <w:sz w:val="22"/>
          <w:szCs w:val="22"/>
          <w:rtl/>
        </w:rPr>
        <w:t>.</w:t>
      </w:r>
    </w:p>
    <w:p w14:paraId="41E6800D" w14:textId="42CB5D0C" w:rsidR="001A7C62" w:rsidRDefault="001A7C62" w:rsidP="001A7C62">
      <w:pPr>
        <w:bidi/>
        <w:spacing w:line="360" w:lineRule="auto"/>
        <w:rPr>
          <w:rFonts w:ascii="David" w:hAnsi="David" w:cs="David"/>
          <w:sz w:val="22"/>
          <w:szCs w:val="22"/>
          <w:rtl/>
        </w:rPr>
      </w:pPr>
    </w:p>
    <w:p w14:paraId="70FCA12B" w14:textId="77777777" w:rsidR="00114172" w:rsidRDefault="00114172" w:rsidP="00114172">
      <w:pPr>
        <w:bidi/>
        <w:spacing w:line="360" w:lineRule="auto"/>
        <w:rPr>
          <w:rFonts w:ascii="David" w:hAnsi="David" w:cs="David"/>
          <w:sz w:val="22"/>
          <w:szCs w:val="22"/>
          <w:rtl/>
        </w:rPr>
      </w:pPr>
    </w:p>
    <w:p w14:paraId="47C82968" w14:textId="77777777" w:rsidR="00D632B5" w:rsidRDefault="00D632B5" w:rsidP="009F58D4">
      <w:pPr>
        <w:bidi/>
        <w:spacing w:line="360" w:lineRule="auto"/>
        <w:rPr>
          <w:rFonts w:ascii="David" w:hAnsi="David" w:cs="David"/>
          <w:sz w:val="22"/>
          <w:szCs w:val="22"/>
          <w:rtl/>
        </w:rPr>
      </w:pPr>
    </w:p>
    <w:p w14:paraId="3F75DCD5" w14:textId="27A5BF02" w:rsidR="0054603C" w:rsidRDefault="0054603C" w:rsidP="0054603C">
      <w:pPr>
        <w:bidi/>
        <w:spacing w:line="360" w:lineRule="auto"/>
        <w:rPr>
          <w:rFonts w:ascii="David" w:hAnsi="David" w:cs="David"/>
          <w:sz w:val="22"/>
          <w:szCs w:val="22"/>
          <w:rtl/>
        </w:rPr>
      </w:pPr>
    </w:p>
    <w:p w14:paraId="1C9D6B39" w14:textId="61C79100" w:rsidR="0054603C" w:rsidRDefault="0054603C" w:rsidP="0054603C">
      <w:pPr>
        <w:bidi/>
        <w:spacing w:line="360" w:lineRule="auto"/>
        <w:rPr>
          <w:rFonts w:ascii="David" w:hAnsi="David" w:cs="David"/>
          <w:sz w:val="22"/>
          <w:szCs w:val="22"/>
          <w:rtl/>
        </w:rPr>
      </w:pPr>
    </w:p>
    <w:p w14:paraId="40128FE8" w14:textId="23278822" w:rsidR="00081AE5" w:rsidRDefault="00081AE5" w:rsidP="00081AE5">
      <w:pPr>
        <w:bidi/>
        <w:spacing w:line="360" w:lineRule="auto"/>
        <w:rPr>
          <w:rFonts w:ascii="David" w:hAnsi="David" w:cs="David"/>
          <w:sz w:val="22"/>
          <w:szCs w:val="22"/>
          <w:rtl/>
        </w:rPr>
      </w:pPr>
    </w:p>
    <w:p w14:paraId="3E9E3374" w14:textId="77777777" w:rsidR="00081AE5" w:rsidRPr="003C65A4" w:rsidRDefault="00081AE5" w:rsidP="00081AE5">
      <w:pPr>
        <w:bidi/>
        <w:spacing w:line="360" w:lineRule="auto"/>
        <w:rPr>
          <w:rFonts w:ascii="David" w:hAnsi="David" w:cs="David"/>
          <w:sz w:val="22"/>
          <w:szCs w:val="22"/>
          <w:rtl/>
        </w:rPr>
      </w:pPr>
    </w:p>
    <w:p w14:paraId="453A7E75" w14:textId="77777777" w:rsidR="0017310A" w:rsidRPr="00ED5D23" w:rsidRDefault="0017310A" w:rsidP="0017310A">
      <w:pPr>
        <w:bidi/>
        <w:spacing w:line="360" w:lineRule="auto"/>
        <w:rPr>
          <w:rFonts w:ascii="David" w:hAnsi="David" w:cs="David"/>
          <w:b/>
          <w:bCs/>
          <w:sz w:val="22"/>
          <w:szCs w:val="22"/>
          <w:rtl/>
        </w:rPr>
      </w:pPr>
    </w:p>
    <w:p w14:paraId="407FBCE2" w14:textId="021EF95D" w:rsidR="00B55659" w:rsidRPr="005D10B2" w:rsidRDefault="00C037B2" w:rsidP="004E0400">
      <w:pPr>
        <w:bidi/>
        <w:spacing w:line="360" w:lineRule="auto"/>
        <w:rPr>
          <w:rFonts w:ascii="David" w:hAnsi="David" w:cs="David"/>
          <w:b/>
          <w:bCs/>
          <w:sz w:val="28"/>
          <w:szCs w:val="28"/>
          <w:rtl/>
        </w:rPr>
      </w:pPr>
      <w:r w:rsidRPr="005D10B2">
        <w:rPr>
          <w:rFonts w:ascii="David" w:hAnsi="David" w:cs="David" w:hint="cs"/>
          <w:b/>
          <w:bCs/>
          <w:sz w:val="28"/>
          <w:szCs w:val="28"/>
          <w:rtl/>
        </w:rPr>
        <w:t>פרק שלישי: שרה אהרונסון</w:t>
      </w:r>
    </w:p>
    <w:p w14:paraId="795108D3" w14:textId="34CC6EA8" w:rsidR="00C037B2" w:rsidRDefault="00C037B2" w:rsidP="00C037B2">
      <w:pPr>
        <w:bidi/>
        <w:spacing w:line="360" w:lineRule="auto"/>
        <w:rPr>
          <w:rFonts w:ascii="David" w:hAnsi="David" w:cs="David"/>
          <w:sz w:val="22"/>
          <w:szCs w:val="22"/>
          <w:rtl/>
        </w:rPr>
      </w:pPr>
    </w:p>
    <w:p w14:paraId="21BDF215" w14:textId="18FDADDC" w:rsidR="00C037B2" w:rsidRDefault="007A1C58" w:rsidP="00C037B2">
      <w:pPr>
        <w:bidi/>
        <w:spacing w:line="360" w:lineRule="auto"/>
        <w:rPr>
          <w:rFonts w:ascii="David" w:hAnsi="David" w:cs="David"/>
          <w:sz w:val="22"/>
          <w:szCs w:val="22"/>
          <w:rtl/>
        </w:rPr>
      </w:pPr>
      <w:r>
        <w:rPr>
          <w:rFonts w:ascii="David" w:hAnsi="David" w:cs="David" w:hint="cs"/>
          <w:sz w:val="22"/>
          <w:szCs w:val="22"/>
          <w:rtl/>
        </w:rPr>
        <w:t xml:space="preserve">שרה אהרונסון נולדה בזכרון יעקב בשנת 1890, למשפחת איכרים בני העלייה הראשונה. </w:t>
      </w:r>
      <w:r w:rsidR="000522A2">
        <w:rPr>
          <w:rFonts w:ascii="David" w:hAnsi="David" w:cs="David" w:hint="cs"/>
          <w:sz w:val="22"/>
          <w:szCs w:val="22"/>
          <w:rtl/>
        </w:rPr>
        <w:t>היא הביאה עמה סיפור זוועה חסר תקדים: הנסיעה ברכבת מקונסטנטינופול נמשכה שלושה שבועות תמימים, ובדרך ראתה כיצד הטורקים רוצחים המוני ארמנים לאורך המסילה</w:t>
      </w:r>
      <w:r w:rsidR="000522A2">
        <w:rPr>
          <w:rStyle w:val="a5"/>
          <w:rFonts w:ascii="David" w:hAnsi="David" w:cs="David"/>
          <w:sz w:val="22"/>
          <w:szCs w:val="22"/>
          <w:rtl/>
        </w:rPr>
        <w:footnoteReference w:id="18"/>
      </w:r>
      <w:r w:rsidR="000522A2">
        <w:rPr>
          <w:rFonts w:ascii="David" w:hAnsi="David" w:cs="David" w:hint="cs"/>
          <w:sz w:val="22"/>
          <w:szCs w:val="22"/>
          <w:rtl/>
        </w:rPr>
        <w:t>. חוויה מעצבת זו של שרה שבה ועלתה פעמים רבות במהלך פעילותה. היא ראתה עם שלם, חסר אונים, כמעט ללא התנגדות. אימת ההשמדה של הארמנים בערה בחבורת ניל״י</w:t>
      </w:r>
      <w:r w:rsidR="00955361">
        <w:rPr>
          <w:rStyle w:val="a5"/>
          <w:rFonts w:ascii="David" w:hAnsi="David" w:cs="David"/>
          <w:sz w:val="22"/>
          <w:szCs w:val="22"/>
          <w:rtl/>
        </w:rPr>
        <w:footnoteReference w:id="19"/>
      </w:r>
      <w:r w:rsidR="00955361">
        <w:rPr>
          <w:rFonts w:ascii="David" w:hAnsi="David" w:cs="David" w:hint="cs"/>
          <w:sz w:val="22"/>
          <w:szCs w:val="22"/>
          <w:rtl/>
        </w:rPr>
        <w:t>. אהרון, כששמע את סיפורה של שרה, ראה את האיום בגורל דומה שמרחף מעל ראשו של היישוב היהודי, דבר שהיווה בעיניו הכרח להיאבק במשטר הטורקי, למרות הרעיון לתמיכה בבריטים עלה אף קודם לכן</w:t>
      </w:r>
      <w:r w:rsidR="00955361">
        <w:rPr>
          <w:rStyle w:val="a5"/>
          <w:rFonts w:ascii="David" w:hAnsi="David" w:cs="David"/>
          <w:sz w:val="22"/>
          <w:szCs w:val="22"/>
          <w:rtl/>
        </w:rPr>
        <w:footnoteReference w:id="20"/>
      </w:r>
      <w:r w:rsidR="005D10B2">
        <w:rPr>
          <w:rFonts w:ascii="David" w:hAnsi="David" w:cs="David" w:hint="cs"/>
          <w:sz w:val="22"/>
          <w:szCs w:val="22"/>
          <w:rtl/>
        </w:rPr>
        <w:t>.</w:t>
      </w:r>
    </w:p>
    <w:p w14:paraId="5703812D" w14:textId="3C7F744A" w:rsidR="00E5582D" w:rsidRDefault="00E5582D" w:rsidP="00E5582D">
      <w:pPr>
        <w:bidi/>
        <w:spacing w:line="360" w:lineRule="auto"/>
        <w:rPr>
          <w:rFonts w:ascii="David" w:hAnsi="David" w:cs="David"/>
          <w:sz w:val="22"/>
          <w:szCs w:val="22"/>
          <w:rtl/>
        </w:rPr>
      </w:pPr>
    </w:p>
    <w:p w14:paraId="009D05AA" w14:textId="4A0E29C8" w:rsidR="00E5582D" w:rsidRDefault="00E5582D" w:rsidP="00E5582D">
      <w:pPr>
        <w:bidi/>
        <w:spacing w:line="360" w:lineRule="auto"/>
        <w:rPr>
          <w:rFonts w:ascii="David" w:hAnsi="David" w:cs="David"/>
          <w:sz w:val="22"/>
          <w:szCs w:val="22"/>
          <w:rtl/>
        </w:rPr>
      </w:pPr>
      <w:r>
        <w:rPr>
          <w:rFonts w:ascii="David" w:hAnsi="David" w:cs="David" w:hint="cs"/>
          <w:sz w:val="22"/>
          <w:szCs w:val="22"/>
          <w:rtl/>
        </w:rPr>
        <w:t>כך למעשה, עם הגעתה לארץ, השתלבה שרה בפעילות ניל״י</w:t>
      </w:r>
      <w:r w:rsidR="004519F8">
        <w:rPr>
          <w:rFonts w:ascii="David" w:hAnsi="David" w:cs="David" w:hint="cs"/>
          <w:sz w:val="22"/>
          <w:szCs w:val="22"/>
          <w:rtl/>
        </w:rPr>
        <w:t>. כשהיא לומדת על ניל״י, אין היא מהססת לרגע ובמלוא מרצה הסוער היא מתנפלת אל תוך העבודה. הבטחה לחזור לבעלה נהייתה קשה כעבור מספר חודשים, נשכחת. עד מהרה היא הופכת לאחד מעמודי התווך של עבודת ניל״י</w:t>
      </w:r>
      <w:r w:rsidR="004519F8">
        <w:rPr>
          <w:rStyle w:val="a5"/>
          <w:rFonts w:ascii="David" w:hAnsi="David" w:cs="David"/>
          <w:sz w:val="22"/>
          <w:szCs w:val="22"/>
          <w:rtl/>
        </w:rPr>
        <w:footnoteReference w:id="21"/>
      </w:r>
      <w:r w:rsidR="004519F8">
        <w:rPr>
          <w:rFonts w:ascii="David" w:hAnsi="David" w:cs="David" w:hint="cs"/>
          <w:sz w:val="22"/>
          <w:szCs w:val="22"/>
          <w:rtl/>
        </w:rPr>
        <w:t>.</w:t>
      </w:r>
      <w:r w:rsidR="008A52C3">
        <w:rPr>
          <w:rFonts w:ascii="David" w:hAnsi="David" w:cs="David" w:hint="cs"/>
          <w:sz w:val="22"/>
          <w:szCs w:val="22"/>
          <w:rtl/>
        </w:rPr>
        <w:t xml:space="preserve"> הפירוש החדש של נשיות לאומיות לא הצטמצם רק למישור התיאטרלי והוא חלק ממכלול פעולותיה של שרה אהרונסון ומביקורתה הנוקבת על אידיאולוגיית המגדר המסורתית. אהרון אהרונסון מספר ביומנו כי ההקרבה העצמית כלל לא היוותה גורם מונע מבחינת שרה, אלא רק הקרבה והסתכנות בעלי משמעות לאומית</w:t>
      </w:r>
      <w:r w:rsidR="008A52C3">
        <w:rPr>
          <w:rStyle w:val="a5"/>
          <w:rFonts w:ascii="David" w:hAnsi="David" w:cs="David"/>
          <w:sz w:val="22"/>
          <w:szCs w:val="22"/>
          <w:rtl/>
        </w:rPr>
        <w:footnoteReference w:id="22"/>
      </w:r>
      <w:r w:rsidR="008A52C3">
        <w:rPr>
          <w:rFonts w:ascii="David" w:hAnsi="David" w:cs="David" w:hint="cs"/>
          <w:sz w:val="22"/>
          <w:szCs w:val="22"/>
          <w:rtl/>
        </w:rPr>
        <w:t>.</w:t>
      </w:r>
    </w:p>
    <w:p w14:paraId="2DAD0C46" w14:textId="62BCA255" w:rsidR="007A1C58" w:rsidRDefault="007A1C58" w:rsidP="007A1C58">
      <w:pPr>
        <w:bidi/>
        <w:spacing w:line="360" w:lineRule="auto"/>
        <w:rPr>
          <w:rFonts w:ascii="David" w:hAnsi="David" w:cs="David"/>
          <w:sz w:val="22"/>
          <w:szCs w:val="22"/>
          <w:rtl/>
        </w:rPr>
      </w:pPr>
    </w:p>
    <w:p w14:paraId="79AC8CF6" w14:textId="2F6C9E79" w:rsidR="007A1C58" w:rsidRDefault="007A1C58" w:rsidP="007A1C58">
      <w:pPr>
        <w:bidi/>
        <w:spacing w:line="360" w:lineRule="auto"/>
        <w:rPr>
          <w:rFonts w:ascii="David" w:hAnsi="David" w:cs="David"/>
          <w:sz w:val="22"/>
          <w:szCs w:val="22"/>
          <w:rtl/>
        </w:rPr>
      </w:pPr>
      <w:r>
        <w:rPr>
          <w:rFonts w:ascii="David" w:hAnsi="David" w:cs="David" w:hint="cs"/>
          <w:sz w:val="22"/>
          <w:szCs w:val="22"/>
          <w:rtl/>
        </w:rPr>
        <w:t xml:space="preserve">המאפיין הבולט ביותר </w:t>
      </w:r>
      <w:r w:rsidR="000522A2">
        <w:rPr>
          <w:rFonts w:ascii="David" w:hAnsi="David" w:cs="David" w:hint="cs"/>
          <w:sz w:val="22"/>
          <w:szCs w:val="22"/>
          <w:rtl/>
        </w:rPr>
        <w:t xml:space="preserve">בעיצוב הזיכרון של חיי שרה אהרונסון ושל מותה הוא הזיהוי ביו לאומיות לאקטיביות ולנשיות. זיהוי זה בא לידי ביטוי, בראש ובראשונה, במרכזיותה של אהרונסון בנרטיבים השונים והמגוונים של תולדות קבוצת ניל״י </w:t>
      </w:r>
      <w:r w:rsidR="000522A2">
        <w:rPr>
          <w:rFonts w:ascii="David" w:hAnsi="David" w:cs="David"/>
          <w:sz w:val="22"/>
          <w:szCs w:val="22"/>
          <w:rtl/>
        </w:rPr>
        <w:t>–</w:t>
      </w:r>
      <w:r w:rsidR="000522A2">
        <w:rPr>
          <w:rFonts w:ascii="David" w:hAnsi="David" w:cs="David" w:hint="cs"/>
          <w:sz w:val="22"/>
          <w:szCs w:val="22"/>
          <w:rtl/>
        </w:rPr>
        <w:t xml:space="preserve"> עלייתה, פעילותה ונפילתה. בעלילה הטיפוסית לשנות השלושים והארבעים הופיעו כמובן הדמויות הגבריות המרכזיות במחתרת האנטי עות׳מאנית:</w:t>
      </w:r>
      <w:r w:rsidR="000522A2">
        <w:rPr>
          <w:rFonts w:ascii="David" w:hAnsi="David" w:cs="David" w:hint="cs"/>
          <w:sz w:val="22"/>
          <w:szCs w:val="22"/>
        </w:rPr>
        <w:t xml:space="preserve"> </w:t>
      </w:r>
      <w:r w:rsidR="000522A2">
        <w:rPr>
          <w:rFonts w:ascii="David" w:hAnsi="David" w:cs="David" w:hint="cs"/>
          <w:sz w:val="22"/>
          <w:szCs w:val="22"/>
          <w:rtl/>
        </w:rPr>
        <w:t xml:space="preserve">אהרון אהרונסון ואבשלום פיינברג, ושניהם יוצגו כמודלים של גבריות ארץ ישראלית. ואולם שרה אהרונסון, </w:t>
      </w:r>
      <w:r w:rsidR="000522A2">
        <w:rPr>
          <w:rFonts w:ascii="David" w:hAnsi="David" w:cs="David" w:hint="cs"/>
          <w:sz w:val="22"/>
          <w:szCs w:val="22"/>
          <w:rtl/>
        </w:rPr>
        <w:lastRenderedPageBreak/>
        <w:t>האישה היחידה בהנהגה, ומי שניהלה אותה ואת הרשת הרחבה יותר שתמכה בתנועת ניל״י, הייתה היחידה מבין הפעילין שהועלתה למדרגה של קורבן ושל מודל להתנהגות לאומית</w:t>
      </w:r>
      <w:r w:rsidR="000522A2">
        <w:rPr>
          <w:rStyle w:val="a5"/>
          <w:rFonts w:ascii="David" w:hAnsi="David" w:cs="David"/>
          <w:sz w:val="22"/>
          <w:szCs w:val="22"/>
          <w:rtl/>
        </w:rPr>
        <w:footnoteReference w:id="23"/>
      </w:r>
      <w:r w:rsidR="008A52C3">
        <w:rPr>
          <w:rFonts w:ascii="David" w:hAnsi="David" w:cs="David" w:hint="cs"/>
          <w:sz w:val="22"/>
          <w:szCs w:val="22"/>
          <w:rtl/>
        </w:rPr>
        <w:t>.</w:t>
      </w:r>
    </w:p>
    <w:p w14:paraId="750845FF" w14:textId="597230C3" w:rsidR="008A52C3" w:rsidRDefault="008A52C3" w:rsidP="008A52C3">
      <w:pPr>
        <w:bidi/>
        <w:spacing w:line="360" w:lineRule="auto"/>
        <w:rPr>
          <w:rFonts w:ascii="David" w:hAnsi="David" w:cs="David"/>
          <w:sz w:val="22"/>
          <w:szCs w:val="22"/>
          <w:rtl/>
        </w:rPr>
      </w:pPr>
    </w:p>
    <w:p w14:paraId="0CC57CB0" w14:textId="0F95BCF8" w:rsidR="008A52C3" w:rsidRDefault="008A52C3" w:rsidP="008A52C3">
      <w:pPr>
        <w:bidi/>
        <w:spacing w:line="360" w:lineRule="auto"/>
        <w:rPr>
          <w:rFonts w:ascii="David" w:hAnsi="David" w:cs="David"/>
          <w:sz w:val="22"/>
          <w:szCs w:val="22"/>
          <w:rtl/>
        </w:rPr>
      </w:pPr>
      <w:r>
        <w:rPr>
          <w:rFonts w:ascii="David" w:hAnsi="David" w:cs="David" w:hint="cs"/>
          <w:sz w:val="22"/>
          <w:szCs w:val="22"/>
          <w:rtl/>
        </w:rPr>
        <w:t xml:space="preserve">שרה הרבתה בפועלה לקרוא תיגר </w:t>
      </w:r>
      <w:r w:rsidR="00DD54A8">
        <w:rPr>
          <w:rFonts w:ascii="David" w:hAnsi="David" w:cs="David" w:hint="cs"/>
          <w:sz w:val="22"/>
          <w:szCs w:val="22"/>
          <w:rtl/>
        </w:rPr>
        <w:t>על ההגדרות החברתיות ולהביא לטשטוש הגבולות בין המינים. שרה הרבתה לתאר את עצמה ואת עבודתה כגברית, ולעיתים אף ייחסה תכונות גבריות לנשים שהיו פעילות בתוך הארגון. יתר על כן, שרה אהרונסון הרבתה להתלבש כגבר, התייחסה לעצמה בלשון זכר, ביקרה את ההגבלות על נשים בתקופתה ודחתה ניסיונות של עמיתיה למחתרת לעשות אידיאליזציה של נשים כאימהות או כקדושות</w:t>
      </w:r>
      <w:r w:rsidR="00DD54A8">
        <w:rPr>
          <w:rStyle w:val="a5"/>
          <w:rFonts w:ascii="David" w:hAnsi="David" w:cs="David"/>
          <w:sz w:val="22"/>
          <w:szCs w:val="22"/>
          <w:rtl/>
        </w:rPr>
        <w:footnoteReference w:id="24"/>
      </w:r>
      <w:r w:rsidR="00DD54A8">
        <w:rPr>
          <w:rFonts w:ascii="David" w:hAnsi="David" w:cs="David" w:hint="cs"/>
          <w:sz w:val="22"/>
          <w:szCs w:val="22"/>
          <w:rtl/>
        </w:rPr>
        <w:t xml:space="preserve">. </w:t>
      </w:r>
    </w:p>
    <w:p w14:paraId="7E7F24FF" w14:textId="6EBB3F99" w:rsidR="00DD54A8" w:rsidRDefault="00DD54A8" w:rsidP="00DD54A8">
      <w:pPr>
        <w:bidi/>
        <w:spacing w:line="360" w:lineRule="auto"/>
        <w:rPr>
          <w:rFonts w:ascii="David" w:hAnsi="David" w:cs="David"/>
          <w:sz w:val="22"/>
          <w:szCs w:val="22"/>
          <w:rtl/>
        </w:rPr>
      </w:pPr>
    </w:p>
    <w:p w14:paraId="2083BF41" w14:textId="794CDF06" w:rsidR="00DD54A8" w:rsidRDefault="00DD54A8" w:rsidP="00DD54A8">
      <w:pPr>
        <w:bidi/>
        <w:spacing w:line="360" w:lineRule="auto"/>
        <w:rPr>
          <w:rFonts w:ascii="David" w:hAnsi="David" w:cs="David"/>
          <w:sz w:val="22"/>
          <w:szCs w:val="22"/>
          <w:rtl/>
        </w:rPr>
      </w:pPr>
    </w:p>
    <w:p w14:paraId="1514F526" w14:textId="600D71F8" w:rsidR="00DD54A8" w:rsidRDefault="00DD54A8" w:rsidP="00DD54A8">
      <w:pPr>
        <w:bidi/>
        <w:spacing w:line="360" w:lineRule="auto"/>
        <w:rPr>
          <w:rFonts w:ascii="David" w:hAnsi="David" w:cs="David"/>
          <w:sz w:val="22"/>
          <w:szCs w:val="22"/>
          <w:rtl/>
        </w:rPr>
      </w:pPr>
    </w:p>
    <w:p w14:paraId="7EDA15A6" w14:textId="11B8343F" w:rsidR="00DD54A8" w:rsidRDefault="00DD54A8" w:rsidP="00DD54A8">
      <w:pPr>
        <w:bidi/>
        <w:spacing w:line="360" w:lineRule="auto"/>
        <w:rPr>
          <w:rFonts w:ascii="David" w:hAnsi="David" w:cs="David"/>
          <w:sz w:val="22"/>
          <w:szCs w:val="22"/>
          <w:rtl/>
        </w:rPr>
      </w:pPr>
      <w:r>
        <w:rPr>
          <w:rFonts w:ascii="David" w:hAnsi="David" w:cs="David" w:hint="cs"/>
          <w:sz w:val="22"/>
          <w:szCs w:val="22"/>
          <w:rtl/>
        </w:rPr>
        <w:t>על רקע זה ניתן להבין את הפוטנציאל המהפכני-חדשני בהיפוך המינים התיאטרלי של שרה אהרונסון ובפעילות ניל״י האחרות. הופעתן בבגדי הגברים מנהיגי המחתרת לא הייתה רק התרסה כנגד תפיסות מגדר קיימות, אלא אף אמירה פוליטית לאומית. בתיאורים רבים שלה הודגשו חוסנה הפיזי, יכולת הרכיבה שלה, שליטתה בכלי נשק וקור הרוח שהפגינה. תכונות אלה החלו להיות מיוחסות לצבר-הגבר בתקופה שבה טופח מיתוס הצבר הגברי</w:t>
      </w:r>
      <w:r>
        <w:rPr>
          <w:rStyle w:val="a5"/>
          <w:rFonts w:ascii="David" w:hAnsi="David" w:cs="David"/>
          <w:sz w:val="22"/>
          <w:szCs w:val="22"/>
          <w:rtl/>
        </w:rPr>
        <w:footnoteReference w:id="25"/>
      </w:r>
      <w:r>
        <w:rPr>
          <w:rFonts w:ascii="David" w:hAnsi="David" w:cs="David" w:hint="cs"/>
          <w:sz w:val="22"/>
          <w:szCs w:val="22"/>
          <w:rtl/>
        </w:rPr>
        <w:t>.</w:t>
      </w:r>
    </w:p>
    <w:p w14:paraId="62B91639" w14:textId="77777777" w:rsidR="00DD54A8" w:rsidRDefault="00DD54A8" w:rsidP="00DD54A8">
      <w:pPr>
        <w:bidi/>
        <w:spacing w:line="360" w:lineRule="auto"/>
        <w:rPr>
          <w:rFonts w:ascii="David" w:hAnsi="David" w:cs="David"/>
          <w:sz w:val="22"/>
          <w:szCs w:val="22"/>
          <w:rtl/>
        </w:rPr>
      </w:pPr>
    </w:p>
    <w:p w14:paraId="3234C793" w14:textId="1C3A6A5A" w:rsidR="00DD54A8" w:rsidRPr="00DD54A8" w:rsidRDefault="00DD54A8" w:rsidP="00DD54A8">
      <w:pPr>
        <w:bidi/>
        <w:spacing w:line="360" w:lineRule="auto"/>
        <w:rPr>
          <w:rFonts w:ascii="David" w:hAnsi="David" w:cs="David"/>
          <w:sz w:val="21"/>
          <w:szCs w:val="21"/>
          <w:rtl/>
        </w:rPr>
      </w:pPr>
      <w:r w:rsidRPr="00DD54A8">
        <w:rPr>
          <w:rFonts w:cs="David" w:hint="cs"/>
          <w:spacing w:val="4"/>
          <w:sz w:val="22"/>
          <w:szCs w:val="22"/>
          <w:rtl/>
        </w:rPr>
        <w:t>עיצוב מיתוס הזיכרון של שרה אהרונסון מורכב משני מיתוסים: מחד כמיתוס מגדרי ומאידך כמיתוס לאומי. המיתוס הנשי עמד לצידן של הפמיניסטיות, שביקשו ליצור נישה נשית בזיכרון הקולקטיבי הציוני, שבוסס כאמור, ברובו ככולו על אייקונים גבריים. חרף זאת המיתוס הבולט בסיפורה של שרה היה דווקא הלאומי: "כ'גיבורת המולדת', כ'קורבן גבורה', כ'קדושה בחייה ובמותה" וכ'סמל ההקרבה הלאומית' הפכה אהרונסון למודל של לאומיות אקטיבית</w:t>
      </w:r>
      <w:r w:rsidR="000418FF">
        <w:rPr>
          <w:rFonts w:cs="David" w:hint="cs"/>
          <w:spacing w:val="4"/>
          <w:sz w:val="22"/>
          <w:szCs w:val="22"/>
          <w:rtl/>
        </w:rPr>
        <w:t>״</w:t>
      </w:r>
      <w:r w:rsidR="000418FF">
        <w:rPr>
          <w:rStyle w:val="a5"/>
          <w:rFonts w:cs="David"/>
          <w:spacing w:val="4"/>
          <w:sz w:val="22"/>
          <w:szCs w:val="22"/>
          <w:rtl/>
        </w:rPr>
        <w:footnoteReference w:id="26"/>
      </w:r>
      <w:r w:rsidR="00F0257B">
        <w:rPr>
          <w:rFonts w:ascii="David" w:hAnsi="David" w:cs="David" w:hint="cs"/>
          <w:sz w:val="21"/>
          <w:szCs w:val="21"/>
          <w:rtl/>
        </w:rPr>
        <w:t>.</w:t>
      </w:r>
    </w:p>
    <w:p w14:paraId="541E2616" w14:textId="02213860" w:rsidR="008A52C3" w:rsidRDefault="008A52C3" w:rsidP="008A52C3">
      <w:pPr>
        <w:bidi/>
        <w:spacing w:line="360" w:lineRule="auto"/>
        <w:rPr>
          <w:rFonts w:ascii="David" w:hAnsi="David" w:cs="David"/>
          <w:sz w:val="22"/>
          <w:szCs w:val="22"/>
          <w:rtl/>
        </w:rPr>
      </w:pPr>
    </w:p>
    <w:p w14:paraId="4F7C7671" w14:textId="08C6E452" w:rsidR="008A52C3" w:rsidRDefault="00F0257B" w:rsidP="008A52C3">
      <w:pPr>
        <w:bidi/>
        <w:spacing w:line="360" w:lineRule="auto"/>
        <w:rPr>
          <w:rFonts w:ascii="David" w:hAnsi="David" w:cs="David"/>
          <w:sz w:val="22"/>
          <w:szCs w:val="22"/>
          <w:rtl/>
        </w:rPr>
      </w:pPr>
      <w:r w:rsidRPr="00F0257B">
        <w:rPr>
          <w:rFonts w:cs="David" w:hint="cs"/>
          <w:spacing w:val="4"/>
          <w:sz w:val="22"/>
          <w:szCs w:val="22"/>
          <w:rtl/>
        </w:rPr>
        <w:t>בתוך מיתוס הזיכרון של שרה קיים מתח בין שתי תפיסות נשיות-מגדריות. תפיסה אחת ניתן לכנות "מטרנליסטית", וביסודה עומדת ההנחה, שנשים הן אימהות האומה. אימהות - הן במובן היותן אחראיות על המשכיותו של העם כמי שיולדות את בניו ובנותיו, והן בהיותן מופקדות על הנחלת התרבות הלאומית באמצעות הוראת השפה העברית לילדיהן. "התרומה הלאומית הכפולה הזו נתפסה לא רק כתפקיד ביולוגי גרידא, אלא גם כמעשה חברתי ותרבותי</w:t>
      </w:r>
      <w:r w:rsidRPr="00F0257B">
        <w:rPr>
          <w:rFonts w:ascii="David" w:hAnsi="David" w:cs="David" w:hint="cs"/>
          <w:sz w:val="22"/>
          <w:szCs w:val="22"/>
          <w:rtl/>
        </w:rPr>
        <w:t>״</w:t>
      </w:r>
      <w:r>
        <w:rPr>
          <w:rFonts w:ascii="David" w:hAnsi="David" w:cs="David" w:hint="cs"/>
          <w:sz w:val="22"/>
          <w:szCs w:val="22"/>
          <w:rtl/>
        </w:rPr>
        <w:t xml:space="preserve">. </w:t>
      </w:r>
      <w:r w:rsidRPr="00F0257B">
        <w:rPr>
          <w:rFonts w:ascii="David" w:hAnsi="David" w:cs="David" w:hint="cs"/>
          <w:spacing w:val="4"/>
          <w:sz w:val="22"/>
          <w:szCs w:val="22"/>
          <w:rtl/>
        </w:rPr>
        <w:t>מנגד</w:t>
      </w:r>
      <w:r>
        <w:rPr>
          <w:rFonts w:ascii="David" w:hAnsi="David" w:cs="David" w:hint="cs"/>
          <w:spacing w:val="4"/>
          <w:sz w:val="22"/>
          <w:szCs w:val="22"/>
          <w:rtl/>
        </w:rPr>
        <w:t>,</w:t>
      </w:r>
      <w:r w:rsidRPr="00F0257B">
        <w:rPr>
          <w:rFonts w:ascii="David" w:hAnsi="David" w:cs="David" w:hint="cs"/>
          <w:spacing w:val="4"/>
          <w:sz w:val="22"/>
          <w:szCs w:val="22"/>
          <w:rtl/>
        </w:rPr>
        <w:t xml:space="preserve"> הי</w:t>
      </w:r>
      <w:r>
        <w:rPr>
          <w:rFonts w:ascii="David" w:hAnsi="David" w:cs="David" w:hint="cs"/>
          <w:spacing w:val="4"/>
          <w:sz w:val="22"/>
          <w:szCs w:val="22"/>
          <w:rtl/>
        </w:rPr>
        <w:t>י</w:t>
      </w:r>
      <w:r w:rsidRPr="00F0257B">
        <w:rPr>
          <w:rFonts w:ascii="David" w:hAnsi="David" w:cs="David" w:hint="cs"/>
          <w:spacing w:val="4"/>
          <w:sz w:val="22"/>
          <w:szCs w:val="22"/>
          <w:rtl/>
        </w:rPr>
        <w:t>תה תפיסה שונה, שטשטשה את הבדלי המגדר וניתקה את הזהות הנשית הלאומית מן האידיאולוגיה של האימהות הלאומית. "תפיסה זו בלטה בקרב נשים בנות הדור הראשון של ילידי הארץ דוברי עברית, ובמיוחד בתוך קבוצת ניל"י. התנהגותה של שרה אהרונסון הי</w:t>
      </w:r>
      <w:r>
        <w:rPr>
          <w:rFonts w:ascii="David" w:hAnsi="David" w:cs="David" w:hint="cs"/>
          <w:spacing w:val="4"/>
          <w:sz w:val="22"/>
          <w:szCs w:val="22"/>
          <w:rtl/>
        </w:rPr>
        <w:t>י</w:t>
      </w:r>
      <w:r w:rsidRPr="00F0257B">
        <w:rPr>
          <w:rFonts w:ascii="David" w:hAnsi="David" w:cs="David" w:hint="cs"/>
          <w:spacing w:val="4"/>
          <w:sz w:val="22"/>
          <w:szCs w:val="22"/>
          <w:rtl/>
        </w:rPr>
        <w:t>תה ביטוי מובהק של תפיסה</w:t>
      </w:r>
      <w:r>
        <w:rPr>
          <w:rFonts w:ascii="David" w:hAnsi="David" w:cs="David" w:hint="cs"/>
          <w:spacing w:val="4"/>
          <w:sz w:val="22"/>
          <w:szCs w:val="22"/>
          <w:rtl/>
        </w:rPr>
        <w:t xml:space="preserve"> זו</w:t>
      </w:r>
      <w:r>
        <w:rPr>
          <w:rStyle w:val="a5"/>
          <w:rFonts w:ascii="David" w:hAnsi="David" w:cs="David"/>
          <w:sz w:val="22"/>
          <w:szCs w:val="22"/>
          <w:rtl/>
        </w:rPr>
        <w:footnoteReference w:id="27"/>
      </w:r>
      <w:r>
        <w:rPr>
          <w:rFonts w:ascii="David" w:hAnsi="David" w:cs="David" w:hint="cs"/>
          <w:sz w:val="22"/>
          <w:szCs w:val="22"/>
          <w:rtl/>
        </w:rPr>
        <w:t>.</w:t>
      </w:r>
    </w:p>
    <w:p w14:paraId="5131D6A9" w14:textId="0004E611" w:rsidR="002077A3" w:rsidRDefault="002077A3" w:rsidP="002077A3">
      <w:pPr>
        <w:bidi/>
        <w:spacing w:line="360" w:lineRule="auto"/>
        <w:rPr>
          <w:rFonts w:ascii="David" w:hAnsi="David" w:cs="David"/>
          <w:sz w:val="22"/>
          <w:szCs w:val="22"/>
          <w:rtl/>
        </w:rPr>
      </w:pPr>
    </w:p>
    <w:p w14:paraId="56FAD764" w14:textId="70260087" w:rsidR="002077A3" w:rsidRDefault="002077A3" w:rsidP="002077A3">
      <w:pPr>
        <w:bidi/>
        <w:spacing w:line="360" w:lineRule="auto"/>
        <w:rPr>
          <w:rFonts w:ascii="David" w:hAnsi="David" w:cs="David"/>
          <w:sz w:val="22"/>
          <w:szCs w:val="22"/>
          <w:rtl/>
        </w:rPr>
      </w:pPr>
    </w:p>
    <w:p w14:paraId="7CEF23A4" w14:textId="7D373A4B" w:rsidR="002077A3" w:rsidRDefault="002077A3" w:rsidP="002077A3">
      <w:pPr>
        <w:bidi/>
        <w:spacing w:line="360" w:lineRule="auto"/>
        <w:rPr>
          <w:rFonts w:ascii="David" w:hAnsi="David" w:cs="David"/>
          <w:sz w:val="22"/>
          <w:szCs w:val="22"/>
          <w:rtl/>
        </w:rPr>
      </w:pPr>
    </w:p>
    <w:p w14:paraId="4AC448DB" w14:textId="10EBA156" w:rsidR="002077A3" w:rsidRDefault="002077A3" w:rsidP="002077A3">
      <w:pPr>
        <w:bidi/>
        <w:spacing w:line="360" w:lineRule="auto"/>
        <w:rPr>
          <w:rFonts w:ascii="David" w:hAnsi="David" w:cs="David"/>
          <w:sz w:val="22"/>
          <w:szCs w:val="22"/>
          <w:rtl/>
        </w:rPr>
      </w:pPr>
    </w:p>
    <w:p w14:paraId="3A991B36" w14:textId="1EB5BE96" w:rsidR="00D00568" w:rsidRDefault="00D00568" w:rsidP="00D00568">
      <w:pPr>
        <w:bidi/>
        <w:spacing w:line="360" w:lineRule="auto"/>
        <w:rPr>
          <w:rFonts w:ascii="David" w:hAnsi="David" w:cs="David"/>
          <w:sz w:val="22"/>
          <w:szCs w:val="22"/>
          <w:rtl/>
        </w:rPr>
      </w:pPr>
    </w:p>
    <w:p w14:paraId="3D5D3D69" w14:textId="3D09B279" w:rsidR="00D00568" w:rsidRDefault="00D00568" w:rsidP="00D00568">
      <w:pPr>
        <w:bidi/>
        <w:spacing w:line="360" w:lineRule="auto"/>
        <w:rPr>
          <w:rFonts w:ascii="David" w:hAnsi="David" w:cs="David"/>
          <w:sz w:val="22"/>
          <w:szCs w:val="22"/>
          <w:rtl/>
        </w:rPr>
      </w:pPr>
    </w:p>
    <w:p w14:paraId="381090D1" w14:textId="77777777" w:rsidR="00D00568" w:rsidRDefault="00D00568" w:rsidP="00D00568">
      <w:pPr>
        <w:bidi/>
        <w:spacing w:line="360" w:lineRule="auto"/>
        <w:rPr>
          <w:rFonts w:ascii="David" w:hAnsi="David" w:cs="David"/>
          <w:sz w:val="22"/>
          <w:szCs w:val="22"/>
          <w:rtl/>
        </w:rPr>
      </w:pPr>
    </w:p>
    <w:p w14:paraId="163A4EA9" w14:textId="55E878E4" w:rsidR="002077A3" w:rsidRDefault="002077A3" w:rsidP="002077A3">
      <w:pPr>
        <w:bidi/>
        <w:spacing w:line="360" w:lineRule="auto"/>
        <w:rPr>
          <w:rFonts w:ascii="David" w:hAnsi="David" w:cs="David"/>
          <w:sz w:val="22"/>
          <w:szCs w:val="22"/>
          <w:rtl/>
        </w:rPr>
      </w:pPr>
    </w:p>
    <w:p w14:paraId="5272B851" w14:textId="1615CE13" w:rsidR="002077A3" w:rsidRDefault="002077A3" w:rsidP="002077A3">
      <w:pPr>
        <w:bidi/>
        <w:spacing w:line="360" w:lineRule="auto"/>
        <w:rPr>
          <w:rFonts w:ascii="David" w:hAnsi="David" w:cs="David"/>
          <w:sz w:val="22"/>
          <w:szCs w:val="22"/>
          <w:rtl/>
        </w:rPr>
      </w:pPr>
    </w:p>
    <w:p w14:paraId="5D8F6FCA" w14:textId="62C07DC2" w:rsidR="002077A3" w:rsidRDefault="002077A3" w:rsidP="002077A3">
      <w:pPr>
        <w:bidi/>
        <w:spacing w:line="360" w:lineRule="auto"/>
        <w:rPr>
          <w:rFonts w:ascii="David" w:hAnsi="David" w:cs="David"/>
          <w:sz w:val="22"/>
          <w:szCs w:val="22"/>
          <w:rtl/>
        </w:rPr>
      </w:pPr>
    </w:p>
    <w:p w14:paraId="0DA57277" w14:textId="1F2503CB" w:rsidR="002077A3" w:rsidRDefault="002077A3" w:rsidP="002077A3">
      <w:pPr>
        <w:bidi/>
        <w:spacing w:line="360" w:lineRule="auto"/>
        <w:rPr>
          <w:rFonts w:ascii="David" w:hAnsi="David" w:cs="David"/>
          <w:sz w:val="22"/>
          <w:szCs w:val="22"/>
          <w:rtl/>
        </w:rPr>
      </w:pPr>
    </w:p>
    <w:p w14:paraId="6A0F3DF0" w14:textId="65C80D0E" w:rsidR="002077A3" w:rsidRDefault="002077A3" w:rsidP="002077A3">
      <w:pPr>
        <w:bidi/>
        <w:spacing w:line="360" w:lineRule="auto"/>
        <w:rPr>
          <w:rFonts w:ascii="David" w:hAnsi="David" w:cs="David"/>
          <w:sz w:val="22"/>
          <w:szCs w:val="22"/>
          <w:rtl/>
        </w:rPr>
      </w:pPr>
    </w:p>
    <w:p w14:paraId="46A9CF5E" w14:textId="7B851798" w:rsidR="002077A3" w:rsidRDefault="002077A3" w:rsidP="002077A3">
      <w:pPr>
        <w:bidi/>
        <w:spacing w:line="360" w:lineRule="auto"/>
        <w:rPr>
          <w:rFonts w:ascii="David" w:hAnsi="David" w:cs="David"/>
          <w:sz w:val="22"/>
          <w:szCs w:val="22"/>
          <w:rtl/>
        </w:rPr>
      </w:pPr>
    </w:p>
    <w:p w14:paraId="3BE7293D" w14:textId="2E25EF4A" w:rsidR="002077A3" w:rsidRDefault="002077A3" w:rsidP="002077A3">
      <w:pPr>
        <w:bidi/>
        <w:spacing w:line="360" w:lineRule="auto"/>
        <w:rPr>
          <w:rFonts w:ascii="David" w:hAnsi="David" w:cs="David"/>
          <w:sz w:val="22"/>
          <w:szCs w:val="22"/>
          <w:rtl/>
        </w:rPr>
      </w:pPr>
    </w:p>
    <w:p w14:paraId="0059B377" w14:textId="0C469DF2" w:rsidR="002077A3" w:rsidRDefault="002077A3" w:rsidP="002077A3">
      <w:pPr>
        <w:bidi/>
        <w:spacing w:line="360" w:lineRule="auto"/>
        <w:rPr>
          <w:rFonts w:ascii="David" w:hAnsi="David" w:cs="David"/>
          <w:sz w:val="22"/>
          <w:szCs w:val="22"/>
          <w:rtl/>
        </w:rPr>
      </w:pPr>
    </w:p>
    <w:p w14:paraId="0C260BDC" w14:textId="2AA1A897" w:rsidR="002077A3" w:rsidRDefault="002077A3" w:rsidP="002077A3">
      <w:pPr>
        <w:bidi/>
        <w:spacing w:line="360" w:lineRule="auto"/>
        <w:rPr>
          <w:rFonts w:ascii="David" w:hAnsi="David" w:cs="David"/>
          <w:sz w:val="22"/>
          <w:szCs w:val="22"/>
          <w:rtl/>
        </w:rPr>
      </w:pPr>
    </w:p>
    <w:p w14:paraId="16CD83D9" w14:textId="6547EA5B" w:rsidR="002077A3" w:rsidRDefault="002077A3" w:rsidP="002077A3">
      <w:pPr>
        <w:bidi/>
        <w:spacing w:line="360" w:lineRule="auto"/>
        <w:rPr>
          <w:rFonts w:ascii="David" w:hAnsi="David" w:cs="David"/>
          <w:sz w:val="22"/>
          <w:szCs w:val="22"/>
          <w:rtl/>
        </w:rPr>
      </w:pPr>
    </w:p>
    <w:p w14:paraId="12F68CB0" w14:textId="177FF76F" w:rsidR="002077A3" w:rsidRDefault="002077A3" w:rsidP="002077A3">
      <w:pPr>
        <w:bidi/>
        <w:spacing w:line="360" w:lineRule="auto"/>
        <w:rPr>
          <w:rFonts w:ascii="David" w:hAnsi="David" w:cs="David"/>
          <w:sz w:val="22"/>
          <w:szCs w:val="22"/>
          <w:rtl/>
        </w:rPr>
      </w:pPr>
    </w:p>
    <w:p w14:paraId="23441958" w14:textId="26B2A10D" w:rsidR="002077A3" w:rsidRPr="00406FE6" w:rsidRDefault="002077A3" w:rsidP="002077A3">
      <w:pPr>
        <w:bidi/>
        <w:spacing w:line="360" w:lineRule="auto"/>
        <w:rPr>
          <w:rFonts w:ascii="David" w:hAnsi="David" w:cs="David"/>
          <w:b/>
          <w:bCs/>
          <w:sz w:val="28"/>
          <w:szCs w:val="28"/>
          <w:rtl/>
        </w:rPr>
      </w:pPr>
      <w:r w:rsidRPr="00406FE6">
        <w:rPr>
          <w:rFonts w:ascii="David" w:hAnsi="David" w:cs="David" w:hint="cs"/>
          <w:b/>
          <w:bCs/>
          <w:sz w:val="28"/>
          <w:szCs w:val="28"/>
          <w:rtl/>
        </w:rPr>
        <w:t>דיון ומסקנות</w:t>
      </w:r>
    </w:p>
    <w:p w14:paraId="2DD925BF" w14:textId="7E89E8CC" w:rsidR="002077A3" w:rsidRDefault="002077A3" w:rsidP="003D5781">
      <w:pPr>
        <w:bidi/>
        <w:spacing w:line="360" w:lineRule="auto"/>
        <w:rPr>
          <w:rFonts w:ascii="David" w:hAnsi="David" w:cs="David"/>
          <w:sz w:val="22"/>
          <w:szCs w:val="22"/>
          <w:rtl/>
        </w:rPr>
      </w:pPr>
    </w:p>
    <w:p w14:paraId="0BB4E734" w14:textId="734988FB" w:rsidR="002077A3" w:rsidRDefault="002077A3" w:rsidP="002077A3">
      <w:pPr>
        <w:bidi/>
        <w:spacing w:line="360" w:lineRule="auto"/>
        <w:rPr>
          <w:rFonts w:ascii="David" w:hAnsi="David" w:cs="David"/>
          <w:sz w:val="22"/>
          <w:szCs w:val="22"/>
          <w:rtl/>
        </w:rPr>
      </w:pPr>
      <w:r>
        <w:rPr>
          <w:rFonts w:ascii="David" w:hAnsi="David" w:cs="David" w:hint="cs"/>
          <w:sz w:val="22"/>
          <w:szCs w:val="22"/>
          <w:rtl/>
        </w:rPr>
        <w:t>ב</w:t>
      </w:r>
      <w:r w:rsidR="003D0215">
        <w:rPr>
          <w:rFonts w:ascii="David" w:hAnsi="David" w:cs="David" w:hint="cs"/>
          <w:sz w:val="22"/>
          <w:szCs w:val="22"/>
          <w:rtl/>
        </w:rPr>
        <w:t xml:space="preserve">מדינת ישראל, שצמחה על רקע </w:t>
      </w:r>
      <w:r w:rsidR="00854B5C">
        <w:rPr>
          <w:rFonts w:ascii="David" w:hAnsi="David" w:cs="David" w:hint="cs"/>
          <w:sz w:val="22"/>
          <w:szCs w:val="22"/>
          <w:rtl/>
        </w:rPr>
        <w:t>מאבק פוליטי וצבאי, הייתה שמורה הזירה הציבורית לגברים. הנשים הודרו ממנה ואם הורשו להיכנס לתחומה, הן הוגבלו לשוליו של הסיפור הציוני המרכזי. זאת מאחר והציונות היא דוגמא מובהקת של ניסיון ליצור או להמציא במכוון זהות מגדרת בהתפתחותה של הלאומיות המודרנית. הציונות הייתה אולי הניסיון המודע והאינטנסיבי ביותר לשינוי של תפיסות המגדר על רקע רעיון ההגשמה הלאומית. היהודי החדש היה בבירור וללא כל בושה יצור גברי</w:t>
      </w:r>
      <w:r w:rsidR="00854B5C">
        <w:rPr>
          <w:rStyle w:val="a5"/>
          <w:rFonts w:ascii="David" w:hAnsi="David" w:cs="David"/>
          <w:sz w:val="22"/>
          <w:szCs w:val="22"/>
          <w:rtl/>
        </w:rPr>
        <w:footnoteReference w:id="28"/>
      </w:r>
      <w:r w:rsidR="00854B5C">
        <w:rPr>
          <w:rFonts w:ascii="David" w:hAnsi="David" w:cs="David" w:hint="cs"/>
          <w:sz w:val="22"/>
          <w:szCs w:val="22"/>
          <w:rtl/>
        </w:rPr>
        <w:t>.</w:t>
      </w:r>
    </w:p>
    <w:p w14:paraId="7A081A02" w14:textId="77777777" w:rsidR="00854B5C" w:rsidRDefault="00854B5C" w:rsidP="00854B5C">
      <w:pPr>
        <w:bidi/>
        <w:spacing w:line="360" w:lineRule="auto"/>
        <w:rPr>
          <w:rFonts w:ascii="David" w:hAnsi="David" w:cs="David"/>
          <w:sz w:val="22"/>
          <w:szCs w:val="22"/>
          <w:rtl/>
        </w:rPr>
      </w:pPr>
    </w:p>
    <w:p w14:paraId="1C0C4EDD" w14:textId="3A2879E8" w:rsidR="00854B5C" w:rsidRDefault="00854B5C" w:rsidP="003175C1">
      <w:pPr>
        <w:bidi/>
        <w:spacing w:line="360" w:lineRule="auto"/>
        <w:rPr>
          <w:rFonts w:ascii="David" w:hAnsi="David" w:cs="David"/>
          <w:sz w:val="22"/>
          <w:szCs w:val="22"/>
          <w:rtl/>
        </w:rPr>
      </w:pPr>
      <w:r>
        <w:rPr>
          <w:rFonts w:ascii="David" w:hAnsi="David" w:cs="David" w:hint="cs"/>
          <w:sz w:val="22"/>
          <w:szCs w:val="22"/>
          <w:rtl/>
        </w:rPr>
        <w:t xml:space="preserve">ועל אף הכללת נשים מועטות, הזיכרון ההיסטוריוגרפי-קולקטיביסטי של מדינת ישראל והיישוב העברי טרם הקמתה הסכים להשכין בין נשים מתות בלבד </w:t>
      </w:r>
      <w:r>
        <w:rPr>
          <w:rFonts w:ascii="David" w:hAnsi="David" w:cs="David"/>
          <w:sz w:val="22"/>
          <w:szCs w:val="22"/>
          <w:rtl/>
        </w:rPr>
        <w:t>–</w:t>
      </w:r>
      <w:r>
        <w:rPr>
          <w:rFonts w:ascii="David" w:hAnsi="David" w:cs="David" w:hint="cs"/>
          <w:sz w:val="22"/>
          <w:szCs w:val="22"/>
          <w:rtl/>
        </w:rPr>
        <w:t xml:space="preserve"> שרה אהרונסון וחנה סנש, כל אחת ומלחמת העולם שלה</w:t>
      </w:r>
      <w:r w:rsidR="00EC5A6F">
        <w:rPr>
          <w:rFonts w:ascii="David" w:hAnsi="David" w:cs="David" w:hint="cs"/>
          <w:sz w:val="22"/>
          <w:szCs w:val="22"/>
          <w:rtl/>
        </w:rPr>
        <w:t xml:space="preserve">. </w:t>
      </w:r>
      <w:r w:rsidR="003175C1">
        <w:rPr>
          <w:rFonts w:ascii="David" w:hAnsi="David" w:cs="David" w:hint="cs"/>
          <w:sz w:val="22"/>
          <w:szCs w:val="22"/>
          <w:rtl/>
        </w:rPr>
        <w:t>שרה אהרונסון היא סמל של הירואיות ומעשה פוליטי. היא גם מזוהה, במותה זרוע ההקרבה, כאיקונה נשית לאומית</w:t>
      </w:r>
      <w:r w:rsidR="003175C1">
        <w:rPr>
          <w:rStyle w:val="a5"/>
          <w:rFonts w:ascii="David" w:hAnsi="David" w:cs="David"/>
          <w:sz w:val="22"/>
          <w:szCs w:val="22"/>
          <w:rtl/>
        </w:rPr>
        <w:footnoteReference w:id="29"/>
      </w:r>
      <w:r w:rsidR="003175C1">
        <w:rPr>
          <w:rFonts w:ascii="David" w:hAnsi="David" w:cs="David" w:hint="cs"/>
          <w:sz w:val="22"/>
          <w:szCs w:val="22"/>
          <w:rtl/>
        </w:rPr>
        <w:t>.</w:t>
      </w:r>
    </w:p>
    <w:p w14:paraId="0DA8E790" w14:textId="6A4BF3A5" w:rsidR="003175C1" w:rsidRDefault="003175C1" w:rsidP="003175C1">
      <w:pPr>
        <w:bidi/>
        <w:spacing w:line="360" w:lineRule="auto"/>
        <w:rPr>
          <w:rFonts w:ascii="David" w:hAnsi="David" w:cs="David"/>
          <w:sz w:val="22"/>
          <w:szCs w:val="22"/>
          <w:rtl/>
        </w:rPr>
      </w:pPr>
    </w:p>
    <w:p w14:paraId="7ECEF381" w14:textId="7B15841B" w:rsidR="003175C1" w:rsidRDefault="003175C1" w:rsidP="003175C1">
      <w:pPr>
        <w:bidi/>
        <w:spacing w:line="360" w:lineRule="auto"/>
        <w:rPr>
          <w:rFonts w:ascii="David" w:hAnsi="David" w:cs="David"/>
          <w:sz w:val="22"/>
          <w:szCs w:val="22"/>
          <w:rtl/>
        </w:rPr>
      </w:pPr>
      <w:r>
        <w:rPr>
          <w:rFonts w:ascii="David" w:hAnsi="David" w:cs="David" w:hint="cs"/>
          <w:sz w:val="22"/>
          <w:szCs w:val="22"/>
          <w:rtl/>
        </w:rPr>
        <w:t>ברפרט זה ביקשתי לבחון את השתקפות סיפורה של שרה אהרונסון, מנהיגת מחתרת ניל״י בארץ ישראל, אל מול העניין הפמיניסט</w:t>
      </w:r>
      <w:r>
        <w:rPr>
          <w:rFonts w:ascii="David" w:hAnsi="David" w:cs="David" w:hint="eastAsia"/>
          <w:sz w:val="22"/>
          <w:szCs w:val="22"/>
          <w:rtl/>
        </w:rPr>
        <w:t>י</w:t>
      </w:r>
      <w:r>
        <w:rPr>
          <w:rFonts w:ascii="David" w:hAnsi="David" w:cs="David" w:hint="cs"/>
          <w:sz w:val="22"/>
          <w:szCs w:val="22"/>
          <w:rtl/>
        </w:rPr>
        <w:t>. בחנתי את הזיקה בין פמיניזם, מגדר ולאומיות, סקרתי את הציונות כתנועה גברית והזיכרון הקולקטיבי.  בהמשך, ניסיתי לעמוד על דמותה של שרה אהרונסון כמנהיגה, כחברה בקבוצה שמרבית היישוב יצא נגדה, כמי ש</w:t>
      </w:r>
      <w:r w:rsidR="00EF5224">
        <w:rPr>
          <w:rFonts w:ascii="David" w:hAnsi="David" w:cs="David" w:hint="cs"/>
          <w:sz w:val="22"/>
          <w:szCs w:val="22"/>
          <w:rtl/>
        </w:rPr>
        <w:t>ה</w:t>
      </w:r>
      <w:r>
        <w:rPr>
          <w:rFonts w:ascii="David" w:hAnsi="David" w:cs="David" w:hint="cs"/>
          <w:sz w:val="22"/>
          <w:szCs w:val="22"/>
          <w:rtl/>
        </w:rPr>
        <w:t xml:space="preserve">קריבה עצמה על המזבח הלאומי. וכל זאת באומץ לב ונחישות שהיו נדירים לאותה העת. </w:t>
      </w:r>
    </w:p>
    <w:p w14:paraId="46DEEF29" w14:textId="7189DCD2" w:rsidR="003175C1" w:rsidRDefault="003175C1" w:rsidP="003175C1">
      <w:pPr>
        <w:bidi/>
        <w:spacing w:line="360" w:lineRule="auto"/>
        <w:rPr>
          <w:rFonts w:ascii="David" w:hAnsi="David" w:cs="David"/>
          <w:sz w:val="22"/>
          <w:szCs w:val="22"/>
          <w:rtl/>
        </w:rPr>
      </w:pPr>
    </w:p>
    <w:p w14:paraId="50E957D4" w14:textId="0E354152" w:rsidR="003175C1" w:rsidRDefault="003175C1" w:rsidP="003175C1">
      <w:pPr>
        <w:bidi/>
        <w:spacing w:line="360" w:lineRule="auto"/>
        <w:rPr>
          <w:rFonts w:ascii="David" w:hAnsi="David" w:cs="David"/>
          <w:sz w:val="22"/>
          <w:szCs w:val="22"/>
          <w:rtl/>
        </w:rPr>
      </w:pPr>
      <w:r>
        <w:rPr>
          <w:rFonts w:ascii="David" w:hAnsi="David" w:cs="David" w:hint="cs"/>
          <w:sz w:val="22"/>
          <w:szCs w:val="22"/>
          <w:rtl/>
        </w:rPr>
        <w:t xml:space="preserve">שרה אהרונסון אינה ביקשה להביא לשינוי חברתי. השינוי למענו פעלה הוא בעניין הלאומי-פוליטי, וכזה הוא גם הזיכרון שנשאר ממנה. היא נאלצה לוותר במידת מה על זהותה המגדרית על מנת לקבל את המעמד וההכרה הלאומיים בפועלה. במלאת שלושים </w:t>
      </w:r>
      <w:r w:rsidR="00EF5224">
        <w:rPr>
          <w:rFonts w:ascii="David" w:hAnsi="David" w:cs="David" w:hint="cs"/>
          <w:sz w:val="22"/>
          <w:szCs w:val="22"/>
          <w:rtl/>
        </w:rPr>
        <w:t xml:space="preserve">שנה למותה התפרסם מאמר בשבועון ׳לאישה׳ תחת </w:t>
      </w:r>
      <w:r w:rsidR="00EF5224">
        <w:rPr>
          <w:rFonts w:ascii="David" w:hAnsi="David" w:cs="David" w:hint="cs"/>
          <w:sz w:val="22"/>
          <w:szCs w:val="22"/>
          <w:rtl/>
        </w:rPr>
        <w:lastRenderedPageBreak/>
        <w:t>הכותרת ׳קברניט ללא כוכבים׳. במאמר השתחררה אהרונסון מהעול שהטילה עליה זהותה המגדרית, עול הנישואין והמשפחה, והפכה לקברניט של חייה ושל מחתרת ניל״י</w:t>
      </w:r>
      <w:r w:rsidR="00EF5224">
        <w:rPr>
          <w:rStyle w:val="a5"/>
          <w:rFonts w:ascii="David" w:hAnsi="David" w:cs="David"/>
          <w:sz w:val="22"/>
          <w:szCs w:val="22"/>
          <w:rtl/>
        </w:rPr>
        <w:footnoteReference w:id="30"/>
      </w:r>
      <w:r w:rsidR="00EF5224">
        <w:rPr>
          <w:rFonts w:ascii="David" w:hAnsi="David" w:cs="David" w:hint="cs"/>
          <w:sz w:val="22"/>
          <w:szCs w:val="22"/>
          <w:rtl/>
        </w:rPr>
        <w:t>.</w:t>
      </w:r>
    </w:p>
    <w:p w14:paraId="2C179E76" w14:textId="2126ED23" w:rsidR="00EF5224" w:rsidRDefault="00EF5224" w:rsidP="00EF5224">
      <w:pPr>
        <w:bidi/>
        <w:spacing w:line="360" w:lineRule="auto"/>
        <w:rPr>
          <w:rFonts w:ascii="David" w:hAnsi="David" w:cs="David"/>
          <w:sz w:val="22"/>
          <w:szCs w:val="22"/>
          <w:rtl/>
        </w:rPr>
      </w:pPr>
    </w:p>
    <w:p w14:paraId="6D640A24" w14:textId="562B809E" w:rsidR="00EF5224" w:rsidRDefault="00EF5224" w:rsidP="00EF5224">
      <w:pPr>
        <w:bidi/>
        <w:spacing w:line="360" w:lineRule="auto"/>
        <w:rPr>
          <w:rFonts w:ascii="David" w:hAnsi="David" w:cs="David"/>
          <w:sz w:val="22"/>
          <w:szCs w:val="22"/>
          <w:rtl/>
        </w:rPr>
      </w:pPr>
      <w:r>
        <w:rPr>
          <w:rFonts w:ascii="David" w:hAnsi="David" w:cs="David" w:hint="cs"/>
          <w:sz w:val="22"/>
          <w:szCs w:val="22"/>
          <w:rtl/>
        </w:rPr>
        <w:t>לסיכום, במענה על שאלת המחקר, ספק אם מניעיה של שרה אהרונסון בהצטרפותה לארגון ניל״י היו מניעים פמיניסטיי</w:t>
      </w:r>
      <w:r>
        <w:rPr>
          <w:rFonts w:ascii="David" w:hAnsi="David" w:cs="David" w:hint="eastAsia"/>
          <w:sz w:val="22"/>
          <w:szCs w:val="22"/>
          <w:rtl/>
        </w:rPr>
        <w:t>ם</w:t>
      </w:r>
      <w:r>
        <w:rPr>
          <w:rFonts w:ascii="David" w:hAnsi="David" w:cs="David" w:hint="cs"/>
          <w:sz w:val="22"/>
          <w:szCs w:val="22"/>
          <w:rtl/>
        </w:rPr>
        <w:t>. לכל אורך דרכה הקפידה שרה לשים את הדגש על ציבוריותיו ולאומיותו של פועלה. עם זאת, דרכי פעולתה, האופן בו נהגה והנהיגה, קיבלה החלטות וקבעה מדיניות, היוו קריאת תיגר וטשטוש גבולות המגדר</w:t>
      </w:r>
      <w:r w:rsidR="00406FE6">
        <w:rPr>
          <w:rFonts w:ascii="David" w:hAnsi="David" w:cs="David" w:hint="cs"/>
          <w:sz w:val="22"/>
          <w:szCs w:val="22"/>
          <w:rtl/>
        </w:rPr>
        <w:t xml:space="preserve">. ומבחינה זו </w:t>
      </w:r>
      <w:r w:rsidR="00406FE6">
        <w:rPr>
          <w:rFonts w:ascii="David" w:hAnsi="David" w:cs="David"/>
          <w:sz w:val="22"/>
          <w:szCs w:val="22"/>
          <w:rtl/>
        </w:rPr>
        <w:t>–</w:t>
      </w:r>
      <w:r w:rsidR="00406FE6">
        <w:rPr>
          <w:rFonts w:ascii="David" w:hAnsi="David" w:cs="David" w:hint="cs"/>
          <w:sz w:val="22"/>
          <w:szCs w:val="22"/>
          <w:rtl/>
        </w:rPr>
        <w:t xml:space="preserve"> ניתן לראות בשרה אהרונסון פמיניסטית בדורה. </w:t>
      </w:r>
    </w:p>
    <w:p w14:paraId="4141A3CA" w14:textId="77777777" w:rsidR="00EF5224" w:rsidRPr="00F0257B" w:rsidRDefault="00EF5224" w:rsidP="00EF5224">
      <w:pPr>
        <w:bidi/>
        <w:spacing w:line="360" w:lineRule="auto"/>
        <w:rPr>
          <w:rFonts w:ascii="David" w:hAnsi="David" w:cs="David"/>
          <w:sz w:val="22"/>
          <w:szCs w:val="22"/>
          <w:rtl/>
        </w:rPr>
      </w:pPr>
    </w:p>
    <w:p w14:paraId="22838E0A" w14:textId="2BECEBBA" w:rsidR="00B55659" w:rsidRDefault="00B55659" w:rsidP="00505AE2">
      <w:pPr>
        <w:spacing w:line="360" w:lineRule="auto"/>
        <w:jc w:val="both"/>
        <w:rPr>
          <w:rFonts w:ascii="David" w:hAnsi="David" w:cs="David"/>
          <w:sz w:val="22"/>
          <w:szCs w:val="22"/>
          <w:rtl/>
        </w:rPr>
      </w:pPr>
    </w:p>
    <w:p w14:paraId="3B1C0D19" w14:textId="3E2F3958" w:rsidR="00B55659" w:rsidRDefault="00B55659" w:rsidP="00505AE2">
      <w:pPr>
        <w:spacing w:line="360" w:lineRule="auto"/>
        <w:jc w:val="both"/>
        <w:rPr>
          <w:rFonts w:ascii="David" w:hAnsi="David" w:cs="David"/>
          <w:sz w:val="22"/>
          <w:szCs w:val="22"/>
          <w:rtl/>
        </w:rPr>
      </w:pPr>
    </w:p>
    <w:p w14:paraId="34B7C6D3" w14:textId="09536F09" w:rsidR="00B55659" w:rsidRDefault="00B55659" w:rsidP="00505AE2">
      <w:pPr>
        <w:spacing w:line="360" w:lineRule="auto"/>
        <w:jc w:val="both"/>
        <w:rPr>
          <w:rFonts w:ascii="David" w:hAnsi="David" w:cs="David"/>
          <w:sz w:val="22"/>
          <w:szCs w:val="22"/>
          <w:rtl/>
        </w:rPr>
      </w:pPr>
    </w:p>
    <w:p w14:paraId="60D772B3" w14:textId="44583357" w:rsidR="00B55659" w:rsidRDefault="00B55659" w:rsidP="00505AE2">
      <w:pPr>
        <w:spacing w:line="360" w:lineRule="auto"/>
        <w:jc w:val="both"/>
        <w:rPr>
          <w:rFonts w:ascii="David" w:hAnsi="David" w:cs="David"/>
          <w:sz w:val="22"/>
          <w:szCs w:val="22"/>
          <w:rtl/>
        </w:rPr>
      </w:pPr>
    </w:p>
    <w:p w14:paraId="06B6632E" w14:textId="1E0795A2" w:rsidR="00B55659" w:rsidRDefault="00B55659" w:rsidP="00505AE2">
      <w:pPr>
        <w:spacing w:line="360" w:lineRule="auto"/>
        <w:jc w:val="both"/>
        <w:rPr>
          <w:rFonts w:ascii="David" w:hAnsi="David" w:cs="David"/>
          <w:sz w:val="22"/>
          <w:szCs w:val="22"/>
          <w:rtl/>
        </w:rPr>
      </w:pPr>
    </w:p>
    <w:p w14:paraId="24042AFD" w14:textId="4EF1FC28" w:rsidR="00B55659" w:rsidRDefault="00B55659" w:rsidP="00505AE2">
      <w:pPr>
        <w:spacing w:line="360" w:lineRule="auto"/>
        <w:jc w:val="both"/>
        <w:rPr>
          <w:rFonts w:ascii="David" w:hAnsi="David" w:cs="David"/>
          <w:sz w:val="22"/>
          <w:szCs w:val="22"/>
          <w:rtl/>
        </w:rPr>
      </w:pPr>
    </w:p>
    <w:p w14:paraId="346378FA" w14:textId="6724DE9E" w:rsidR="00B55659" w:rsidRDefault="00B55659" w:rsidP="00505AE2">
      <w:pPr>
        <w:spacing w:line="360" w:lineRule="auto"/>
        <w:jc w:val="both"/>
        <w:rPr>
          <w:rFonts w:ascii="David" w:hAnsi="David" w:cs="David"/>
          <w:sz w:val="22"/>
          <w:szCs w:val="22"/>
          <w:rtl/>
        </w:rPr>
      </w:pPr>
    </w:p>
    <w:p w14:paraId="3CAEC957" w14:textId="37342C72" w:rsidR="00084E5A" w:rsidRDefault="00084E5A" w:rsidP="00505AE2">
      <w:pPr>
        <w:spacing w:line="360" w:lineRule="auto"/>
        <w:jc w:val="both"/>
        <w:rPr>
          <w:rFonts w:ascii="David" w:hAnsi="David" w:cs="David"/>
          <w:sz w:val="22"/>
          <w:szCs w:val="22"/>
          <w:rtl/>
        </w:rPr>
      </w:pPr>
    </w:p>
    <w:p w14:paraId="6799D958" w14:textId="38B8651C" w:rsidR="002315DA" w:rsidRPr="000C1E73" w:rsidRDefault="000C1E73" w:rsidP="000C1E73">
      <w:pPr>
        <w:bidi/>
        <w:spacing w:line="360" w:lineRule="auto"/>
        <w:jc w:val="both"/>
        <w:rPr>
          <w:rFonts w:ascii="David" w:hAnsi="David" w:cs="David"/>
          <w:b/>
          <w:bCs/>
          <w:sz w:val="28"/>
          <w:szCs w:val="28"/>
          <w:rtl/>
        </w:rPr>
      </w:pPr>
      <w:r w:rsidRPr="000C1E73">
        <w:rPr>
          <w:rFonts w:ascii="David" w:hAnsi="David" w:cs="David" w:hint="cs"/>
          <w:b/>
          <w:bCs/>
          <w:sz w:val="28"/>
          <w:szCs w:val="28"/>
          <w:rtl/>
        </w:rPr>
        <w:t>ביביליוגרפיה</w:t>
      </w:r>
    </w:p>
    <w:p w14:paraId="150BC089" w14:textId="14CC189F" w:rsidR="000C1E73" w:rsidRDefault="000C1E73" w:rsidP="000C1E73">
      <w:pPr>
        <w:bidi/>
        <w:spacing w:line="360" w:lineRule="auto"/>
        <w:jc w:val="both"/>
        <w:rPr>
          <w:rFonts w:ascii="David" w:hAnsi="David" w:cs="David"/>
          <w:sz w:val="28"/>
          <w:szCs w:val="28"/>
          <w:rtl/>
        </w:rPr>
      </w:pPr>
    </w:p>
    <w:p w14:paraId="74D94082" w14:textId="0B2E531D" w:rsidR="000C1E73" w:rsidRPr="000C1E73" w:rsidRDefault="000C1E73" w:rsidP="000C1E73">
      <w:pPr>
        <w:pStyle w:val="a3"/>
        <w:spacing w:line="360" w:lineRule="auto"/>
        <w:rPr>
          <w:rFonts w:cs="David"/>
          <w:sz w:val="22"/>
          <w:szCs w:val="22"/>
          <w:rtl/>
        </w:rPr>
      </w:pPr>
      <w:r w:rsidRPr="000C1E73">
        <w:rPr>
          <w:rFonts w:cs="David" w:hint="cs"/>
          <w:sz w:val="22"/>
          <w:szCs w:val="22"/>
          <w:rtl/>
        </w:rPr>
        <w:t>אליאור, ר׳ (2001). "נוכחות נפקדות: נשים בלשון הקודש, בדת היהודית ובמציאות הישראלית", ספריית היהדות החילונית; הוצאת כתר, עמ׳ 153.</w:t>
      </w:r>
    </w:p>
    <w:p w14:paraId="0B3731AA" w14:textId="77777777" w:rsidR="000C1E73" w:rsidRPr="000C1E73" w:rsidRDefault="000C1E73" w:rsidP="000C1E73">
      <w:pPr>
        <w:pStyle w:val="a3"/>
        <w:spacing w:line="360" w:lineRule="auto"/>
        <w:rPr>
          <w:sz w:val="22"/>
          <w:szCs w:val="22"/>
          <w:rtl/>
        </w:rPr>
      </w:pPr>
    </w:p>
    <w:p w14:paraId="2C226180" w14:textId="5F790E17" w:rsidR="000C1E73" w:rsidRPr="000C1E73" w:rsidRDefault="000C1E73" w:rsidP="000C1E73">
      <w:pPr>
        <w:pStyle w:val="a3"/>
        <w:spacing w:line="360" w:lineRule="auto"/>
        <w:rPr>
          <w:rFonts w:ascii="David" w:hAnsi="David" w:cs="David"/>
          <w:sz w:val="22"/>
          <w:szCs w:val="22"/>
          <w:rtl/>
        </w:rPr>
      </w:pPr>
      <w:r w:rsidRPr="000C1E73">
        <w:rPr>
          <w:rFonts w:ascii="David" w:hAnsi="David" w:cs="David" w:hint="cs"/>
          <w:sz w:val="22"/>
          <w:szCs w:val="22"/>
          <w:rtl/>
        </w:rPr>
        <w:t xml:space="preserve">ביזאוי-פוגל, ס׳ (2011). פמיניזם בשם הלאום: אבני הדרך, בתוך: פרק שישי, דמוקרטיה ופמיניזם: ישראל כמשל, דמוקרטיה ופמיניזם, האוניברסיטה הפתוחה, עמ׳ 158. </w:t>
      </w:r>
    </w:p>
    <w:p w14:paraId="5558DB4E" w14:textId="77777777" w:rsidR="000C1E73" w:rsidRPr="000C1E73" w:rsidRDefault="000C1E73" w:rsidP="000C1E73">
      <w:pPr>
        <w:pStyle w:val="a3"/>
        <w:spacing w:line="360" w:lineRule="auto"/>
        <w:rPr>
          <w:rStyle w:val="a5"/>
          <w:sz w:val="22"/>
          <w:szCs w:val="22"/>
          <w:rtl/>
        </w:rPr>
      </w:pPr>
    </w:p>
    <w:p w14:paraId="3074D6A1" w14:textId="1286B84B" w:rsidR="000C1E73" w:rsidRPr="000C1E73" w:rsidRDefault="000C1E73" w:rsidP="000C1E73">
      <w:pPr>
        <w:pStyle w:val="a3"/>
        <w:spacing w:line="360" w:lineRule="auto"/>
        <w:rPr>
          <w:rFonts w:hint="cs"/>
          <w:sz w:val="22"/>
          <w:szCs w:val="22"/>
        </w:rPr>
      </w:pPr>
      <w:r w:rsidRPr="000C1E73">
        <w:rPr>
          <w:rFonts w:ascii="David" w:hAnsi="David" w:cs="David" w:hint="cs"/>
          <w:sz w:val="22"/>
          <w:szCs w:val="22"/>
          <w:rtl/>
        </w:rPr>
        <w:t xml:space="preserve">ברקוביץ׳, נ׳ (2001). אזרחות ואימהות: מעמדן של הנשים בישראל, מחברה מגויסת לחברה אזרחית, ירושלים; מכון </w:t>
      </w:r>
      <w:proofErr w:type="spellStart"/>
      <w:r w:rsidRPr="000C1E73">
        <w:rPr>
          <w:rFonts w:ascii="David" w:hAnsi="David" w:cs="David" w:hint="cs"/>
          <w:sz w:val="22"/>
          <w:szCs w:val="22"/>
          <w:rtl/>
        </w:rPr>
        <w:t>ון</w:t>
      </w:r>
      <w:proofErr w:type="spellEnd"/>
      <w:r w:rsidRPr="000C1E73">
        <w:rPr>
          <w:rFonts w:ascii="David" w:hAnsi="David" w:cs="David" w:hint="cs"/>
          <w:sz w:val="22"/>
          <w:szCs w:val="22"/>
          <w:rtl/>
        </w:rPr>
        <w:t>-ליר, עמ׳ 207-226.</w:t>
      </w:r>
    </w:p>
    <w:p w14:paraId="6579C268" w14:textId="77777777" w:rsidR="000C1E73" w:rsidRPr="000C1E73" w:rsidRDefault="000C1E73" w:rsidP="000C1E73">
      <w:pPr>
        <w:pStyle w:val="a3"/>
        <w:spacing w:line="360" w:lineRule="auto"/>
        <w:rPr>
          <w:sz w:val="22"/>
          <w:szCs w:val="22"/>
          <w:rtl/>
        </w:rPr>
      </w:pPr>
    </w:p>
    <w:p w14:paraId="5AC2F0C2" w14:textId="0748A496" w:rsidR="000C1E73" w:rsidRPr="000C1E73" w:rsidRDefault="000C1E73" w:rsidP="000C1E73">
      <w:pPr>
        <w:pStyle w:val="a3"/>
        <w:spacing w:line="360" w:lineRule="auto"/>
        <w:rPr>
          <w:sz w:val="22"/>
          <w:szCs w:val="22"/>
          <w:rtl/>
        </w:rPr>
      </w:pPr>
      <w:proofErr w:type="spellStart"/>
      <w:r w:rsidRPr="000C1E73">
        <w:rPr>
          <w:rFonts w:ascii="David" w:hAnsi="David" w:cs="David" w:hint="cs"/>
          <w:sz w:val="22"/>
          <w:szCs w:val="22"/>
          <w:rtl/>
        </w:rPr>
        <w:t>גוטווין</w:t>
      </w:r>
      <w:proofErr w:type="spellEnd"/>
      <w:r w:rsidRPr="000C1E73">
        <w:rPr>
          <w:rFonts w:ascii="David" w:hAnsi="David" w:cs="David" w:hint="cs"/>
          <w:sz w:val="22"/>
          <w:szCs w:val="22"/>
          <w:rtl/>
        </w:rPr>
        <w:t>, ד׳</w:t>
      </w:r>
      <w:r w:rsidRPr="000C1E73">
        <w:rPr>
          <w:rFonts w:ascii="David" w:hAnsi="David" w:cs="David" w:hint="cs"/>
          <w:sz w:val="22"/>
          <w:szCs w:val="22"/>
        </w:rPr>
        <w:t xml:space="preserve"> </w:t>
      </w:r>
      <w:r w:rsidRPr="000C1E73">
        <w:rPr>
          <w:rFonts w:ascii="David" w:hAnsi="David" w:cs="David" w:hint="cs"/>
          <w:sz w:val="22"/>
          <w:szCs w:val="22"/>
          <w:rtl/>
        </w:rPr>
        <w:t>(1998). הפרטת השואה: פוליטיקה, זיכרון והיסטוריוגרפיה, דפים לחקר תקופת השואה, מאסף ט״ו, תל אביב: הוצאת מערכות, עמ׳ 7.</w:t>
      </w:r>
    </w:p>
    <w:p w14:paraId="307C0482" w14:textId="7F416257" w:rsidR="000C1E73" w:rsidRPr="000C1E73" w:rsidRDefault="000C1E73" w:rsidP="000C1E73">
      <w:pPr>
        <w:bidi/>
        <w:spacing w:line="360" w:lineRule="auto"/>
        <w:jc w:val="both"/>
        <w:rPr>
          <w:sz w:val="22"/>
          <w:szCs w:val="22"/>
          <w:rtl/>
        </w:rPr>
      </w:pPr>
    </w:p>
    <w:p w14:paraId="1CDB22A4" w14:textId="77777777" w:rsidR="000C1E73" w:rsidRPr="000C1E73" w:rsidRDefault="000C1E73" w:rsidP="000C1E73">
      <w:pPr>
        <w:pStyle w:val="a3"/>
        <w:spacing w:line="360" w:lineRule="auto"/>
        <w:rPr>
          <w:sz w:val="22"/>
          <w:szCs w:val="22"/>
          <w:rtl/>
        </w:rPr>
      </w:pPr>
      <w:r w:rsidRPr="000C1E73">
        <w:rPr>
          <w:rFonts w:ascii="David" w:hAnsi="David" w:cs="David" w:hint="cs"/>
          <w:sz w:val="22"/>
          <w:szCs w:val="22"/>
          <w:rtl/>
        </w:rPr>
        <w:t>גולן, א׳ (1940). נצח ישראל לא ישקר, בתוך: לוחמי החופש בישראל, תל אביב; הוצאת ש. פרידמן, עמ׳ 141.</w:t>
      </w:r>
      <w:r w:rsidRPr="000C1E73">
        <w:rPr>
          <w:rFonts w:hint="cs"/>
          <w:sz w:val="22"/>
          <w:szCs w:val="22"/>
          <w:rtl/>
        </w:rPr>
        <w:t xml:space="preserve"> </w:t>
      </w:r>
    </w:p>
    <w:p w14:paraId="50597017" w14:textId="0B16A5FC" w:rsidR="000C1E73" w:rsidRPr="000C1E73" w:rsidRDefault="000C1E73" w:rsidP="000C1E73">
      <w:pPr>
        <w:bidi/>
        <w:spacing w:line="360" w:lineRule="auto"/>
        <w:jc w:val="both"/>
        <w:rPr>
          <w:sz w:val="22"/>
          <w:szCs w:val="22"/>
          <w:rtl/>
        </w:rPr>
      </w:pPr>
    </w:p>
    <w:p w14:paraId="00B12AD9" w14:textId="77777777" w:rsidR="000C1E73" w:rsidRPr="000C1E73" w:rsidRDefault="000C1E73" w:rsidP="000C1E73">
      <w:pPr>
        <w:pStyle w:val="a3"/>
        <w:spacing w:line="360" w:lineRule="auto"/>
        <w:rPr>
          <w:sz w:val="22"/>
          <w:szCs w:val="22"/>
          <w:rtl/>
        </w:rPr>
      </w:pPr>
      <w:proofErr w:type="spellStart"/>
      <w:r w:rsidRPr="000C1E73">
        <w:rPr>
          <w:rFonts w:ascii="David" w:hAnsi="David" w:cs="David" w:hint="cs"/>
          <w:sz w:val="22"/>
          <w:szCs w:val="22"/>
          <w:rtl/>
        </w:rPr>
        <w:t>זרטל</w:t>
      </w:r>
      <w:proofErr w:type="spellEnd"/>
      <w:r w:rsidRPr="000C1E73">
        <w:rPr>
          <w:rFonts w:ascii="David" w:hAnsi="David" w:cs="David" w:hint="cs"/>
          <w:sz w:val="22"/>
          <w:szCs w:val="22"/>
          <w:rtl/>
        </w:rPr>
        <w:t>, ע׳ (2002). האומה והמוות: היסטוריה, זיכרון, פוליטיקה, אור יהודה: הוצאת דביר, עמ׳ 42-43.</w:t>
      </w:r>
      <w:r w:rsidRPr="000C1E73">
        <w:rPr>
          <w:rFonts w:hint="cs"/>
          <w:sz w:val="22"/>
          <w:szCs w:val="22"/>
          <w:rtl/>
        </w:rPr>
        <w:t xml:space="preserve"> </w:t>
      </w:r>
    </w:p>
    <w:p w14:paraId="7EEA61A6" w14:textId="6FFE5EDC" w:rsidR="000C1E73" w:rsidRPr="000C1E73" w:rsidRDefault="000C1E73" w:rsidP="000C1E73">
      <w:pPr>
        <w:bidi/>
        <w:spacing w:line="360" w:lineRule="auto"/>
        <w:jc w:val="both"/>
        <w:rPr>
          <w:sz w:val="22"/>
          <w:szCs w:val="22"/>
          <w:rtl/>
        </w:rPr>
      </w:pPr>
    </w:p>
    <w:p w14:paraId="29B5632B" w14:textId="77777777" w:rsidR="000C1E73" w:rsidRPr="000C1E73" w:rsidRDefault="000C1E73" w:rsidP="000C1E73">
      <w:pPr>
        <w:pStyle w:val="a3"/>
        <w:spacing w:line="360" w:lineRule="auto"/>
        <w:rPr>
          <w:sz w:val="22"/>
          <w:szCs w:val="22"/>
        </w:rPr>
      </w:pPr>
      <w:r w:rsidRPr="000C1E73">
        <w:rPr>
          <w:rFonts w:ascii="David" w:hAnsi="David" w:cs="David" w:hint="cs"/>
          <w:sz w:val="22"/>
          <w:szCs w:val="22"/>
          <w:rtl/>
        </w:rPr>
        <w:t>כץ, ש׳ (2000). הרשת: ההגדה לבית אהרונסון, ירושלים; הוצאת משרד הביטחון, עמ׳ 85-86.</w:t>
      </w:r>
    </w:p>
    <w:p w14:paraId="2EAA3DE4" w14:textId="77777777" w:rsidR="000C1E73" w:rsidRPr="000C1E73" w:rsidRDefault="000C1E73" w:rsidP="000C1E73">
      <w:pPr>
        <w:pStyle w:val="a3"/>
        <w:spacing w:line="360" w:lineRule="auto"/>
        <w:rPr>
          <w:sz w:val="22"/>
          <w:szCs w:val="22"/>
          <w:rtl/>
        </w:rPr>
      </w:pPr>
    </w:p>
    <w:p w14:paraId="5415226D" w14:textId="77777777" w:rsidR="000C1E73" w:rsidRPr="000C1E73" w:rsidRDefault="000C1E73" w:rsidP="000C1E73">
      <w:pPr>
        <w:pStyle w:val="a3"/>
        <w:spacing w:line="360" w:lineRule="auto"/>
        <w:rPr>
          <w:sz w:val="22"/>
          <w:szCs w:val="22"/>
        </w:rPr>
      </w:pPr>
      <w:r w:rsidRPr="000C1E73">
        <w:rPr>
          <w:rFonts w:ascii="David" w:hAnsi="David" w:cs="David" w:hint="cs"/>
          <w:sz w:val="22"/>
          <w:szCs w:val="22"/>
          <w:rtl/>
        </w:rPr>
        <w:t>ליבנה, א׳, נדבה י׳ ואפרתי י׳ (1980). ניל״י: תולדותיה של העזה מדינית, תל אביב; הוצאת שוקן, עמ׳ 249.</w:t>
      </w:r>
      <w:r w:rsidRPr="000C1E73">
        <w:rPr>
          <w:rFonts w:hint="cs"/>
          <w:sz w:val="22"/>
          <w:szCs w:val="22"/>
          <w:rtl/>
        </w:rPr>
        <w:t xml:space="preserve"> </w:t>
      </w:r>
    </w:p>
    <w:p w14:paraId="3F7EB986" w14:textId="77777777" w:rsidR="000C1E73" w:rsidRPr="000C1E73" w:rsidRDefault="000C1E73" w:rsidP="000C1E73">
      <w:pPr>
        <w:bidi/>
        <w:spacing w:line="360" w:lineRule="auto"/>
        <w:jc w:val="both"/>
        <w:rPr>
          <w:sz w:val="22"/>
          <w:szCs w:val="22"/>
          <w:rtl/>
        </w:rPr>
      </w:pPr>
    </w:p>
    <w:p w14:paraId="4BCF9C59" w14:textId="5A2154C5" w:rsidR="000C1E73" w:rsidRPr="000C1E73" w:rsidRDefault="000C1E73" w:rsidP="000C1E73">
      <w:pPr>
        <w:bidi/>
        <w:spacing w:line="360" w:lineRule="auto"/>
        <w:jc w:val="both"/>
        <w:rPr>
          <w:rFonts w:ascii="David" w:hAnsi="David" w:cs="David"/>
          <w:sz w:val="22"/>
          <w:szCs w:val="22"/>
          <w:rtl/>
        </w:rPr>
      </w:pPr>
      <w:r w:rsidRPr="000C1E73">
        <w:rPr>
          <w:rFonts w:ascii="David" w:hAnsi="David" w:cs="David" w:hint="cs"/>
          <w:sz w:val="22"/>
          <w:szCs w:val="22"/>
          <w:rtl/>
        </w:rPr>
        <w:lastRenderedPageBreak/>
        <w:t>לבנה, א׳ (1969). אהרון אהרונסון: האיש וזמנו, ירושלים; מוסד ביאליק, עמוד 2016.</w:t>
      </w:r>
    </w:p>
    <w:p w14:paraId="4BBDE9B3" w14:textId="77777777" w:rsidR="000C1E73" w:rsidRPr="000C1E73" w:rsidRDefault="000C1E73" w:rsidP="000C1E73">
      <w:pPr>
        <w:bidi/>
        <w:spacing w:line="360" w:lineRule="auto"/>
        <w:jc w:val="both"/>
        <w:rPr>
          <w:rFonts w:ascii="David" w:hAnsi="David" w:cs="David"/>
          <w:sz w:val="22"/>
          <w:szCs w:val="22"/>
          <w:rtl/>
        </w:rPr>
      </w:pPr>
    </w:p>
    <w:p w14:paraId="7CE91F70" w14:textId="6082A058" w:rsidR="000C1E73" w:rsidRPr="000C1E73" w:rsidRDefault="000C1E73" w:rsidP="000C1E73">
      <w:pPr>
        <w:bidi/>
        <w:spacing w:line="360" w:lineRule="auto"/>
        <w:jc w:val="both"/>
        <w:rPr>
          <w:rFonts w:ascii="David" w:hAnsi="David" w:cs="David"/>
          <w:sz w:val="22"/>
          <w:szCs w:val="22"/>
          <w:rtl/>
        </w:rPr>
      </w:pPr>
      <w:proofErr w:type="spellStart"/>
      <w:r w:rsidRPr="000C1E73">
        <w:rPr>
          <w:rFonts w:ascii="David" w:hAnsi="David" w:cs="David" w:hint="cs"/>
          <w:sz w:val="22"/>
          <w:szCs w:val="22"/>
          <w:rtl/>
        </w:rPr>
        <w:t>מלמן</w:t>
      </w:r>
      <w:proofErr w:type="spellEnd"/>
      <w:r w:rsidRPr="000C1E73">
        <w:rPr>
          <w:rFonts w:ascii="David" w:hAnsi="David" w:cs="David" w:hint="cs"/>
          <w:sz w:val="22"/>
          <w:szCs w:val="22"/>
          <w:rtl/>
        </w:rPr>
        <w:t>, ב׳ (2000). אגדת שרה: מגדר, זיכרון וארץ ישראליות 1917-1990, ציון: רבעון לחקר תולדות ישראל, 65, עמ׳ 357-358.</w:t>
      </w:r>
    </w:p>
    <w:p w14:paraId="0E4E3DAB" w14:textId="77777777" w:rsidR="000C1E73" w:rsidRPr="000C1E73" w:rsidRDefault="000C1E73" w:rsidP="000C1E73">
      <w:pPr>
        <w:bidi/>
        <w:spacing w:line="360" w:lineRule="auto"/>
        <w:jc w:val="both"/>
        <w:rPr>
          <w:rFonts w:ascii="David" w:hAnsi="David" w:cs="David"/>
          <w:sz w:val="22"/>
          <w:szCs w:val="22"/>
          <w:rtl/>
        </w:rPr>
      </w:pPr>
    </w:p>
    <w:p w14:paraId="1668199B" w14:textId="46076226" w:rsidR="000C1E73" w:rsidRPr="000C1E73" w:rsidRDefault="000C1E73" w:rsidP="000C1E73">
      <w:pPr>
        <w:bidi/>
        <w:spacing w:line="360" w:lineRule="auto"/>
        <w:jc w:val="both"/>
        <w:rPr>
          <w:rFonts w:ascii="David" w:hAnsi="David" w:cs="David"/>
          <w:sz w:val="22"/>
          <w:szCs w:val="22"/>
          <w:rtl/>
        </w:rPr>
      </w:pPr>
      <w:proofErr w:type="spellStart"/>
      <w:r w:rsidRPr="000C1E73">
        <w:rPr>
          <w:rFonts w:ascii="David" w:hAnsi="David" w:cs="David" w:hint="cs"/>
          <w:sz w:val="22"/>
          <w:szCs w:val="22"/>
          <w:rtl/>
        </w:rPr>
        <w:t>מלמן</w:t>
      </w:r>
      <w:proofErr w:type="spellEnd"/>
      <w:r w:rsidRPr="000C1E73">
        <w:rPr>
          <w:rFonts w:ascii="David" w:hAnsi="David" w:cs="David" w:hint="cs"/>
          <w:sz w:val="22"/>
          <w:szCs w:val="22"/>
          <w:rtl/>
        </w:rPr>
        <w:t xml:space="preserve">, ב׳ (2001). "מותה של סוכנת: מגדר, זיכרון והנצחה", בתוך: מרגלית שילה, רות </w:t>
      </w:r>
      <w:proofErr w:type="spellStart"/>
      <w:r w:rsidRPr="000C1E73">
        <w:rPr>
          <w:rFonts w:ascii="David" w:hAnsi="David" w:cs="David" w:hint="cs"/>
          <w:sz w:val="22"/>
          <w:szCs w:val="22"/>
          <w:rtl/>
        </w:rPr>
        <w:t>קרק</w:t>
      </w:r>
      <w:proofErr w:type="spellEnd"/>
      <w:r w:rsidRPr="000C1E73">
        <w:rPr>
          <w:rFonts w:ascii="David" w:hAnsi="David" w:cs="David" w:hint="cs"/>
          <w:sz w:val="22"/>
          <w:szCs w:val="22"/>
          <w:rtl/>
        </w:rPr>
        <w:t xml:space="preserve"> וגלית חזן-רוקם (עורכות), העבריות החדשות: נשים ביישוב ובציונות בראי </w:t>
      </w:r>
      <w:proofErr w:type="spellStart"/>
      <w:r w:rsidRPr="000C1E73">
        <w:rPr>
          <w:rFonts w:ascii="David" w:hAnsi="David" w:cs="David" w:hint="cs"/>
          <w:sz w:val="22"/>
          <w:szCs w:val="22"/>
          <w:rtl/>
        </w:rPr>
        <w:t>המיגדר</w:t>
      </w:r>
      <w:proofErr w:type="spellEnd"/>
      <w:r w:rsidRPr="000C1E73">
        <w:rPr>
          <w:rFonts w:ascii="David" w:hAnsi="David" w:cs="David" w:hint="cs"/>
          <w:sz w:val="22"/>
          <w:szCs w:val="22"/>
          <w:rtl/>
        </w:rPr>
        <w:t>, (ירושלים; הוצאת יד יצחק בן-צבי)</w:t>
      </w:r>
      <w:r>
        <w:rPr>
          <w:rFonts w:ascii="David" w:hAnsi="David" w:cs="David" w:hint="cs"/>
          <w:sz w:val="22"/>
          <w:szCs w:val="22"/>
          <w:rtl/>
        </w:rPr>
        <w:t>.</w:t>
      </w:r>
    </w:p>
    <w:p w14:paraId="32AB03FC" w14:textId="77777777" w:rsidR="000C1E73" w:rsidRPr="000C1E73" w:rsidRDefault="000C1E73" w:rsidP="000C1E73">
      <w:pPr>
        <w:pStyle w:val="a3"/>
        <w:spacing w:line="360" w:lineRule="auto"/>
        <w:rPr>
          <w:sz w:val="22"/>
          <w:szCs w:val="22"/>
          <w:rtl/>
        </w:rPr>
      </w:pPr>
    </w:p>
    <w:p w14:paraId="65C4A89F" w14:textId="4127AEBB" w:rsidR="000C1E73" w:rsidRPr="000C1E73" w:rsidRDefault="000C1E73" w:rsidP="000C1E73">
      <w:pPr>
        <w:pStyle w:val="a3"/>
        <w:spacing w:line="360" w:lineRule="auto"/>
        <w:rPr>
          <w:sz w:val="22"/>
          <w:szCs w:val="22"/>
        </w:rPr>
      </w:pPr>
      <w:proofErr w:type="spellStart"/>
      <w:r w:rsidRPr="000C1E73">
        <w:rPr>
          <w:rFonts w:cs="David" w:hint="cs"/>
          <w:sz w:val="22"/>
          <w:szCs w:val="22"/>
          <w:rtl/>
        </w:rPr>
        <w:t>מלמן</w:t>
      </w:r>
      <w:proofErr w:type="spellEnd"/>
      <w:r w:rsidRPr="000C1E73">
        <w:rPr>
          <w:rFonts w:cs="David" w:hint="cs"/>
          <w:sz w:val="22"/>
          <w:szCs w:val="22"/>
          <w:rtl/>
        </w:rPr>
        <w:t>, ב׳ (1996). מן השוליים אל ההיסטוריה של היישוב: מגדר וארץ-ישראליות, ציון, ס"ב,  ירושלים: החברה ההיסטורית הישראלית</w:t>
      </w:r>
      <w:r>
        <w:rPr>
          <w:rFonts w:cs="David" w:hint="cs"/>
          <w:sz w:val="22"/>
          <w:szCs w:val="22"/>
          <w:rtl/>
        </w:rPr>
        <w:t>.</w:t>
      </w:r>
    </w:p>
    <w:p w14:paraId="3E2E08C8" w14:textId="77777777" w:rsidR="000C1E73" w:rsidRPr="000C1E73" w:rsidRDefault="000C1E73" w:rsidP="000C1E73">
      <w:pPr>
        <w:bidi/>
        <w:spacing w:line="360" w:lineRule="auto"/>
        <w:jc w:val="both"/>
        <w:rPr>
          <w:rFonts w:ascii="David" w:hAnsi="David" w:cs="David"/>
          <w:sz w:val="22"/>
          <w:szCs w:val="22"/>
          <w:rtl/>
        </w:rPr>
      </w:pPr>
    </w:p>
    <w:p w14:paraId="5D9B4191" w14:textId="35CF6715" w:rsidR="000C1E73" w:rsidRPr="000C1E73" w:rsidRDefault="000C1E73" w:rsidP="000C1E73">
      <w:pPr>
        <w:bidi/>
        <w:spacing w:line="360" w:lineRule="auto"/>
        <w:jc w:val="both"/>
        <w:rPr>
          <w:rFonts w:ascii="David" w:hAnsi="David" w:cs="David"/>
          <w:sz w:val="22"/>
          <w:szCs w:val="22"/>
          <w:rtl/>
        </w:rPr>
      </w:pPr>
      <w:r w:rsidRPr="000C1E73">
        <w:rPr>
          <w:rFonts w:ascii="David" w:hAnsi="David" w:cs="David" w:hint="cs"/>
          <w:sz w:val="22"/>
          <w:szCs w:val="22"/>
          <w:rtl/>
        </w:rPr>
        <w:t xml:space="preserve">צוקרמן, מ׳ (1993). שואה בחדר האטום: </w:t>
      </w:r>
      <w:proofErr w:type="spellStart"/>
      <w:r w:rsidRPr="000C1E73">
        <w:rPr>
          <w:rFonts w:ascii="David" w:hAnsi="David" w:cs="David" w:hint="cs"/>
          <w:sz w:val="22"/>
          <w:szCs w:val="22"/>
          <w:rtl/>
        </w:rPr>
        <w:t>ה׳שואה</w:t>
      </w:r>
      <w:proofErr w:type="spellEnd"/>
      <w:r w:rsidRPr="000C1E73">
        <w:rPr>
          <w:rFonts w:ascii="David" w:hAnsi="David" w:cs="David" w:hint="cs"/>
          <w:sz w:val="22"/>
          <w:szCs w:val="22"/>
          <w:rtl/>
        </w:rPr>
        <w:t>׳ בעיתונות הישראלית בתקופת מלחמת המפרץ, תל אביב: הוצאת המחבר, עמ׳ 6.</w:t>
      </w:r>
    </w:p>
    <w:p w14:paraId="70B27195" w14:textId="476D1402" w:rsidR="000C1E73" w:rsidRPr="000C1E73" w:rsidRDefault="000C1E73" w:rsidP="000C1E73">
      <w:pPr>
        <w:bidi/>
        <w:spacing w:line="360" w:lineRule="auto"/>
        <w:jc w:val="both"/>
        <w:rPr>
          <w:rFonts w:ascii="David" w:hAnsi="David" w:cs="David"/>
          <w:sz w:val="22"/>
          <w:szCs w:val="22"/>
          <w:rtl/>
        </w:rPr>
      </w:pPr>
    </w:p>
    <w:p w14:paraId="695DE0B6" w14:textId="77777777" w:rsidR="000C1E73" w:rsidRPr="000C1E73" w:rsidRDefault="000C1E73" w:rsidP="000C1E73">
      <w:pPr>
        <w:pStyle w:val="a3"/>
        <w:spacing w:line="360" w:lineRule="auto"/>
        <w:rPr>
          <w:sz w:val="22"/>
          <w:szCs w:val="22"/>
          <w:rtl/>
        </w:rPr>
      </w:pPr>
      <w:r w:rsidRPr="000C1E73">
        <w:rPr>
          <w:rFonts w:ascii="David" w:hAnsi="David" w:cs="David" w:hint="cs"/>
          <w:sz w:val="22"/>
          <w:szCs w:val="22"/>
          <w:rtl/>
        </w:rPr>
        <w:t>רוזנברג-פרידמן, ל׳ (2011). גיבורה בלתי נשכחת? לשאלת מקומה של עדה סרני בזיכרון הקיבוצי, קתדרה 137, עמ׳ 151.</w:t>
      </w:r>
      <w:r w:rsidRPr="000C1E73">
        <w:rPr>
          <w:rFonts w:hint="cs"/>
          <w:sz w:val="22"/>
          <w:szCs w:val="22"/>
          <w:rtl/>
        </w:rPr>
        <w:t xml:space="preserve"> </w:t>
      </w:r>
    </w:p>
    <w:p w14:paraId="5182893F" w14:textId="77777777" w:rsidR="000C1E73" w:rsidRPr="000C1E73" w:rsidRDefault="000C1E73" w:rsidP="000C1E73">
      <w:pPr>
        <w:pStyle w:val="a3"/>
        <w:spacing w:line="360" w:lineRule="auto"/>
        <w:rPr>
          <w:sz w:val="22"/>
          <w:szCs w:val="22"/>
          <w:rtl/>
        </w:rPr>
      </w:pPr>
    </w:p>
    <w:p w14:paraId="17D81BA4" w14:textId="448C94B7" w:rsidR="000C1E73" w:rsidRPr="000C1E73" w:rsidRDefault="000C1E73" w:rsidP="000C1E73">
      <w:pPr>
        <w:bidi/>
        <w:spacing w:line="360" w:lineRule="auto"/>
        <w:jc w:val="both"/>
        <w:rPr>
          <w:rFonts w:ascii="David" w:hAnsi="David" w:cs="David"/>
          <w:sz w:val="22"/>
          <w:szCs w:val="22"/>
          <w:rtl/>
        </w:rPr>
      </w:pPr>
      <w:r w:rsidRPr="000C1E73">
        <w:rPr>
          <w:rFonts w:ascii="David" w:hAnsi="David" w:cs="David" w:hint="cs"/>
          <w:sz w:val="22"/>
          <w:szCs w:val="22"/>
          <w:rtl/>
        </w:rPr>
        <w:t>רוזין, ט׳ (2000). מה זה בכלל פמיניזם, תל אביב; זמורה-ביתן, עמ׳ 333-334.</w:t>
      </w:r>
    </w:p>
    <w:p w14:paraId="6032097E" w14:textId="77777777" w:rsidR="000C1E73" w:rsidRPr="000C1E73" w:rsidRDefault="000C1E73" w:rsidP="000C1E73">
      <w:pPr>
        <w:bidi/>
        <w:spacing w:line="360" w:lineRule="auto"/>
        <w:jc w:val="both"/>
        <w:rPr>
          <w:rFonts w:ascii="David" w:hAnsi="David" w:cs="David"/>
          <w:sz w:val="22"/>
          <w:szCs w:val="22"/>
          <w:rtl/>
        </w:rPr>
      </w:pPr>
    </w:p>
    <w:p w14:paraId="6832BF4B" w14:textId="77777777" w:rsidR="000C1E73" w:rsidRPr="000C1E73" w:rsidRDefault="000C1E73" w:rsidP="000C1E73">
      <w:pPr>
        <w:pStyle w:val="a3"/>
        <w:spacing w:line="360" w:lineRule="auto"/>
        <w:rPr>
          <w:sz w:val="22"/>
          <w:szCs w:val="22"/>
          <w:rtl/>
        </w:rPr>
      </w:pPr>
      <w:proofErr w:type="spellStart"/>
      <w:r w:rsidRPr="000C1E73">
        <w:rPr>
          <w:rFonts w:ascii="David" w:hAnsi="David" w:cs="David" w:hint="cs"/>
          <w:sz w:val="22"/>
          <w:szCs w:val="22"/>
          <w:rtl/>
        </w:rPr>
        <w:t>קמיר</w:t>
      </w:r>
      <w:proofErr w:type="spellEnd"/>
      <w:r w:rsidRPr="000C1E73">
        <w:rPr>
          <w:rFonts w:ascii="David" w:hAnsi="David" w:cs="David" w:hint="cs"/>
          <w:sz w:val="22"/>
          <w:szCs w:val="22"/>
          <w:rtl/>
        </w:rPr>
        <w:t>, א׳ (2011). ציונות, גבריות ופמיניזם: הילכו שלושה יחדיו בלתי אם נועדו?, עיתונים בתקומת ישראל: מגדר בישראל, עמ׳ 443-470.</w:t>
      </w:r>
      <w:r w:rsidRPr="000C1E73">
        <w:rPr>
          <w:rFonts w:hint="cs"/>
          <w:sz w:val="22"/>
          <w:szCs w:val="22"/>
          <w:rtl/>
        </w:rPr>
        <w:t xml:space="preserve"> </w:t>
      </w:r>
    </w:p>
    <w:p w14:paraId="7DE18A31" w14:textId="77777777" w:rsidR="000C1E73" w:rsidRPr="000C1E73" w:rsidRDefault="000C1E73" w:rsidP="000C1E73">
      <w:pPr>
        <w:pStyle w:val="a3"/>
        <w:spacing w:line="360" w:lineRule="auto"/>
        <w:rPr>
          <w:sz w:val="22"/>
          <w:szCs w:val="22"/>
        </w:rPr>
      </w:pPr>
    </w:p>
    <w:p w14:paraId="507F73DC" w14:textId="77777777" w:rsidR="000C1E73" w:rsidRPr="000C1E73" w:rsidRDefault="000C1E73" w:rsidP="000C1E73">
      <w:pPr>
        <w:pStyle w:val="a3"/>
        <w:spacing w:line="360" w:lineRule="auto"/>
        <w:rPr>
          <w:sz w:val="22"/>
          <w:szCs w:val="22"/>
        </w:rPr>
      </w:pPr>
      <w:r w:rsidRPr="000C1E73">
        <w:rPr>
          <w:rFonts w:ascii="David" w:hAnsi="David" w:cs="David" w:hint="cs"/>
          <w:sz w:val="22"/>
          <w:szCs w:val="22"/>
          <w:rtl/>
        </w:rPr>
        <w:t xml:space="preserve">קשת, ש׳ (2011). נשים כותבות בחברה החלוצית: דיאלקטיקה של תודעה כפולה, ישראל: כתב עת לחקר הציונות ומדינת ישראל 18-19, עמ׳ 107. </w:t>
      </w:r>
    </w:p>
    <w:p w14:paraId="3EA55FED" w14:textId="77777777" w:rsidR="000C1E73" w:rsidRPr="000C1E73" w:rsidRDefault="000C1E73" w:rsidP="000C1E73">
      <w:pPr>
        <w:bidi/>
        <w:spacing w:line="360" w:lineRule="auto"/>
        <w:jc w:val="both"/>
        <w:rPr>
          <w:rFonts w:ascii="David" w:hAnsi="David" w:cs="David"/>
          <w:sz w:val="22"/>
          <w:szCs w:val="22"/>
          <w:rtl/>
        </w:rPr>
      </w:pPr>
    </w:p>
    <w:p w14:paraId="0A4ED259" w14:textId="77777777" w:rsidR="000C1E73" w:rsidRPr="000C1E73" w:rsidRDefault="000C1E73" w:rsidP="000C1E73">
      <w:pPr>
        <w:pStyle w:val="a3"/>
        <w:spacing w:line="360" w:lineRule="auto"/>
        <w:rPr>
          <w:sz w:val="22"/>
          <w:szCs w:val="22"/>
          <w:rtl/>
        </w:rPr>
      </w:pPr>
      <w:r w:rsidRPr="000C1E73">
        <w:rPr>
          <w:rFonts w:ascii="David" w:hAnsi="David" w:cs="David" w:hint="cs"/>
          <w:sz w:val="22"/>
          <w:szCs w:val="22"/>
          <w:rtl/>
        </w:rPr>
        <w:t xml:space="preserve">שטרן-מרגלית, ב׳ (2009). הוא הלך בשדות – והיא? </w:t>
      </w:r>
      <w:proofErr w:type="spellStart"/>
      <w:r w:rsidRPr="000C1E73">
        <w:rPr>
          <w:rFonts w:ascii="David" w:hAnsi="David" w:cs="David" w:hint="cs"/>
          <w:sz w:val="22"/>
          <w:szCs w:val="22"/>
          <w:rtl/>
        </w:rPr>
        <w:t>ה׳עברייה</w:t>
      </w:r>
      <w:proofErr w:type="spellEnd"/>
      <w:r w:rsidRPr="000C1E73">
        <w:rPr>
          <w:rFonts w:ascii="David" w:hAnsi="David" w:cs="David" w:hint="cs"/>
          <w:sz w:val="22"/>
          <w:szCs w:val="22"/>
          <w:rtl/>
        </w:rPr>
        <w:t>׳ בעיני עצמה ובני דורה, ישראל: כתב עת לחקר הציונות ומדינת ישראל, עמ׳ 195-225.</w:t>
      </w:r>
      <w:r w:rsidRPr="000C1E73">
        <w:rPr>
          <w:rFonts w:hint="cs"/>
          <w:sz w:val="22"/>
          <w:szCs w:val="22"/>
          <w:rtl/>
        </w:rPr>
        <w:t xml:space="preserve"> </w:t>
      </w:r>
    </w:p>
    <w:p w14:paraId="34E4D68E" w14:textId="77777777" w:rsidR="000C1E73" w:rsidRPr="000C1E73" w:rsidRDefault="000C1E73" w:rsidP="000C1E73">
      <w:pPr>
        <w:bidi/>
        <w:spacing w:line="360" w:lineRule="auto"/>
        <w:jc w:val="both"/>
        <w:rPr>
          <w:sz w:val="22"/>
          <w:szCs w:val="22"/>
          <w:rtl/>
        </w:rPr>
      </w:pPr>
    </w:p>
    <w:p w14:paraId="5EDCCB59" w14:textId="5EE4A475" w:rsidR="000C1E73" w:rsidRPr="000C1E73" w:rsidRDefault="000C1E73" w:rsidP="000C1E73">
      <w:pPr>
        <w:bidi/>
        <w:spacing w:line="360" w:lineRule="auto"/>
        <w:jc w:val="both"/>
        <w:rPr>
          <w:rFonts w:ascii="David" w:hAnsi="David" w:cs="David"/>
          <w:sz w:val="22"/>
          <w:szCs w:val="22"/>
          <w:rtl/>
        </w:rPr>
      </w:pPr>
      <w:proofErr w:type="spellStart"/>
      <w:r w:rsidRPr="000C1E73">
        <w:rPr>
          <w:rFonts w:ascii="David" w:hAnsi="David" w:cs="David" w:hint="cs"/>
          <w:sz w:val="22"/>
          <w:szCs w:val="22"/>
          <w:rtl/>
        </w:rPr>
        <w:t>שיפמן</w:t>
      </w:r>
      <w:proofErr w:type="spellEnd"/>
      <w:r w:rsidRPr="000C1E73">
        <w:rPr>
          <w:rFonts w:ascii="David" w:hAnsi="David" w:cs="David" w:hint="cs"/>
          <w:sz w:val="22"/>
          <w:szCs w:val="22"/>
          <w:rtl/>
        </w:rPr>
        <w:t xml:space="preserve">, ס׳ (2001). תודעה נשים </w:t>
      </w:r>
      <w:proofErr w:type="spellStart"/>
      <w:r w:rsidRPr="000C1E73">
        <w:rPr>
          <w:rFonts w:ascii="David" w:hAnsi="David" w:cs="David" w:hint="cs"/>
          <w:sz w:val="22"/>
          <w:szCs w:val="22"/>
          <w:rtl/>
        </w:rPr>
        <w:t>בסיפר</w:t>
      </w:r>
      <w:proofErr w:type="spellEnd"/>
      <w:r w:rsidRPr="000C1E73">
        <w:rPr>
          <w:rFonts w:ascii="David" w:hAnsi="David" w:cs="David" w:hint="cs"/>
          <w:sz w:val="22"/>
          <w:szCs w:val="22"/>
          <w:rtl/>
        </w:rPr>
        <w:t xml:space="preserve"> ציוני: היא נכונה לקבל על עצמה דמות זו שהוא מלביש לה בדמיונו, העבריות החדשות (</w:t>
      </w:r>
      <w:proofErr w:type="spellStart"/>
      <w:r w:rsidRPr="000C1E73">
        <w:rPr>
          <w:rFonts w:ascii="David" w:hAnsi="David" w:cs="David" w:hint="cs"/>
          <w:sz w:val="22"/>
          <w:szCs w:val="22"/>
          <w:rtl/>
        </w:rPr>
        <w:t>תשסב</w:t>
      </w:r>
      <w:proofErr w:type="spellEnd"/>
      <w:r w:rsidRPr="000C1E73">
        <w:rPr>
          <w:rFonts w:ascii="David" w:hAnsi="David" w:cs="David" w:hint="cs"/>
          <w:sz w:val="22"/>
          <w:szCs w:val="22"/>
          <w:rtl/>
        </w:rPr>
        <w:t>) 189-203, עמ׳ 189.</w:t>
      </w:r>
    </w:p>
    <w:p w14:paraId="04860D20" w14:textId="77777777" w:rsidR="000C1E73" w:rsidRPr="000C1E73" w:rsidRDefault="000C1E73" w:rsidP="000C1E73">
      <w:pPr>
        <w:bidi/>
        <w:spacing w:line="360" w:lineRule="auto"/>
        <w:jc w:val="both"/>
        <w:rPr>
          <w:rFonts w:ascii="David" w:hAnsi="David" w:cs="David"/>
          <w:sz w:val="22"/>
          <w:szCs w:val="22"/>
          <w:rtl/>
        </w:rPr>
      </w:pPr>
    </w:p>
    <w:p w14:paraId="06290A04" w14:textId="5F3A690C" w:rsidR="000C1E73" w:rsidRPr="000C1E73" w:rsidRDefault="000C1E73" w:rsidP="000C1E73">
      <w:pPr>
        <w:bidi/>
        <w:spacing w:line="360" w:lineRule="auto"/>
        <w:jc w:val="both"/>
        <w:rPr>
          <w:rFonts w:ascii="David" w:hAnsi="David" w:cs="David"/>
          <w:sz w:val="22"/>
          <w:szCs w:val="22"/>
          <w:rtl/>
        </w:rPr>
      </w:pPr>
      <w:r w:rsidRPr="000C1E73">
        <w:rPr>
          <w:rFonts w:ascii="David" w:hAnsi="David" w:cs="David" w:hint="cs"/>
          <w:sz w:val="22"/>
          <w:szCs w:val="22"/>
          <w:rtl/>
        </w:rPr>
        <w:t>תכלת, ר׳ (1947). קפיטן ללא כוכבים, גיליון שבועון לאישה, 2.10.1947.</w:t>
      </w:r>
    </w:p>
    <w:p w14:paraId="564BC0CC" w14:textId="77777777" w:rsidR="000C1E73" w:rsidRPr="000C1E73" w:rsidRDefault="000C1E73" w:rsidP="000C1E73">
      <w:pPr>
        <w:bidi/>
        <w:spacing w:line="360" w:lineRule="auto"/>
        <w:jc w:val="both"/>
        <w:rPr>
          <w:rFonts w:ascii="David" w:hAnsi="David" w:cs="David"/>
          <w:sz w:val="28"/>
          <w:szCs w:val="28"/>
          <w:rtl/>
        </w:rPr>
      </w:pPr>
    </w:p>
    <w:p w14:paraId="271F640B" w14:textId="7A4DBB68" w:rsidR="002315DA" w:rsidRDefault="002315DA" w:rsidP="00505AE2">
      <w:pPr>
        <w:spacing w:line="360" w:lineRule="auto"/>
        <w:jc w:val="both"/>
        <w:rPr>
          <w:rFonts w:ascii="David" w:hAnsi="David" w:cs="David"/>
          <w:sz w:val="22"/>
          <w:szCs w:val="22"/>
          <w:rtl/>
        </w:rPr>
      </w:pPr>
    </w:p>
    <w:p w14:paraId="131B7494" w14:textId="77777777" w:rsidR="002315DA" w:rsidRDefault="002315DA" w:rsidP="00505AE2">
      <w:pPr>
        <w:spacing w:line="360" w:lineRule="auto"/>
        <w:jc w:val="both"/>
        <w:rPr>
          <w:rFonts w:ascii="David" w:hAnsi="David" w:cs="David"/>
          <w:sz w:val="22"/>
          <w:szCs w:val="22"/>
          <w:rtl/>
        </w:rPr>
      </w:pPr>
    </w:p>
    <w:p w14:paraId="3F6E4265" w14:textId="78B2ADBD" w:rsidR="00ED5D23" w:rsidRDefault="00ED5D23" w:rsidP="00505AE2">
      <w:pPr>
        <w:spacing w:line="360" w:lineRule="auto"/>
        <w:jc w:val="both"/>
        <w:rPr>
          <w:rFonts w:ascii="David" w:hAnsi="David" w:cs="David"/>
          <w:sz w:val="22"/>
          <w:szCs w:val="22"/>
          <w:rtl/>
        </w:rPr>
      </w:pPr>
    </w:p>
    <w:p w14:paraId="74986816" w14:textId="4448B9BA" w:rsidR="00ED5D23" w:rsidRDefault="00ED5D23" w:rsidP="00505AE2">
      <w:pPr>
        <w:spacing w:line="360" w:lineRule="auto"/>
        <w:jc w:val="both"/>
        <w:rPr>
          <w:rFonts w:ascii="David" w:hAnsi="David" w:cs="David"/>
          <w:sz w:val="22"/>
          <w:szCs w:val="22"/>
          <w:rtl/>
        </w:rPr>
      </w:pPr>
    </w:p>
    <w:p w14:paraId="3509FB86" w14:textId="5B030D2F" w:rsidR="00F33DBD" w:rsidRDefault="00F33DBD" w:rsidP="00505AE2">
      <w:pPr>
        <w:spacing w:line="360" w:lineRule="auto"/>
        <w:jc w:val="both"/>
        <w:rPr>
          <w:rFonts w:ascii="David" w:hAnsi="David" w:cs="David"/>
          <w:sz w:val="22"/>
          <w:szCs w:val="22"/>
          <w:rtl/>
        </w:rPr>
      </w:pPr>
    </w:p>
    <w:p w14:paraId="1F1DA52F" w14:textId="4F56BF22" w:rsidR="00F33DBD" w:rsidRDefault="00F33DBD" w:rsidP="00505AE2">
      <w:pPr>
        <w:spacing w:line="360" w:lineRule="auto"/>
        <w:jc w:val="both"/>
        <w:rPr>
          <w:rFonts w:ascii="David" w:hAnsi="David" w:cs="David"/>
          <w:sz w:val="22"/>
          <w:szCs w:val="22"/>
          <w:rtl/>
        </w:rPr>
      </w:pPr>
    </w:p>
    <w:p w14:paraId="4DEF6AFF" w14:textId="74E884D6" w:rsidR="00F33DBD" w:rsidRDefault="00F33DBD" w:rsidP="00505AE2">
      <w:pPr>
        <w:spacing w:line="360" w:lineRule="auto"/>
        <w:jc w:val="both"/>
        <w:rPr>
          <w:rFonts w:ascii="David" w:hAnsi="David" w:cs="David"/>
          <w:sz w:val="22"/>
          <w:szCs w:val="22"/>
          <w:rtl/>
        </w:rPr>
      </w:pPr>
    </w:p>
    <w:p w14:paraId="173CFB88" w14:textId="77777777" w:rsidR="00F33DBD" w:rsidRDefault="00F33DBD" w:rsidP="00505AE2">
      <w:pPr>
        <w:spacing w:line="360" w:lineRule="auto"/>
        <w:jc w:val="both"/>
        <w:rPr>
          <w:rFonts w:ascii="David" w:hAnsi="David" w:cs="David"/>
          <w:sz w:val="22"/>
          <w:szCs w:val="22"/>
          <w:rtl/>
        </w:rPr>
      </w:pPr>
    </w:p>
    <w:p w14:paraId="14F83508" w14:textId="77777777" w:rsidR="000522A2" w:rsidRDefault="000522A2" w:rsidP="00ED5D23">
      <w:pPr>
        <w:jc w:val="right"/>
        <w:rPr>
          <w:rFonts w:ascii="David" w:hAnsi="David" w:cs="David"/>
          <w:b/>
          <w:bCs/>
          <w:sz w:val="22"/>
          <w:szCs w:val="22"/>
          <w:u w:val="single"/>
          <w:rtl/>
        </w:rPr>
      </w:pPr>
    </w:p>
    <w:p w14:paraId="3F79F5D8" w14:textId="77777777" w:rsidR="000522A2" w:rsidRDefault="000522A2" w:rsidP="00ED5D23">
      <w:pPr>
        <w:jc w:val="right"/>
        <w:rPr>
          <w:rFonts w:ascii="David" w:hAnsi="David" w:cs="David"/>
          <w:b/>
          <w:bCs/>
          <w:sz w:val="22"/>
          <w:szCs w:val="22"/>
          <w:u w:val="single"/>
          <w:rtl/>
        </w:rPr>
      </w:pPr>
    </w:p>
    <w:p w14:paraId="5C1C6182" w14:textId="77777777" w:rsidR="000522A2" w:rsidRDefault="000522A2" w:rsidP="00ED5D23">
      <w:pPr>
        <w:jc w:val="right"/>
        <w:rPr>
          <w:rFonts w:ascii="David" w:hAnsi="David" w:cs="David"/>
          <w:b/>
          <w:bCs/>
          <w:sz w:val="22"/>
          <w:szCs w:val="22"/>
          <w:u w:val="single"/>
          <w:rtl/>
        </w:rPr>
      </w:pPr>
    </w:p>
    <w:p w14:paraId="69C40BA7" w14:textId="77777777" w:rsidR="000522A2" w:rsidRDefault="000522A2" w:rsidP="00ED5D23">
      <w:pPr>
        <w:jc w:val="right"/>
        <w:rPr>
          <w:rFonts w:ascii="David" w:hAnsi="David" w:cs="David"/>
          <w:b/>
          <w:bCs/>
          <w:sz w:val="22"/>
          <w:szCs w:val="22"/>
          <w:u w:val="single"/>
          <w:rtl/>
        </w:rPr>
      </w:pPr>
    </w:p>
    <w:p w14:paraId="1675AA23" w14:textId="77777777" w:rsidR="000522A2" w:rsidRDefault="000522A2" w:rsidP="00ED5D23">
      <w:pPr>
        <w:jc w:val="right"/>
        <w:rPr>
          <w:rFonts w:ascii="David" w:hAnsi="David" w:cs="David"/>
          <w:b/>
          <w:bCs/>
          <w:sz w:val="22"/>
          <w:szCs w:val="22"/>
          <w:u w:val="single"/>
          <w:rtl/>
        </w:rPr>
      </w:pPr>
    </w:p>
    <w:p w14:paraId="74FBA458" w14:textId="77777777" w:rsidR="000522A2" w:rsidRDefault="000522A2" w:rsidP="00ED5D23">
      <w:pPr>
        <w:jc w:val="right"/>
        <w:rPr>
          <w:rFonts w:ascii="David" w:hAnsi="David" w:cs="David"/>
          <w:b/>
          <w:bCs/>
          <w:sz w:val="22"/>
          <w:szCs w:val="22"/>
          <w:u w:val="single"/>
          <w:rtl/>
        </w:rPr>
      </w:pPr>
    </w:p>
    <w:p w14:paraId="5361A91C" w14:textId="77777777" w:rsidR="000522A2" w:rsidRDefault="000522A2" w:rsidP="00ED5D23">
      <w:pPr>
        <w:jc w:val="right"/>
        <w:rPr>
          <w:rFonts w:ascii="David" w:hAnsi="David" w:cs="David"/>
          <w:b/>
          <w:bCs/>
          <w:sz w:val="22"/>
          <w:szCs w:val="22"/>
          <w:u w:val="single"/>
          <w:rtl/>
        </w:rPr>
      </w:pPr>
    </w:p>
    <w:p w14:paraId="24112861" w14:textId="77777777" w:rsidR="000522A2" w:rsidRDefault="000522A2" w:rsidP="00ED5D23">
      <w:pPr>
        <w:jc w:val="right"/>
        <w:rPr>
          <w:rFonts w:ascii="David" w:hAnsi="David" w:cs="David"/>
          <w:b/>
          <w:bCs/>
          <w:sz w:val="22"/>
          <w:szCs w:val="22"/>
          <w:u w:val="single"/>
          <w:rtl/>
        </w:rPr>
      </w:pPr>
    </w:p>
    <w:p w14:paraId="567C098B" w14:textId="77777777" w:rsidR="000522A2" w:rsidRDefault="000522A2" w:rsidP="00ED5D23">
      <w:pPr>
        <w:jc w:val="right"/>
        <w:rPr>
          <w:rFonts w:ascii="David" w:hAnsi="David" w:cs="David"/>
          <w:b/>
          <w:bCs/>
          <w:sz w:val="22"/>
          <w:szCs w:val="22"/>
          <w:u w:val="single"/>
          <w:rtl/>
        </w:rPr>
      </w:pPr>
    </w:p>
    <w:p w14:paraId="28AD6AD8" w14:textId="77777777" w:rsidR="000522A2" w:rsidRDefault="000522A2" w:rsidP="00ED5D23">
      <w:pPr>
        <w:jc w:val="right"/>
        <w:rPr>
          <w:rFonts w:ascii="David" w:hAnsi="David" w:cs="David"/>
          <w:b/>
          <w:bCs/>
          <w:sz w:val="22"/>
          <w:szCs w:val="22"/>
          <w:u w:val="single"/>
          <w:rtl/>
        </w:rPr>
      </w:pPr>
    </w:p>
    <w:p w14:paraId="3D2C46C9" w14:textId="77777777" w:rsidR="000522A2" w:rsidRDefault="000522A2" w:rsidP="00ED5D23">
      <w:pPr>
        <w:jc w:val="right"/>
        <w:rPr>
          <w:rFonts w:ascii="David" w:hAnsi="David" w:cs="David"/>
          <w:b/>
          <w:bCs/>
          <w:sz w:val="22"/>
          <w:szCs w:val="22"/>
          <w:u w:val="single"/>
          <w:rtl/>
        </w:rPr>
      </w:pPr>
    </w:p>
    <w:p w14:paraId="4DC583AD" w14:textId="77777777" w:rsidR="000522A2" w:rsidRDefault="000522A2" w:rsidP="00ED5D23">
      <w:pPr>
        <w:jc w:val="right"/>
        <w:rPr>
          <w:rFonts w:ascii="David" w:hAnsi="David" w:cs="David"/>
          <w:b/>
          <w:bCs/>
          <w:sz w:val="22"/>
          <w:szCs w:val="22"/>
          <w:u w:val="single"/>
          <w:rtl/>
        </w:rPr>
      </w:pPr>
    </w:p>
    <w:p w14:paraId="5AFB5D1F" w14:textId="77777777" w:rsidR="000522A2" w:rsidRDefault="000522A2" w:rsidP="00ED5D23">
      <w:pPr>
        <w:jc w:val="right"/>
        <w:rPr>
          <w:rFonts w:ascii="David" w:hAnsi="David" w:cs="David"/>
          <w:b/>
          <w:bCs/>
          <w:sz w:val="22"/>
          <w:szCs w:val="22"/>
          <w:u w:val="single"/>
          <w:rtl/>
        </w:rPr>
      </w:pPr>
    </w:p>
    <w:p w14:paraId="7224FE44" w14:textId="77777777" w:rsidR="000522A2" w:rsidRDefault="000522A2" w:rsidP="00ED5D23">
      <w:pPr>
        <w:jc w:val="right"/>
        <w:rPr>
          <w:rFonts w:ascii="David" w:hAnsi="David" w:cs="David"/>
          <w:b/>
          <w:bCs/>
          <w:sz w:val="22"/>
          <w:szCs w:val="22"/>
          <w:u w:val="single"/>
          <w:rtl/>
        </w:rPr>
      </w:pPr>
    </w:p>
    <w:p w14:paraId="529887AF" w14:textId="77777777" w:rsidR="000522A2" w:rsidRDefault="000522A2" w:rsidP="00ED5D23">
      <w:pPr>
        <w:jc w:val="right"/>
        <w:rPr>
          <w:rFonts w:ascii="David" w:hAnsi="David" w:cs="David"/>
          <w:b/>
          <w:bCs/>
          <w:sz w:val="22"/>
          <w:szCs w:val="22"/>
          <w:u w:val="single"/>
          <w:rtl/>
        </w:rPr>
      </w:pPr>
    </w:p>
    <w:p w14:paraId="19E80EC4" w14:textId="76E7172B" w:rsidR="00084E5A" w:rsidRPr="003E3A21" w:rsidRDefault="00084E5A" w:rsidP="003E3A21">
      <w:pPr>
        <w:spacing w:line="360" w:lineRule="auto"/>
        <w:jc w:val="both"/>
        <w:rPr>
          <w:rFonts w:ascii="David" w:hAnsi="David" w:cs="David"/>
          <w:sz w:val="20"/>
          <w:szCs w:val="20"/>
        </w:rPr>
      </w:pPr>
    </w:p>
    <w:sectPr w:rsidR="00084E5A" w:rsidRPr="003E3A21" w:rsidSect="002F11DD">
      <w:footerReference w:type="even" r:id="rId7"/>
      <w:footerReference w:type="default" r:id="rId8"/>
      <w:pgSz w:w="11900" w:h="16840"/>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9FE29" w14:textId="77777777" w:rsidR="00BA0612" w:rsidRDefault="00BA0612" w:rsidP="007B4DD2">
      <w:r>
        <w:separator/>
      </w:r>
    </w:p>
  </w:endnote>
  <w:endnote w:type="continuationSeparator" w:id="0">
    <w:p w14:paraId="3A2B1A94" w14:textId="77777777" w:rsidR="00BA0612" w:rsidRDefault="00BA0612" w:rsidP="007B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1853491551"/>
      <w:docPartObj>
        <w:docPartGallery w:val="Page Numbers (Bottom of Page)"/>
        <w:docPartUnique/>
      </w:docPartObj>
    </w:sdtPr>
    <w:sdtContent>
      <w:p w14:paraId="5BF09E03" w14:textId="207A33A4" w:rsidR="002F11DD" w:rsidRDefault="002F11DD" w:rsidP="00061D12">
        <w:pPr>
          <w:pStyle w:val="ab"/>
          <w:framePr w:wrap="none" w:vAnchor="text" w:hAnchor="text" w:y="1"/>
          <w:rPr>
            <w:rStyle w:val="ad"/>
          </w:rPr>
        </w:pPr>
        <w:r>
          <w:rPr>
            <w:rStyle w:val="ad"/>
          </w:rPr>
          <w:fldChar w:fldCharType="begin"/>
        </w:r>
        <w:r>
          <w:rPr>
            <w:rStyle w:val="ad"/>
          </w:rPr>
          <w:instrText xml:space="preserve"> PAGE </w:instrText>
        </w:r>
        <w:r>
          <w:rPr>
            <w:rStyle w:val="ad"/>
          </w:rPr>
          <w:fldChar w:fldCharType="end"/>
        </w:r>
      </w:p>
    </w:sdtContent>
  </w:sdt>
  <w:p w14:paraId="0649E55C" w14:textId="77777777" w:rsidR="002F11DD" w:rsidRDefault="002F11DD" w:rsidP="002F11DD">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75367228"/>
      <w:docPartObj>
        <w:docPartGallery w:val="Page Numbers (Bottom of Page)"/>
        <w:docPartUnique/>
      </w:docPartObj>
    </w:sdtPr>
    <w:sdtContent>
      <w:p w14:paraId="413F06EB" w14:textId="18AF5C56" w:rsidR="002F11DD" w:rsidRDefault="002F11DD" w:rsidP="00061D12">
        <w:pPr>
          <w:pStyle w:val="ab"/>
          <w:framePr w:wrap="none" w:vAnchor="text" w:hAnchor="text"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14:paraId="186DA426" w14:textId="77777777" w:rsidR="002F11DD" w:rsidRDefault="002F11DD" w:rsidP="002F11DD">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B95A2" w14:textId="77777777" w:rsidR="00BA0612" w:rsidRDefault="00BA0612" w:rsidP="007B4DD2">
      <w:r>
        <w:separator/>
      </w:r>
    </w:p>
  </w:footnote>
  <w:footnote w:type="continuationSeparator" w:id="0">
    <w:p w14:paraId="0DD6FB12" w14:textId="77777777" w:rsidR="00BA0612" w:rsidRDefault="00BA0612" w:rsidP="007B4DD2">
      <w:r>
        <w:continuationSeparator/>
      </w:r>
    </w:p>
  </w:footnote>
  <w:footnote w:id="1">
    <w:p w14:paraId="0DC5E2FA" w14:textId="6255EAFA" w:rsidR="007B4DD2" w:rsidRDefault="007B4DD2">
      <w:pPr>
        <w:pStyle w:val="a3"/>
      </w:pPr>
      <w:r>
        <w:rPr>
          <w:rStyle w:val="a5"/>
        </w:rPr>
        <w:footnoteRef/>
      </w:r>
      <w:r>
        <w:rPr>
          <w:rtl/>
        </w:rPr>
        <w:t xml:space="preserve"> </w:t>
      </w:r>
      <w:r w:rsidRPr="008B4AFD">
        <w:rPr>
          <w:rFonts w:ascii="David" w:hAnsi="David" w:cs="David" w:hint="cs"/>
          <w:rtl/>
        </w:rPr>
        <w:t xml:space="preserve">מלמן, ב׳. שוליים ומרכז: היסטוריה של נשים והיסטוריה של מגדר בישראל, ציון, החברה ההיסטורית הישראלית, עמ׳ 8. </w:t>
      </w:r>
    </w:p>
  </w:footnote>
  <w:footnote w:id="2">
    <w:p w14:paraId="3B3790C0" w14:textId="4D291196" w:rsidR="007B021D" w:rsidRDefault="007B021D">
      <w:pPr>
        <w:pStyle w:val="a3"/>
      </w:pPr>
      <w:r>
        <w:rPr>
          <w:rStyle w:val="a5"/>
        </w:rPr>
        <w:footnoteRef/>
      </w:r>
      <w:r>
        <w:rPr>
          <w:rtl/>
        </w:rPr>
        <w:t xml:space="preserve"> </w:t>
      </w:r>
      <w:r w:rsidRPr="008B4AFD">
        <w:rPr>
          <w:rFonts w:ascii="David" w:hAnsi="David" w:cs="David" w:hint="cs"/>
          <w:rtl/>
        </w:rPr>
        <w:t>ברקוביץ׳, נ׳ (2001). אזרחות ואימהות: מעמדן של הנשים בישראל, מחברה מגויסת לחברה אזרחית, ירושלים; מכון ון-ליר, עמ׳ 208.</w:t>
      </w:r>
    </w:p>
  </w:footnote>
  <w:footnote w:id="3">
    <w:p w14:paraId="4D33222B" w14:textId="5811EC3F" w:rsidR="003F34FF" w:rsidRDefault="003F34FF">
      <w:pPr>
        <w:pStyle w:val="a3"/>
      </w:pPr>
      <w:r>
        <w:rPr>
          <w:rStyle w:val="a5"/>
        </w:rPr>
        <w:footnoteRef/>
      </w:r>
      <w:r>
        <w:rPr>
          <w:rtl/>
        </w:rPr>
        <w:t xml:space="preserve"> </w:t>
      </w:r>
      <w:r w:rsidRPr="008B4AFD">
        <w:rPr>
          <w:rFonts w:ascii="David" w:hAnsi="David" w:cs="David" w:hint="cs"/>
          <w:rtl/>
        </w:rPr>
        <w:t>פוגל-ביזאוי, ס׳. לאומיות, אזרחות וזכויות אדם: אתגר הפמיניזם בישראל, דמוקרטיה ופמיניזם, האוניברסיטה הפתוחה, עמ׳ 171.</w:t>
      </w:r>
    </w:p>
  </w:footnote>
  <w:footnote w:id="4">
    <w:p w14:paraId="45D76850" w14:textId="540F0CF7" w:rsidR="00922330" w:rsidRDefault="00922330">
      <w:pPr>
        <w:pStyle w:val="a3"/>
      </w:pPr>
      <w:r>
        <w:rPr>
          <w:rStyle w:val="a5"/>
        </w:rPr>
        <w:footnoteRef/>
      </w:r>
      <w:r>
        <w:rPr>
          <w:rtl/>
        </w:rPr>
        <w:t xml:space="preserve"> </w:t>
      </w:r>
      <w:proofErr w:type="spellStart"/>
      <w:r w:rsidRPr="00F26ABB">
        <w:rPr>
          <w:rFonts w:ascii="David" w:hAnsi="David" w:cs="David" w:hint="cs"/>
          <w:rtl/>
        </w:rPr>
        <w:t>מלמן</w:t>
      </w:r>
      <w:proofErr w:type="spellEnd"/>
      <w:r w:rsidRPr="00F26ABB">
        <w:rPr>
          <w:rFonts w:ascii="David" w:hAnsi="David" w:cs="David" w:hint="cs"/>
          <w:rtl/>
        </w:rPr>
        <w:t>, ב׳ (1997). מן השוליים אל ההיסטוריה של היישוב: מגדר וארץ ישראליות</w:t>
      </w:r>
      <w:r w:rsidR="00CB4F33" w:rsidRPr="00F26ABB">
        <w:rPr>
          <w:rFonts w:ascii="David" w:hAnsi="David" w:cs="David" w:hint="cs"/>
          <w:rtl/>
        </w:rPr>
        <w:t>, בתוך: אופנהיימר, אהרון, כהן, ירחמיאל וקפלן, יוסף (עורכים), ציון, ירושלים:</w:t>
      </w:r>
      <w:r w:rsidR="00CB4F33" w:rsidRPr="00F26ABB">
        <w:rPr>
          <w:rFonts w:ascii="David" w:hAnsi="David" w:cs="David" w:hint="cs"/>
        </w:rPr>
        <w:t xml:space="preserve"> </w:t>
      </w:r>
      <w:r w:rsidR="00CB4F33" w:rsidRPr="00F26ABB">
        <w:rPr>
          <w:rFonts w:ascii="David" w:hAnsi="David" w:cs="David" w:hint="cs"/>
          <w:rtl/>
        </w:rPr>
        <w:t>החברה ההיסטורית הישראלית, עמ׳ 245.</w:t>
      </w:r>
      <w:r w:rsidR="00CB4F33">
        <w:rPr>
          <w:rFonts w:hint="cs"/>
          <w:rtl/>
        </w:rPr>
        <w:t xml:space="preserve"> </w:t>
      </w:r>
    </w:p>
  </w:footnote>
  <w:footnote w:id="5">
    <w:p w14:paraId="21FEF709" w14:textId="6C661D3C" w:rsidR="005C4689" w:rsidRPr="00F26ABB" w:rsidRDefault="005C4689" w:rsidP="00F33DBD">
      <w:pPr>
        <w:pStyle w:val="a3"/>
        <w:rPr>
          <w:rFonts w:ascii="David" w:hAnsi="David" w:cs="David" w:hint="cs"/>
        </w:rPr>
      </w:pPr>
      <w:r>
        <w:rPr>
          <w:rStyle w:val="a5"/>
        </w:rPr>
        <w:footnoteRef/>
      </w:r>
      <w:r>
        <w:rPr>
          <w:rtl/>
        </w:rPr>
        <w:t xml:space="preserve"> </w:t>
      </w:r>
      <w:r w:rsidR="00F33DBD" w:rsidRPr="00F26ABB">
        <w:rPr>
          <w:rFonts w:ascii="David" w:hAnsi="David" w:cs="David" w:hint="cs"/>
          <w:rtl/>
        </w:rPr>
        <w:t xml:space="preserve">ביזאוי-פוגל, ס׳ (2011). פמיניזם בשם הלאום: אבני הדרך, בתוך: פרק שישי, דמוקרטיה ופמיניזם: ישראל כמשל, דמוקרטיה ופמיניזם, האוניברסיטה הפתוחה, עמ׳ 158. </w:t>
      </w:r>
    </w:p>
  </w:footnote>
  <w:footnote w:id="6">
    <w:p w14:paraId="084B6784" w14:textId="2363049A" w:rsidR="00D650B5" w:rsidRDefault="00D650B5">
      <w:pPr>
        <w:pStyle w:val="a3"/>
        <w:rPr>
          <w:rFonts w:hint="cs"/>
        </w:rPr>
      </w:pPr>
      <w:r>
        <w:rPr>
          <w:rStyle w:val="a5"/>
        </w:rPr>
        <w:footnoteRef/>
      </w:r>
      <w:r>
        <w:rPr>
          <w:rtl/>
        </w:rPr>
        <w:t xml:space="preserve"> </w:t>
      </w:r>
      <w:r>
        <w:rPr>
          <w:rFonts w:cs="David" w:hint="cs"/>
          <w:rtl/>
        </w:rPr>
        <w:t>אליאור, ר׳ (2001).</w:t>
      </w:r>
      <w:r>
        <w:rPr>
          <w:rFonts w:cs="David" w:hint="cs"/>
          <w:rtl/>
        </w:rPr>
        <w:t xml:space="preserve"> "נוכחות נפקדות: נשים בלשון הקודש, בדת היהודי</w:t>
      </w:r>
      <w:r>
        <w:rPr>
          <w:rFonts w:cs="David" w:hint="cs"/>
          <w:rtl/>
        </w:rPr>
        <w:t>ת</w:t>
      </w:r>
      <w:r>
        <w:rPr>
          <w:rFonts w:cs="David" w:hint="cs"/>
          <w:rtl/>
        </w:rPr>
        <w:t xml:space="preserve"> ובמציאות הישראלית", </w:t>
      </w:r>
      <w:r>
        <w:rPr>
          <w:rFonts w:cs="David" w:hint="cs"/>
          <w:rtl/>
        </w:rPr>
        <w:t>ספריית היהדות החילונית</w:t>
      </w:r>
      <w:r>
        <w:rPr>
          <w:rFonts w:cs="David" w:hint="cs"/>
          <w:rtl/>
        </w:rPr>
        <w:t xml:space="preserve">; הוצאת </w:t>
      </w:r>
      <w:r>
        <w:rPr>
          <w:rFonts w:cs="David" w:hint="cs"/>
          <w:rtl/>
        </w:rPr>
        <w:t>כתר</w:t>
      </w:r>
      <w:r>
        <w:rPr>
          <w:rFonts w:cs="David" w:hint="cs"/>
          <w:rtl/>
        </w:rPr>
        <w:t>,</w:t>
      </w:r>
      <w:r>
        <w:rPr>
          <w:rFonts w:cs="David" w:hint="cs"/>
          <w:rtl/>
        </w:rPr>
        <w:t xml:space="preserve"> עמ׳ 153.</w:t>
      </w:r>
    </w:p>
  </w:footnote>
  <w:footnote w:id="7">
    <w:p w14:paraId="18470280" w14:textId="760263A9" w:rsidR="00CE225E" w:rsidRDefault="00CE225E">
      <w:pPr>
        <w:pStyle w:val="a3"/>
        <w:rPr>
          <w:rFonts w:hint="cs"/>
        </w:rPr>
      </w:pPr>
      <w:r>
        <w:rPr>
          <w:rStyle w:val="a5"/>
        </w:rPr>
        <w:footnoteRef/>
      </w:r>
      <w:r>
        <w:rPr>
          <w:rtl/>
        </w:rPr>
        <w:t xml:space="preserve"> </w:t>
      </w:r>
      <w:r w:rsidR="00007153" w:rsidRPr="00F26ABB">
        <w:rPr>
          <w:rFonts w:ascii="David" w:hAnsi="David" w:cs="David" w:hint="cs"/>
          <w:rtl/>
        </w:rPr>
        <w:t xml:space="preserve">ברקוביץ׳, נ׳ (2001). אזרחות ואימהות: מעמדן של הנשים בישראל, מחברה מגויסת לחברה אזרחית, ירושלים; מכון </w:t>
      </w:r>
      <w:proofErr w:type="spellStart"/>
      <w:r w:rsidR="00007153" w:rsidRPr="00F26ABB">
        <w:rPr>
          <w:rFonts w:ascii="David" w:hAnsi="David" w:cs="David" w:hint="cs"/>
          <w:rtl/>
        </w:rPr>
        <w:t>ון</w:t>
      </w:r>
      <w:proofErr w:type="spellEnd"/>
      <w:r w:rsidR="00007153" w:rsidRPr="00F26ABB">
        <w:rPr>
          <w:rFonts w:ascii="David" w:hAnsi="David" w:cs="David" w:hint="cs"/>
          <w:rtl/>
        </w:rPr>
        <w:t xml:space="preserve">-ליר, עמ׳ </w:t>
      </w:r>
      <w:r w:rsidR="00007153" w:rsidRPr="00F26ABB">
        <w:rPr>
          <w:rFonts w:ascii="David" w:hAnsi="David" w:cs="David" w:hint="cs"/>
          <w:rtl/>
        </w:rPr>
        <w:t>207-226</w:t>
      </w:r>
      <w:r w:rsidR="00007153" w:rsidRPr="00F26ABB">
        <w:rPr>
          <w:rFonts w:ascii="David" w:hAnsi="David" w:cs="David" w:hint="cs"/>
          <w:rtl/>
        </w:rPr>
        <w:t>.</w:t>
      </w:r>
    </w:p>
  </w:footnote>
  <w:footnote w:id="8">
    <w:p w14:paraId="5AD224E5" w14:textId="5489CC5C" w:rsidR="009C346A" w:rsidRDefault="009C346A">
      <w:pPr>
        <w:pStyle w:val="a3"/>
        <w:rPr>
          <w:rFonts w:hint="cs"/>
        </w:rPr>
      </w:pPr>
      <w:r>
        <w:rPr>
          <w:rStyle w:val="a5"/>
        </w:rPr>
        <w:footnoteRef/>
      </w:r>
      <w:r>
        <w:rPr>
          <w:rtl/>
        </w:rPr>
        <w:t xml:space="preserve"> </w:t>
      </w:r>
      <w:r w:rsidRPr="00F26ABB">
        <w:rPr>
          <w:rFonts w:ascii="David" w:hAnsi="David" w:cs="David" w:hint="cs"/>
          <w:rtl/>
        </w:rPr>
        <w:t>רוזין, ט׳ (2000). מה זה בכלל פמיניזם, תל אביב; זמורה-ביתן, עמ׳ 333-334.</w:t>
      </w:r>
      <w:r>
        <w:rPr>
          <w:rFonts w:hint="cs"/>
          <w:rtl/>
        </w:rPr>
        <w:t xml:space="preserve"> </w:t>
      </w:r>
    </w:p>
  </w:footnote>
  <w:footnote w:id="9">
    <w:p w14:paraId="0B646FF5" w14:textId="1B89108F" w:rsidR="00D632B5" w:rsidRDefault="00D632B5">
      <w:pPr>
        <w:pStyle w:val="a3"/>
        <w:rPr>
          <w:rtl/>
        </w:rPr>
      </w:pPr>
      <w:r>
        <w:rPr>
          <w:rStyle w:val="a5"/>
        </w:rPr>
        <w:footnoteRef/>
      </w:r>
      <w:r>
        <w:rPr>
          <w:rtl/>
        </w:rPr>
        <w:t xml:space="preserve"> </w:t>
      </w:r>
      <w:r w:rsidRPr="00081AE5">
        <w:rPr>
          <w:rFonts w:ascii="David" w:hAnsi="David" w:cs="David" w:hint="cs"/>
          <w:rtl/>
        </w:rPr>
        <w:t xml:space="preserve">שטרן-מרגלית, ב׳ (2009). הוא הלך בשדות – והיא? </w:t>
      </w:r>
      <w:proofErr w:type="spellStart"/>
      <w:r w:rsidRPr="00081AE5">
        <w:rPr>
          <w:rFonts w:ascii="David" w:hAnsi="David" w:cs="David" w:hint="cs"/>
          <w:rtl/>
        </w:rPr>
        <w:t>ה׳עברייה</w:t>
      </w:r>
      <w:proofErr w:type="spellEnd"/>
      <w:r w:rsidRPr="00081AE5">
        <w:rPr>
          <w:rFonts w:ascii="David" w:hAnsi="David" w:cs="David" w:hint="cs"/>
          <w:rtl/>
        </w:rPr>
        <w:t>׳ בעיני עצמה ובני דורה, ישראל: כתב עת לחקר הציונות ומדינת ישראל, עמ׳ 195-225.</w:t>
      </w:r>
      <w:r>
        <w:rPr>
          <w:rFonts w:hint="cs"/>
          <w:rtl/>
        </w:rPr>
        <w:t xml:space="preserve"> </w:t>
      </w:r>
    </w:p>
  </w:footnote>
  <w:footnote w:id="10">
    <w:p w14:paraId="78EB0A6B" w14:textId="6D96DE87" w:rsidR="0054603C" w:rsidRDefault="0054603C">
      <w:pPr>
        <w:pStyle w:val="a3"/>
      </w:pPr>
      <w:r>
        <w:rPr>
          <w:rStyle w:val="a5"/>
        </w:rPr>
        <w:footnoteRef/>
      </w:r>
      <w:r>
        <w:rPr>
          <w:rtl/>
        </w:rPr>
        <w:t xml:space="preserve"> </w:t>
      </w:r>
      <w:proofErr w:type="spellStart"/>
      <w:r w:rsidRPr="00081AE5">
        <w:rPr>
          <w:rFonts w:ascii="David" w:hAnsi="David" w:cs="David" w:hint="cs"/>
          <w:rtl/>
        </w:rPr>
        <w:t>קמיר</w:t>
      </w:r>
      <w:proofErr w:type="spellEnd"/>
      <w:r w:rsidRPr="00081AE5">
        <w:rPr>
          <w:rFonts w:ascii="David" w:hAnsi="David" w:cs="David" w:hint="cs"/>
          <w:rtl/>
        </w:rPr>
        <w:t>, א׳ (2011). ציונות, גבריות ופמיניזם: הילכו שלושה יחדיו בלתי אם נועדו?, עיתונים בתקומת ישראל: מגדר בישראל, עמ׳ 443-470.</w:t>
      </w:r>
      <w:r>
        <w:rPr>
          <w:rFonts w:hint="cs"/>
          <w:rtl/>
        </w:rPr>
        <w:t xml:space="preserve"> </w:t>
      </w:r>
    </w:p>
  </w:footnote>
  <w:footnote w:id="11">
    <w:p w14:paraId="4530A0F7" w14:textId="4B64F251" w:rsidR="00AB31A2" w:rsidRDefault="00AB31A2">
      <w:pPr>
        <w:pStyle w:val="a3"/>
      </w:pPr>
      <w:r>
        <w:rPr>
          <w:rStyle w:val="a5"/>
        </w:rPr>
        <w:footnoteRef/>
      </w:r>
      <w:r>
        <w:rPr>
          <w:rtl/>
        </w:rPr>
        <w:t xml:space="preserve"> </w:t>
      </w:r>
      <w:r w:rsidRPr="00081AE5">
        <w:rPr>
          <w:rFonts w:ascii="David" w:hAnsi="David" w:cs="David" w:hint="cs"/>
          <w:rtl/>
        </w:rPr>
        <w:t xml:space="preserve">קשת, ש׳ (2011). נשים כותבות בחברה החלוצית: דיאלקטיקה של תודעה כפולה, ישראל: כתב עת לחקר הציונות ומדינת ישראל 18-19, עמ׳ 107. </w:t>
      </w:r>
    </w:p>
  </w:footnote>
  <w:footnote w:id="12">
    <w:p w14:paraId="5C392641" w14:textId="278154F4" w:rsidR="00AB31A2" w:rsidRDefault="00AB31A2">
      <w:pPr>
        <w:pStyle w:val="a3"/>
        <w:rPr>
          <w:rtl/>
        </w:rPr>
      </w:pPr>
      <w:r>
        <w:rPr>
          <w:rStyle w:val="a5"/>
        </w:rPr>
        <w:footnoteRef/>
      </w:r>
      <w:r>
        <w:rPr>
          <w:rtl/>
        </w:rPr>
        <w:t xml:space="preserve"> </w:t>
      </w:r>
      <w:r w:rsidRPr="00081AE5">
        <w:rPr>
          <w:rFonts w:ascii="David" w:hAnsi="David" w:cs="David" w:hint="cs"/>
          <w:rtl/>
        </w:rPr>
        <w:t xml:space="preserve">שיפמן, ס׳ (2001). תודעה נשים </w:t>
      </w:r>
      <w:proofErr w:type="spellStart"/>
      <w:r w:rsidRPr="00081AE5">
        <w:rPr>
          <w:rFonts w:ascii="David" w:hAnsi="David" w:cs="David" w:hint="cs"/>
          <w:rtl/>
        </w:rPr>
        <w:t>בסיפר</w:t>
      </w:r>
      <w:proofErr w:type="spellEnd"/>
      <w:r w:rsidRPr="00081AE5">
        <w:rPr>
          <w:rFonts w:ascii="David" w:hAnsi="David" w:cs="David" w:hint="cs"/>
          <w:rtl/>
        </w:rPr>
        <w:t xml:space="preserve"> ציוני: היא נכונה לקבל על עצמה דמות זו שהוא מלביש לה בדמיונו, העבריות החדשות (תשסב) 189-203, עמ׳ 189.</w:t>
      </w:r>
      <w:r>
        <w:rPr>
          <w:rFonts w:hint="cs"/>
          <w:rtl/>
        </w:rPr>
        <w:t xml:space="preserve"> </w:t>
      </w:r>
    </w:p>
  </w:footnote>
  <w:footnote w:id="13">
    <w:p w14:paraId="558514C4" w14:textId="77777777" w:rsidR="00997AB5" w:rsidRDefault="00997AB5" w:rsidP="00997AB5">
      <w:pPr>
        <w:pStyle w:val="a3"/>
      </w:pPr>
      <w:r>
        <w:rPr>
          <w:rStyle w:val="a5"/>
        </w:rPr>
        <w:footnoteRef/>
      </w:r>
      <w:r>
        <w:rPr>
          <w:rtl/>
        </w:rPr>
        <w:t xml:space="preserve"> </w:t>
      </w:r>
      <w:r w:rsidRPr="00081AE5">
        <w:rPr>
          <w:rFonts w:ascii="David" w:hAnsi="David" w:cs="David" w:hint="cs"/>
          <w:rtl/>
        </w:rPr>
        <w:t>רוזנברג-פרידמן, ל׳ (2011). גיבורה בלתי נשכחת? לשאלת מקומה של עדה סרני בזיכרון הקיבוצי, קתדרה 137, עמ׳ 151.</w:t>
      </w:r>
      <w:r>
        <w:rPr>
          <w:rFonts w:hint="cs"/>
          <w:rtl/>
        </w:rPr>
        <w:t xml:space="preserve"> </w:t>
      </w:r>
    </w:p>
  </w:footnote>
  <w:footnote w:id="14">
    <w:p w14:paraId="1F9C59BB" w14:textId="55FEB892" w:rsidR="00270C42" w:rsidRDefault="00270C42">
      <w:pPr>
        <w:pStyle w:val="a3"/>
      </w:pPr>
      <w:r>
        <w:rPr>
          <w:rStyle w:val="a5"/>
        </w:rPr>
        <w:footnoteRef/>
      </w:r>
      <w:r>
        <w:rPr>
          <w:rtl/>
        </w:rPr>
        <w:t xml:space="preserve"> </w:t>
      </w:r>
      <w:r w:rsidRPr="00081AE5">
        <w:rPr>
          <w:rFonts w:ascii="David" w:hAnsi="David" w:cs="David" w:hint="cs"/>
          <w:rtl/>
        </w:rPr>
        <w:t>גוטווין, ד׳</w:t>
      </w:r>
      <w:r w:rsidRPr="00081AE5">
        <w:rPr>
          <w:rFonts w:ascii="David" w:hAnsi="David" w:cs="David" w:hint="cs"/>
        </w:rPr>
        <w:t xml:space="preserve"> </w:t>
      </w:r>
      <w:r w:rsidRPr="00081AE5">
        <w:rPr>
          <w:rFonts w:ascii="David" w:hAnsi="David" w:cs="David" w:hint="cs"/>
          <w:rtl/>
        </w:rPr>
        <w:t>(1998). הפרטת השואה: פוליטיקה, זיכרון והיסטוריוגרפיה, דפים לחקר תקופת השואה, מאסף ט״ו</w:t>
      </w:r>
      <w:r w:rsidR="00580941" w:rsidRPr="00081AE5">
        <w:rPr>
          <w:rFonts w:ascii="David" w:hAnsi="David" w:cs="David" w:hint="cs"/>
          <w:rtl/>
        </w:rPr>
        <w:t>, תל אביב: הוצאת מערכות, עמ׳ 7.</w:t>
      </w:r>
    </w:p>
  </w:footnote>
  <w:footnote w:id="15">
    <w:p w14:paraId="5C3AD230" w14:textId="26778ACF" w:rsidR="00580941" w:rsidRDefault="00580941">
      <w:pPr>
        <w:pStyle w:val="a3"/>
        <w:rPr>
          <w:rtl/>
        </w:rPr>
      </w:pPr>
      <w:r>
        <w:rPr>
          <w:rStyle w:val="a5"/>
        </w:rPr>
        <w:footnoteRef/>
      </w:r>
      <w:r>
        <w:rPr>
          <w:rtl/>
        </w:rPr>
        <w:t xml:space="preserve"> </w:t>
      </w:r>
      <w:r w:rsidRPr="00081AE5">
        <w:rPr>
          <w:rFonts w:ascii="David" w:hAnsi="David" w:cs="David" w:hint="cs"/>
          <w:rtl/>
        </w:rPr>
        <w:t>זרטל, ע׳ (2002). האומה והמוות: היסטוריה, זיכרון, פוליטיקה, אור יהודה: הוצאת דביר, עמ׳ 42-43.</w:t>
      </w:r>
      <w:r>
        <w:rPr>
          <w:rFonts w:hint="cs"/>
          <w:rtl/>
        </w:rPr>
        <w:t xml:space="preserve"> </w:t>
      </w:r>
    </w:p>
  </w:footnote>
  <w:footnote w:id="16">
    <w:p w14:paraId="5B1BC0DA" w14:textId="51BF5216" w:rsidR="001A7C62" w:rsidRDefault="001A7C62">
      <w:pPr>
        <w:pStyle w:val="a3"/>
        <w:rPr>
          <w:rtl/>
        </w:rPr>
      </w:pPr>
      <w:r>
        <w:rPr>
          <w:rStyle w:val="a5"/>
        </w:rPr>
        <w:footnoteRef/>
      </w:r>
      <w:r>
        <w:rPr>
          <w:rtl/>
        </w:rPr>
        <w:t xml:space="preserve"> </w:t>
      </w:r>
      <w:r w:rsidRPr="00081AE5">
        <w:rPr>
          <w:rFonts w:ascii="David" w:hAnsi="David" w:cs="David" w:hint="cs"/>
          <w:rtl/>
        </w:rPr>
        <w:t>צוקרמן, מ׳ (1993). שואה בחדר האטום: ה׳שואה׳ בעיתונות הישראלית בתקופת מלחמת המפרץ, תל אביב: הוצאת המחבר, עמ׳ 6.</w:t>
      </w:r>
      <w:r>
        <w:rPr>
          <w:rFonts w:hint="cs"/>
          <w:rtl/>
        </w:rPr>
        <w:t xml:space="preserve"> </w:t>
      </w:r>
    </w:p>
  </w:footnote>
  <w:footnote w:id="17">
    <w:p w14:paraId="569C7EFB" w14:textId="3928A870" w:rsidR="00607DF3" w:rsidRDefault="00607DF3">
      <w:pPr>
        <w:pStyle w:val="a3"/>
        <w:rPr>
          <w:rFonts w:hint="cs"/>
        </w:rPr>
      </w:pPr>
      <w:r>
        <w:rPr>
          <w:rStyle w:val="a5"/>
        </w:rPr>
        <w:footnoteRef/>
      </w:r>
      <w:r>
        <w:rPr>
          <w:rtl/>
        </w:rPr>
        <w:t xml:space="preserve"> </w:t>
      </w:r>
      <w:proofErr w:type="spellStart"/>
      <w:r w:rsidR="00081AE5">
        <w:rPr>
          <w:rFonts w:cs="David" w:hint="cs"/>
          <w:rtl/>
        </w:rPr>
        <w:t>מלמן</w:t>
      </w:r>
      <w:proofErr w:type="spellEnd"/>
      <w:r w:rsidR="00081AE5">
        <w:rPr>
          <w:rFonts w:cs="David" w:hint="cs"/>
          <w:rtl/>
        </w:rPr>
        <w:t xml:space="preserve">, ב׳ (2001). "מותה של סוכנת: מגדר, זיכרון והנצחה", ירושלים; הוצאת יד יצחק בן-צבי, עמ' </w:t>
      </w:r>
      <w:r w:rsidR="00081AE5">
        <w:rPr>
          <w:rFonts w:cs="David" w:hint="cs"/>
          <w:rtl/>
        </w:rPr>
        <w:t>413-415.</w:t>
      </w:r>
    </w:p>
  </w:footnote>
  <w:footnote w:id="18">
    <w:p w14:paraId="5B6F8521" w14:textId="36A2A0B8" w:rsidR="000522A2" w:rsidRDefault="000522A2">
      <w:pPr>
        <w:pStyle w:val="a3"/>
      </w:pPr>
      <w:r>
        <w:rPr>
          <w:rStyle w:val="a5"/>
        </w:rPr>
        <w:footnoteRef/>
      </w:r>
      <w:r>
        <w:rPr>
          <w:rtl/>
        </w:rPr>
        <w:t xml:space="preserve"> </w:t>
      </w:r>
      <w:r w:rsidRPr="00D00568">
        <w:rPr>
          <w:rFonts w:ascii="David" w:hAnsi="David" w:cs="David" w:hint="cs"/>
          <w:rtl/>
        </w:rPr>
        <w:t>כץ, ש׳ (2000). הרשת: ההגדה לבית אהרונסון, ירושלים; הוצאת משרד הביטחון, עמ׳ 85-86.</w:t>
      </w:r>
    </w:p>
  </w:footnote>
  <w:footnote w:id="19">
    <w:p w14:paraId="4D9EB1D3" w14:textId="40606F66" w:rsidR="00955361" w:rsidRDefault="00955361">
      <w:pPr>
        <w:pStyle w:val="a3"/>
      </w:pPr>
      <w:r>
        <w:rPr>
          <w:rStyle w:val="a5"/>
        </w:rPr>
        <w:footnoteRef/>
      </w:r>
      <w:r>
        <w:rPr>
          <w:rtl/>
        </w:rPr>
        <w:t xml:space="preserve"> </w:t>
      </w:r>
      <w:r w:rsidRPr="00D00568">
        <w:rPr>
          <w:rFonts w:ascii="David" w:hAnsi="David" w:cs="David" w:hint="cs"/>
          <w:rtl/>
        </w:rPr>
        <w:t>ליבנה, א׳, נדבה י׳ ואפרתי י׳ (1980). ניל״י: תולדותיה של העזה מדינית, תל אביב; הוצאת שוקן, עמ׳ 249.</w:t>
      </w:r>
      <w:r>
        <w:rPr>
          <w:rFonts w:hint="cs"/>
          <w:rtl/>
        </w:rPr>
        <w:t xml:space="preserve"> </w:t>
      </w:r>
    </w:p>
  </w:footnote>
  <w:footnote w:id="20">
    <w:p w14:paraId="4EE7C7D8" w14:textId="527760EE" w:rsidR="00955361" w:rsidRPr="00955361" w:rsidRDefault="00955361" w:rsidP="00955361">
      <w:pPr>
        <w:pStyle w:val="a3"/>
      </w:pPr>
      <w:r>
        <w:rPr>
          <w:rStyle w:val="a5"/>
        </w:rPr>
        <w:footnoteRef/>
      </w:r>
      <w:r>
        <w:rPr>
          <w:rtl/>
        </w:rPr>
        <w:t xml:space="preserve"> </w:t>
      </w:r>
      <w:r w:rsidRPr="00D00568">
        <w:rPr>
          <w:rFonts w:ascii="David" w:hAnsi="David" w:cs="David" w:hint="cs"/>
          <w:rtl/>
        </w:rPr>
        <w:t>כץ, ש׳ (2000). הרשת: ההגדה לבית אהרונסון, ירושלים; הוצאת משרד הביטחון, עמ׳ 107.</w:t>
      </w:r>
    </w:p>
  </w:footnote>
  <w:footnote w:id="21">
    <w:p w14:paraId="6146F9EB" w14:textId="0FD1EA49" w:rsidR="004519F8" w:rsidRDefault="004519F8">
      <w:pPr>
        <w:pStyle w:val="a3"/>
      </w:pPr>
      <w:r>
        <w:rPr>
          <w:rStyle w:val="a5"/>
        </w:rPr>
        <w:footnoteRef/>
      </w:r>
      <w:r>
        <w:rPr>
          <w:rtl/>
        </w:rPr>
        <w:t xml:space="preserve"> </w:t>
      </w:r>
      <w:r w:rsidRPr="00D00568">
        <w:rPr>
          <w:rFonts w:ascii="David" w:hAnsi="David" w:cs="David" w:hint="cs"/>
          <w:rtl/>
        </w:rPr>
        <w:t>גולן, א׳ (1940). נצח ישראל לא ישקר, בתוך: לוחמי החופש בישראל, תל אביב; הוצאת ש. פרידמן, עמ׳ 141.</w:t>
      </w:r>
      <w:r>
        <w:rPr>
          <w:rFonts w:hint="cs"/>
          <w:rtl/>
        </w:rPr>
        <w:t xml:space="preserve"> </w:t>
      </w:r>
    </w:p>
  </w:footnote>
  <w:footnote w:id="22">
    <w:p w14:paraId="7A75C6F1" w14:textId="178A0964" w:rsidR="008A52C3" w:rsidRDefault="008A52C3">
      <w:pPr>
        <w:pStyle w:val="a3"/>
      </w:pPr>
      <w:r>
        <w:rPr>
          <w:rStyle w:val="a5"/>
        </w:rPr>
        <w:footnoteRef/>
      </w:r>
      <w:r>
        <w:rPr>
          <w:rtl/>
        </w:rPr>
        <w:t xml:space="preserve"> </w:t>
      </w:r>
      <w:r w:rsidRPr="00D00568">
        <w:rPr>
          <w:rFonts w:ascii="David" w:hAnsi="David" w:cs="David" w:hint="cs"/>
          <w:rtl/>
        </w:rPr>
        <w:t xml:space="preserve">לבנה, א׳ (1969). אהרון אהרונסון: האיש וזמנו, ירושלים; מוסד ביאליק, עמוד 2016. </w:t>
      </w:r>
    </w:p>
  </w:footnote>
  <w:footnote w:id="23">
    <w:p w14:paraId="388C729D" w14:textId="535430D8" w:rsidR="000522A2" w:rsidRDefault="000522A2">
      <w:pPr>
        <w:pStyle w:val="a3"/>
      </w:pPr>
      <w:r>
        <w:rPr>
          <w:rStyle w:val="a5"/>
        </w:rPr>
        <w:footnoteRef/>
      </w:r>
      <w:r>
        <w:rPr>
          <w:rtl/>
        </w:rPr>
        <w:t xml:space="preserve"> </w:t>
      </w:r>
      <w:proofErr w:type="spellStart"/>
      <w:r w:rsidRPr="00D00568">
        <w:rPr>
          <w:rFonts w:ascii="David" w:hAnsi="David" w:cs="David" w:hint="cs"/>
          <w:rtl/>
        </w:rPr>
        <w:t>מלמן</w:t>
      </w:r>
      <w:proofErr w:type="spellEnd"/>
      <w:r w:rsidRPr="00D00568">
        <w:rPr>
          <w:rFonts w:ascii="David" w:hAnsi="David" w:cs="David" w:hint="cs"/>
          <w:rtl/>
        </w:rPr>
        <w:t>, ב׳ (2000). אגדת שרה: מגדר, זיכרון וארץ ישראליות 1917-1990, ציון: רבעון לחקר תולדות ישראל, 65, עמ׳ 357-358.</w:t>
      </w:r>
      <w:r>
        <w:rPr>
          <w:rFonts w:hint="cs"/>
          <w:rtl/>
        </w:rPr>
        <w:t xml:space="preserve"> </w:t>
      </w:r>
    </w:p>
  </w:footnote>
  <w:footnote w:id="24">
    <w:p w14:paraId="211A213A" w14:textId="218EB0BB" w:rsidR="00DD54A8" w:rsidRPr="00DD54A8" w:rsidRDefault="00DD54A8" w:rsidP="00DD54A8">
      <w:pPr>
        <w:pStyle w:val="a3"/>
        <w:rPr>
          <w:rFonts w:asciiTheme="minorBidi" w:hAnsiTheme="minorBidi"/>
          <w:rtl/>
        </w:rPr>
      </w:pPr>
      <w:r>
        <w:rPr>
          <w:rStyle w:val="a5"/>
        </w:rPr>
        <w:footnoteRef/>
      </w:r>
      <w:r>
        <w:rPr>
          <w:rtl/>
        </w:rPr>
        <w:t xml:space="preserve"> </w:t>
      </w:r>
      <w:proofErr w:type="spellStart"/>
      <w:r w:rsidRPr="00D00568">
        <w:rPr>
          <w:rFonts w:ascii="David" w:hAnsi="David" w:cs="David" w:hint="cs"/>
          <w:rtl/>
        </w:rPr>
        <w:t>מלמן</w:t>
      </w:r>
      <w:proofErr w:type="spellEnd"/>
      <w:r w:rsidRPr="00D00568">
        <w:rPr>
          <w:rFonts w:ascii="David" w:hAnsi="David" w:cs="David" w:hint="cs"/>
          <w:rtl/>
        </w:rPr>
        <w:t xml:space="preserve">, ב׳ (2001). "מותה של סוכנת: מגדר, זיכרון והנצחה", בתוך: מרגלית שילה, רות </w:t>
      </w:r>
      <w:proofErr w:type="spellStart"/>
      <w:r w:rsidRPr="00D00568">
        <w:rPr>
          <w:rFonts w:ascii="David" w:hAnsi="David" w:cs="David" w:hint="cs"/>
          <w:rtl/>
        </w:rPr>
        <w:t>קרק</w:t>
      </w:r>
      <w:proofErr w:type="spellEnd"/>
      <w:r w:rsidRPr="00D00568">
        <w:rPr>
          <w:rFonts w:ascii="David" w:hAnsi="David" w:cs="David" w:hint="cs"/>
          <w:rtl/>
        </w:rPr>
        <w:t xml:space="preserve"> וגלית חזן-רוקם (עורכות), העבריות החדשות: נשים ביישוב ובציונות בראי </w:t>
      </w:r>
      <w:proofErr w:type="spellStart"/>
      <w:r w:rsidRPr="00D00568">
        <w:rPr>
          <w:rFonts w:ascii="David" w:hAnsi="David" w:cs="David" w:hint="cs"/>
          <w:rtl/>
        </w:rPr>
        <w:t>המיגדר</w:t>
      </w:r>
      <w:proofErr w:type="spellEnd"/>
      <w:r w:rsidRPr="00D00568">
        <w:rPr>
          <w:rFonts w:ascii="David" w:hAnsi="David" w:cs="David" w:hint="cs"/>
          <w:rtl/>
        </w:rPr>
        <w:t>, (ירושלים; הוצאת יד יצחק בן-צבי), עמ' 424</w:t>
      </w:r>
    </w:p>
    <w:p w14:paraId="29135BAD" w14:textId="02796C1D" w:rsidR="00DD54A8" w:rsidRDefault="00DD54A8">
      <w:pPr>
        <w:pStyle w:val="a3"/>
      </w:pPr>
    </w:p>
  </w:footnote>
  <w:footnote w:id="25">
    <w:p w14:paraId="5BBF3817" w14:textId="79B28E61" w:rsidR="00DD54A8" w:rsidRDefault="00DD54A8">
      <w:pPr>
        <w:pStyle w:val="a3"/>
      </w:pPr>
      <w:r>
        <w:rPr>
          <w:rStyle w:val="a5"/>
        </w:rPr>
        <w:footnoteRef/>
      </w:r>
      <w:r>
        <w:rPr>
          <w:rtl/>
        </w:rPr>
        <w:t xml:space="preserve"> </w:t>
      </w:r>
      <w:proofErr w:type="spellStart"/>
      <w:r w:rsidRPr="00D00568">
        <w:rPr>
          <w:rFonts w:ascii="David" w:hAnsi="David" w:cs="David" w:hint="cs"/>
          <w:rtl/>
        </w:rPr>
        <w:t>מלמן</w:t>
      </w:r>
      <w:proofErr w:type="spellEnd"/>
      <w:r w:rsidRPr="00D00568">
        <w:rPr>
          <w:rFonts w:ascii="David" w:hAnsi="David" w:cs="David" w:hint="cs"/>
          <w:rtl/>
        </w:rPr>
        <w:t xml:space="preserve">, ב׳ (2001). "מותה של סוכנת: מגדר, זיכרון והנצחה", בתוך: מרגלית שילה, רות </w:t>
      </w:r>
      <w:proofErr w:type="spellStart"/>
      <w:r w:rsidRPr="00D00568">
        <w:rPr>
          <w:rFonts w:ascii="David" w:hAnsi="David" w:cs="David" w:hint="cs"/>
          <w:rtl/>
        </w:rPr>
        <w:t>קרק</w:t>
      </w:r>
      <w:proofErr w:type="spellEnd"/>
      <w:r w:rsidRPr="00D00568">
        <w:rPr>
          <w:rFonts w:ascii="David" w:hAnsi="David" w:cs="David" w:hint="cs"/>
          <w:rtl/>
        </w:rPr>
        <w:t xml:space="preserve"> וגלית חזן-רוקם (עורכות), העבריות החדשות: נשים ביישוב ובציונות בראי </w:t>
      </w:r>
      <w:proofErr w:type="spellStart"/>
      <w:r w:rsidRPr="00D00568">
        <w:rPr>
          <w:rFonts w:ascii="David" w:hAnsi="David" w:cs="David" w:hint="cs"/>
          <w:rtl/>
        </w:rPr>
        <w:t>המיגדר</w:t>
      </w:r>
      <w:proofErr w:type="spellEnd"/>
      <w:r w:rsidRPr="00D00568">
        <w:rPr>
          <w:rFonts w:ascii="David" w:hAnsi="David" w:cs="David" w:hint="cs"/>
          <w:rtl/>
        </w:rPr>
        <w:t>, (ירושלים; הוצאת יד יצחק בן-צבי), עמ' 424</w:t>
      </w:r>
    </w:p>
  </w:footnote>
  <w:footnote w:id="26">
    <w:p w14:paraId="65F7DC97" w14:textId="3ECEACAB" w:rsidR="000418FF" w:rsidRDefault="000418FF">
      <w:pPr>
        <w:pStyle w:val="a3"/>
      </w:pPr>
      <w:r>
        <w:rPr>
          <w:rStyle w:val="a5"/>
        </w:rPr>
        <w:footnoteRef/>
      </w:r>
      <w:r>
        <w:rPr>
          <w:rtl/>
        </w:rPr>
        <w:t xml:space="preserve"> </w:t>
      </w:r>
      <w:proofErr w:type="spellStart"/>
      <w:r w:rsidRPr="00D00568">
        <w:rPr>
          <w:rFonts w:ascii="David" w:hAnsi="David" w:cs="David" w:hint="cs"/>
          <w:rtl/>
        </w:rPr>
        <w:t>מלמן</w:t>
      </w:r>
      <w:proofErr w:type="spellEnd"/>
      <w:r w:rsidRPr="00D00568">
        <w:rPr>
          <w:rFonts w:ascii="David" w:hAnsi="David" w:cs="David" w:hint="cs"/>
          <w:rtl/>
        </w:rPr>
        <w:t xml:space="preserve">, ב׳ (2001). "מותה של סוכנת: מגדר, זיכרון והנצחה", בתוך: מרגלית שילה, רות </w:t>
      </w:r>
      <w:proofErr w:type="spellStart"/>
      <w:r w:rsidRPr="00D00568">
        <w:rPr>
          <w:rFonts w:ascii="David" w:hAnsi="David" w:cs="David" w:hint="cs"/>
          <w:rtl/>
        </w:rPr>
        <w:t>קרק</w:t>
      </w:r>
      <w:proofErr w:type="spellEnd"/>
      <w:r w:rsidRPr="00D00568">
        <w:rPr>
          <w:rFonts w:ascii="David" w:hAnsi="David" w:cs="David" w:hint="cs"/>
          <w:rtl/>
        </w:rPr>
        <w:t xml:space="preserve"> וגלית חזן-רוקם (עורכות), העבריות החדשות: נשים ביישוב ובציונות בראי </w:t>
      </w:r>
      <w:proofErr w:type="spellStart"/>
      <w:r w:rsidRPr="00D00568">
        <w:rPr>
          <w:rFonts w:ascii="David" w:hAnsi="David" w:cs="David" w:hint="cs"/>
          <w:rtl/>
        </w:rPr>
        <w:t>המיגדר</w:t>
      </w:r>
      <w:proofErr w:type="spellEnd"/>
      <w:r w:rsidRPr="00D00568">
        <w:rPr>
          <w:rFonts w:ascii="David" w:hAnsi="David" w:cs="David" w:hint="cs"/>
          <w:rtl/>
        </w:rPr>
        <w:t>, (ירושלים; הוצאת יד יצחק בן-צבי), עמ' 419.</w:t>
      </w:r>
    </w:p>
  </w:footnote>
  <w:footnote w:id="27">
    <w:p w14:paraId="747E11AB" w14:textId="550869B9" w:rsidR="00F0257B" w:rsidRDefault="00F0257B">
      <w:pPr>
        <w:pStyle w:val="a3"/>
        <w:rPr>
          <w:rtl/>
        </w:rPr>
      </w:pPr>
      <w:r>
        <w:rPr>
          <w:rStyle w:val="a5"/>
        </w:rPr>
        <w:footnoteRef/>
      </w:r>
      <w:r>
        <w:rPr>
          <w:rtl/>
        </w:rPr>
        <w:t xml:space="preserve"> </w:t>
      </w:r>
      <w:proofErr w:type="spellStart"/>
      <w:r w:rsidRPr="00D00568">
        <w:rPr>
          <w:rFonts w:ascii="David" w:hAnsi="David" w:cs="David" w:hint="cs"/>
          <w:rtl/>
        </w:rPr>
        <w:t>מלמן</w:t>
      </w:r>
      <w:proofErr w:type="spellEnd"/>
      <w:r w:rsidRPr="00D00568">
        <w:rPr>
          <w:rFonts w:ascii="David" w:hAnsi="David" w:cs="David" w:hint="cs"/>
          <w:rtl/>
        </w:rPr>
        <w:t xml:space="preserve">, ב׳ (2001). "מותה של סוכנת: מגדר, זיכרון והנצחה", בתוך: מרגלית שילה, רות </w:t>
      </w:r>
      <w:proofErr w:type="spellStart"/>
      <w:r w:rsidRPr="00D00568">
        <w:rPr>
          <w:rFonts w:ascii="David" w:hAnsi="David" w:cs="David" w:hint="cs"/>
          <w:rtl/>
        </w:rPr>
        <w:t>קרק</w:t>
      </w:r>
      <w:proofErr w:type="spellEnd"/>
      <w:r w:rsidRPr="00D00568">
        <w:rPr>
          <w:rFonts w:ascii="David" w:hAnsi="David" w:cs="David" w:hint="cs"/>
          <w:rtl/>
        </w:rPr>
        <w:t xml:space="preserve"> וגלית חזן-רוקם (עורכות), העבריות החדשות: נשים ביישוב ובציונות בראי </w:t>
      </w:r>
      <w:proofErr w:type="spellStart"/>
      <w:r w:rsidRPr="00D00568">
        <w:rPr>
          <w:rFonts w:ascii="David" w:hAnsi="David" w:cs="David" w:hint="cs"/>
          <w:rtl/>
        </w:rPr>
        <w:t>המיגדר</w:t>
      </w:r>
      <w:proofErr w:type="spellEnd"/>
      <w:r w:rsidRPr="00D00568">
        <w:rPr>
          <w:rFonts w:ascii="David" w:hAnsi="David" w:cs="David" w:hint="cs"/>
          <w:rtl/>
        </w:rPr>
        <w:t>, (ירושלים; הוצאת יד יצחק בן-צבי), עמ' 422.</w:t>
      </w:r>
    </w:p>
  </w:footnote>
  <w:footnote w:id="28">
    <w:p w14:paraId="54A229C9" w14:textId="2AF098A6" w:rsidR="00854B5C" w:rsidRDefault="00854B5C">
      <w:pPr>
        <w:pStyle w:val="a3"/>
      </w:pPr>
      <w:r>
        <w:rPr>
          <w:rStyle w:val="a5"/>
        </w:rPr>
        <w:footnoteRef/>
      </w:r>
      <w:r>
        <w:rPr>
          <w:rtl/>
        </w:rPr>
        <w:t xml:space="preserve"> </w:t>
      </w:r>
      <w:proofErr w:type="spellStart"/>
      <w:r w:rsidR="00D00568">
        <w:rPr>
          <w:rFonts w:cs="David" w:hint="cs"/>
          <w:rtl/>
        </w:rPr>
        <w:t>מלמן</w:t>
      </w:r>
      <w:proofErr w:type="spellEnd"/>
      <w:r w:rsidR="00D00568">
        <w:rPr>
          <w:rFonts w:cs="David" w:hint="cs"/>
          <w:rtl/>
        </w:rPr>
        <w:t xml:space="preserve">, ב׳ (1996). </w:t>
      </w:r>
      <w:r>
        <w:rPr>
          <w:rFonts w:cs="David" w:hint="cs"/>
          <w:rtl/>
        </w:rPr>
        <w:t xml:space="preserve">מן השוליים אל </w:t>
      </w:r>
      <w:r w:rsidR="00D00568">
        <w:rPr>
          <w:rFonts w:cs="David" w:hint="cs"/>
          <w:rtl/>
        </w:rPr>
        <w:t>ההיסטוריה</w:t>
      </w:r>
      <w:r>
        <w:rPr>
          <w:rFonts w:cs="David" w:hint="cs"/>
          <w:rtl/>
        </w:rPr>
        <w:t xml:space="preserve"> של היישוב:</w:t>
      </w:r>
      <w:r w:rsidR="00D00568">
        <w:rPr>
          <w:rFonts w:cs="David" w:hint="cs"/>
          <w:rtl/>
        </w:rPr>
        <w:t xml:space="preserve"> </w:t>
      </w:r>
      <w:r>
        <w:rPr>
          <w:rFonts w:cs="David" w:hint="cs"/>
          <w:rtl/>
        </w:rPr>
        <w:t xml:space="preserve">מגדר וארץ-ישראליות, </w:t>
      </w:r>
      <w:r w:rsidRPr="00D00568">
        <w:rPr>
          <w:rFonts w:cs="David" w:hint="cs"/>
          <w:rtl/>
        </w:rPr>
        <w:t>ציון</w:t>
      </w:r>
      <w:r>
        <w:rPr>
          <w:rFonts w:cs="David" w:hint="cs"/>
          <w:rtl/>
        </w:rPr>
        <w:t>, ס"ב,  ירושלים: החברה ההיסטורית הישראלית, עמ' 246</w:t>
      </w:r>
      <w:r w:rsidR="00D00568">
        <w:rPr>
          <w:rFonts w:hint="cs"/>
          <w:rtl/>
        </w:rPr>
        <w:t>.</w:t>
      </w:r>
    </w:p>
  </w:footnote>
  <w:footnote w:id="29">
    <w:p w14:paraId="45B27045" w14:textId="2C937DDC" w:rsidR="003175C1" w:rsidRDefault="003175C1">
      <w:pPr>
        <w:pStyle w:val="a3"/>
      </w:pPr>
      <w:r>
        <w:rPr>
          <w:rStyle w:val="a5"/>
        </w:rPr>
        <w:footnoteRef/>
      </w:r>
      <w:r>
        <w:rPr>
          <w:rtl/>
        </w:rPr>
        <w:t xml:space="preserve"> </w:t>
      </w:r>
      <w:proofErr w:type="spellStart"/>
      <w:r w:rsidR="00D00568">
        <w:rPr>
          <w:rFonts w:cs="David" w:hint="cs"/>
          <w:rtl/>
        </w:rPr>
        <w:t>מלמן</w:t>
      </w:r>
      <w:proofErr w:type="spellEnd"/>
      <w:r w:rsidR="00D00568">
        <w:rPr>
          <w:rFonts w:cs="David" w:hint="cs"/>
          <w:rtl/>
        </w:rPr>
        <w:t xml:space="preserve">, ב׳ (1996). מן השוליים אל ההיסטוריה של היישוב: מגדר וארץ-ישראליות, </w:t>
      </w:r>
      <w:r w:rsidR="00D00568" w:rsidRPr="00D00568">
        <w:rPr>
          <w:rFonts w:cs="David" w:hint="cs"/>
          <w:rtl/>
        </w:rPr>
        <w:t>ציון</w:t>
      </w:r>
      <w:r w:rsidR="00D00568">
        <w:rPr>
          <w:rFonts w:cs="David" w:hint="cs"/>
          <w:rtl/>
        </w:rPr>
        <w:t xml:space="preserve">, ס"ב,  ירושלים: החברה ההיסטורית הישראלית, </w:t>
      </w:r>
      <w:r>
        <w:rPr>
          <w:rFonts w:cs="David" w:hint="cs"/>
          <w:rtl/>
        </w:rPr>
        <w:t>עמ' 357.</w:t>
      </w:r>
    </w:p>
  </w:footnote>
  <w:footnote w:id="30">
    <w:p w14:paraId="31625243" w14:textId="4B150E74" w:rsidR="00EF5224" w:rsidRDefault="00EF5224">
      <w:pPr>
        <w:pStyle w:val="a3"/>
      </w:pPr>
      <w:r>
        <w:rPr>
          <w:rStyle w:val="a5"/>
        </w:rPr>
        <w:footnoteRef/>
      </w:r>
      <w:r>
        <w:rPr>
          <w:rtl/>
        </w:rPr>
        <w:t xml:space="preserve"> </w:t>
      </w:r>
      <w:r w:rsidRPr="00D00568">
        <w:rPr>
          <w:rFonts w:ascii="David" w:hAnsi="David" w:cs="David" w:hint="cs"/>
          <w:rtl/>
        </w:rPr>
        <w:t>תכלת, ר׳ (1947). קפיטן ללא כוכבים, גיליון שבועון לאישה, 2.10.1947.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DD2"/>
    <w:rsid w:val="00007153"/>
    <w:rsid w:val="00012A6B"/>
    <w:rsid w:val="000418FF"/>
    <w:rsid w:val="000522A2"/>
    <w:rsid w:val="00070027"/>
    <w:rsid w:val="00081AE5"/>
    <w:rsid w:val="00084E5A"/>
    <w:rsid w:val="000C1E73"/>
    <w:rsid w:val="000F2B1F"/>
    <w:rsid w:val="000F7B47"/>
    <w:rsid w:val="00114172"/>
    <w:rsid w:val="00146A80"/>
    <w:rsid w:val="0017310A"/>
    <w:rsid w:val="00174CE2"/>
    <w:rsid w:val="001A7C62"/>
    <w:rsid w:val="001F0B6B"/>
    <w:rsid w:val="002077A3"/>
    <w:rsid w:val="002315DA"/>
    <w:rsid w:val="00237C28"/>
    <w:rsid w:val="00255A28"/>
    <w:rsid w:val="00270C42"/>
    <w:rsid w:val="0029033C"/>
    <w:rsid w:val="002D659D"/>
    <w:rsid w:val="002F11DD"/>
    <w:rsid w:val="002F4119"/>
    <w:rsid w:val="003175C1"/>
    <w:rsid w:val="003C65A4"/>
    <w:rsid w:val="003D0215"/>
    <w:rsid w:val="003D5781"/>
    <w:rsid w:val="003E3A21"/>
    <w:rsid w:val="003F34FF"/>
    <w:rsid w:val="00406FE6"/>
    <w:rsid w:val="004469CD"/>
    <w:rsid w:val="004519F8"/>
    <w:rsid w:val="004E0400"/>
    <w:rsid w:val="004E5D71"/>
    <w:rsid w:val="00505AE2"/>
    <w:rsid w:val="00520855"/>
    <w:rsid w:val="00523E13"/>
    <w:rsid w:val="00527088"/>
    <w:rsid w:val="005319F6"/>
    <w:rsid w:val="0054603C"/>
    <w:rsid w:val="005747B7"/>
    <w:rsid w:val="00580941"/>
    <w:rsid w:val="005C4689"/>
    <w:rsid w:val="005D10B2"/>
    <w:rsid w:val="005E1DE1"/>
    <w:rsid w:val="006026AF"/>
    <w:rsid w:val="00607DF3"/>
    <w:rsid w:val="006C6858"/>
    <w:rsid w:val="00731449"/>
    <w:rsid w:val="00732A9D"/>
    <w:rsid w:val="007677F8"/>
    <w:rsid w:val="007A1C58"/>
    <w:rsid w:val="007B021D"/>
    <w:rsid w:val="007B4DD2"/>
    <w:rsid w:val="007F675C"/>
    <w:rsid w:val="008019D8"/>
    <w:rsid w:val="00846758"/>
    <w:rsid w:val="00854B5C"/>
    <w:rsid w:val="008A52C3"/>
    <w:rsid w:val="008B4AFD"/>
    <w:rsid w:val="00922330"/>
    <w:rsid w:val="00944559"/>
    <w:rsid w:val="00955361"/>
    <w:rsid w:val="009801EB"/>
    <w:rsid w:val="00984BE6"/>
    <w:rsid w:val="00997AB5"/>
    <w:rsid w:val="009B0083"/>
    <w:rsid w:val="009C346A"/>
    <w:rsid w:val="009C54A5"/>
    <w:rsid w:val="009F58D4"/>
    <w:rsid w:val="00A1124C"/>
    <w:rsid w:val="00A51BE0"/>
    <w:rsid w:val="00A51E3D"/>
    <w:rsid w:val="00A53A92"/>
    <w:rsid w:val="00AB31A2"/>
    <w:rsid w:val="00AC6D20"/>
    <w:rsid w:val="00B55659"/>
    <w:rsid w:val="00BA0612"/>
    <w:rsid w:val="00C037B2"/>
    <w:rsid w:val="00C04158"/>
    <w:rsid w:val="00C23B0B"/>
    <w:rsid w:val="00C53071"/>
    <w:rsid w:val="00C61439"/>
    <w:rsid w:val="00CB4F33"/>
    <w:rsid w:val="00CD73B3"/>
    <w:rsid w:val="00CE225E"/>
    <w:rsid w:val="00D00568"/>
    <w:rsid w:val="00D1424A"/>
    <w:rsid w:val="00D632B5"/>
    <w:rsid w:val="00D650B5"/>
    <w:rsid w:val="00DB1019"/>
    <w:rsid w:val="00DD54A8"/>
    <w:rsid w:val="00E5582D"/>
    <w:rsid w:val="00E61AC7"/>
    <w:rsid w:val="00EA6CF3"/>
    <w:rsid w:val="00EC5A6F"/>
    <w:rsid w:val="00ED5D23"/>
    <w:rsid w:val="00EF5224"/>
    <w:rsid w:val="00F0257B"/>
    <w:rsid w:val="00F26ABB"/>
    <w:rsid w:val="00F319E6"/>
    <w:rsid w:val="00F33DBD"/>
    <w:rsid w:val="00F50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8D44"/>
  <w15:docId w15:val="{1E3D54CB-0B1E-2447-905A-2E3D2F9E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24A"/>
    <w:rPr>
      <w:rFonts w:ascii="Times New Roman" w:eastAsia="Times New Roman" w:hAnsi="Times New Roman" w:cs="Times New Roman"/>
    </w:rPr>
  </w:style>
  <w:style w:type="paragraph" w:styleId="1">
    <w:name w:val="heading 1"/>
    <w:basedOn w:val="a"/>
    <w:link w:val="10"/>
    <w:uiPriority w:val="9"/>
    <w:qFormat/>
    <w:rsid w:val="003E3A2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7B4DD2"/>
    <w:pPr>
      <w:bidi/>
    </w:pPr>
    <w:rPr>
      <w:rFonts w:asciiTheme="minorHAnsi" w:eastAsiaTheme="minorHAnsi" w:hAnsiTheme="minorHAnsi" w:cstheme="minorBidi"/>
      <w:sz w:val="20"/>
      <w:szCs w:val="20"/>
    </w:rPr>
  </w:style>
  <w:style w:type="character" w:customStyle="1" w:styleId="a4">
    <w:name w:val="טקסט הערת שוליים תו"/>
    <w:basedOn w:val="a0"/>
    <w:link w:val="a3"/>
    <w:uiPriority w:val="99"/>
    <w:rsid w:val="007B4DD2"/>
    <w:rPr>
      <w:sz w:val="20"/>
      <w:szCs w:val="20"/>
    </w:rPr>
  </w:style>
  <w:style w:type="character" w:styleId="a5">
    <w:name w:val="footnote reference"/>
    <w:basedOn w:val="a0"/>
    <w:uiPriority w:val="99"/>
    <w:semiHidden/>
    <w:unhideWhenUsed/>
    <w:rsid w:val="007B4DD2"/>
    <w:rPr>
      <w:vertAlign w:val="superscript"/>
    </w:rPr>
  </w:style>
  <w:style w:type="character" w:customStyle="1" w:styleId="10">
    <w:name w:val="כותרת 1 תו"/>
    <w:basedOn w:val="a0"/>
    <w:link w:val="1"/>
    <w:uiPriority w:val="9"/>
    <w:rsid w:val="003E3A21"/>
    <w:rPr>
      <w:rFonts w:ascii="Times New Roman" w:eastAsia="Times New Roman" w:hAnsi="Times New Roman" w:cs="Times New Roman"/>
      <w:b/>
      <w:bCs/>
      <w:kern w:val="36"/>
      <w:sz w:val="48"/>
      <w:szCs w:val="48"/>
    </w:rPr>
  </w:style>
  <w:style w:type="character" w:styleId="a6">
    <w:name w:val="Strong"/>
    <w:basedOn w:val="a0"/>
    <w:uiPriority w:val="22"/>
    <w:qFormat/>
    <w:rsid w:val="003E3A21"/>
    <w:rPr>
      <w:b/>
      <w:bCs/>
    </w:rPr>
  </w:style>
  <w:style w:type="paragraph" w:styleId="a7">
    <w:name w:val="Balloon Text"/>
    <w:basedOn w:val="a"/>
    <w:link w:val="a8"/>
    <w:uiPriority w:val="99"/>
    <w:semiHidden/>
    <w:unhideWhenUsed/>
    <w:rsid w:val="004E5D71"/>
    <w:rPr>
      <w:rFonts w:ascii="Tahoma" w:hAnsi="Tahoma" w:cs="Tahoma"/>
      <w:sz w:val="16"/>
      <w:szCs w:val="16"/>
    </w:rPr>
  </w:style>
  <w:style w:type="character" w:customStyle="1" w:styleId="a8">
    <w:name w:val="טקסט בלונים תו"/>
    <w:basedOn w:val="a0"/>
    <w:link w:val="a7"/>
    <w:uiPriority w:val="99"/>
    <w:semiHidden/>
    <w:rsid w:val="004E5D71"/>
    <w:rPr>
      <w:rFonts w:ascii="Tahoma" w:eastAsia="Times New Roman" w:hAnsi="Tahoma" w:cs="Tahoma"/>
      <w:sz w:val="16"/>
      <w:szCs w:val="16"/>
    </w:rPr>
  </w:style>
  <w:style w:type="paragraph" w:styleId="a9">
    <w:name w:val="header"/>
    <w:basedOn w:val="a"/>
    <w:link w:val="aa"/>
    <w:uiPriority w:val="99"/>
    <w:unhideWhenUsed/>
    <w:rsid w:val="00406FE6"/>
    <w:pPr>
      <w:tabs>
        <w:tab w:val="center" w:pos="4153"/>
        <w:tab w:val="right" w:pos="8306"/>
      </w:tabs>
    </w:pPr>
  </w:style>
  <w:style w:type="character" w:customStyle="1" w:styleId="aa">
    <w:name w:val="כותרת עליונה תו"/>
    <w:basedOn w:val="a0"/>
    <w:link w:val="a9"/>
    <w:uiPriority w:val="99"/>
    <w:rsid w:val="00406FE6"/>
    <w:rPr>
      <w:rFonts w:ascii="Times New Roman" w:eastAsia="Times New Roman" w:hAnsi="Times New Roman" w:cs="Times New Roman"/>
    </w:rPr>
  </w:style>
  <w:style w:type="paragraph" w:styleId="ab">
    <w:name w:val="footer"/>
    <w:basedOn w:val="a"/>
    <w:link w:val="ac"/>
    <w:uiPriority w:val="99"/>
    <w:unhideWhenUsed/>
    <w:rsid w:val="00406FE6"/>
    <w:pPr>
      <w:tabs>
        <w:tab w:val="center" w:pos="4153"/>
        <w:tab w:val="right" w:pos="8306"/>
      </w:tabs>
    </w:pPr>
  </w:style>
  <w:style w:type="character" w:customStyle="1" w:styleId="ac">
    <w:name w:val="כותרת תחתונה תו"/>
    <w:basedOn w:val="a0"/>
    <w:link w:val="ab"/>
    <w:uiPriority w:val="99"/>
    <w:rsid w:val="00406FE6"/>
    <w:rPr>
      <w:rFonts w:ascii="Times New Roman" w:eastAsia="Times New Roman" w:hAnsi="Times New Roman" w:cs="Times New Roman"/>
    </w:rPr>
  </w:style>
  <w:style w:type="character" w:styleId="ad">
    <w:name w:val="page number"/>
    <w:basedOn w:val="a0"/>
    <w:uiPriority w:val="99"/>
    <w:semiHidden/>
    <w:unhideWhenUsed/>
    <w:rsid w:val="002F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3665">
      <w:bodyDiv w:val="1"/>
      <w:marLeft w:val="0"/>
      <w:marRight w:val="0"/>
      <w:marTop w:val="0"/>
      <w:marBottom w:val="0"/>
      <w:divBdr>
        <w:top w:val="none" w:sz="0" w:space="0" w:color="auto"/>
        <w:left w:val="none" w:sz="0" w:space="0" w:color="auto"/>
        <w:bottom w:val="none" w:sz="0" w:space="0" w:color="auto"/>
        <w:right w:val="none" w:sz="0" w:space="0" w:color="auto"/>
      </w:divBdr>
    </w:div>
    <w:div w:id="991064101">
      <w:bodyDiv w:val="1"/>
      <w:marLeft w:val="0"/>
      <w:marRight w:val="0"/>
      <w:marTop w:val="0"/>
      <w:marBottom w:val="0"/>
      <w:divBdr>
        <w:top w:val="none" w:sz="0" w:space="0" w:color="auto"/>
        <w:left w:val="none" w:sz="0" w:space="0" w:color="auto"/>
        <w:bottom w:val="none" w:sz="0" w:space="0" w:color="auto"/>
        <w:right w:val="none" w:sz="0" w:space="0" w:color="auto"/>
      </w:divBdr>
    </w:div>
    <w:div w:id="1191534176">
      <w:bodyDiv w:val="1"/>
      <w:marLeft w:val="0"/>
      <w:marRight w:val="0"/>
      <w:marTop w:val="0"/>
      <w:marBottom w:val="0"/>
      <w:divBdr>
        <w:top w:val="none" w:sz="0" w:space="0" w:color="auto"/>
        <w:left w:val="none" w:sz="0" w:space="0" w:color="auto"/>
        <w:bottom w:val="none" w:sz="0" w:space="0" w:color="auto"/>
        <w:right w:val="none" w:sz="0" w:space="0" w:color="auto"/>
      </w:divBdr>
    </w:div>
    <w:div w:id="1263798351">
      <w:bodyDiv w:val="1"/>
      <w:marLeft w:val="0"/>
      <w:marRight w:val="0"/>
      <w:marTop w:val="0"/>
      <w:marBottom w:val="0"/>
      <w:divBdr>
        <w:top w:val="none" w:sz="0" w:space="0" w:color="auto"/>
        <w:left w:val="none" w:sz="0" w:space="0" w:color="auto"/>
        <w:bottom w:val="none" w:sz="0" w:space="0" w:color="auto"/>
        <w:right w:val="none" w:sz="0" w:space="0" w:color="auto"/>
      </w:divBdr>
    </w:div>
    <w:div w:id="1381855630">
      <w:bodyDiv w:val="1"/>
      <w:marLeft w:val="0"/>
      <w:marRight w:val="0"/>
      <w:marTop w:val="0"/>
      <w:marBottom w:val="0"/>
      <w:divBdr>
        <w:top w:val="none" w:sz="0" w:space="0" w:color="auto"/>
        <w:left w:val="none" w:sz="0" w:space="0" w:color="auto"/>
        <w:bottom w:val="none" w:sz="0" w:space="0" w:color="auto"/>
        <w:right w:val="none" w:sz="0" w:space="0" w:color="auto"/>
      </w:divBdr>
    </w:div>
    <w:div w:id="1586962590">
      <w:bodyDiv w:val="1"/>
      <w:marLeft w:val="0"/>
      <w:marRight w:val="0"/>
      <w:marTop w:val="0"/>
      <w:marBottom w:val="0"/>
      <w:divBdr>
        <w:top w:val="none" w:sz="0" w:space="0" w:color="auto"/>
        <w:left w:val="none" w:sz="0" w:space="0" w:color="auto"/>
        <w:bottom w:val="none" w:sz="0" w:space="0" w:color="auto"/>
        <w:right w:val="none" w:sz="0" w:space="0" w:color="auto"/>
      </w:divBdr>
    </w:div>
    <w:div w:id="1620379864">
      <w:bodyDiv w:val="1"/>
      <w:marLeft w:val="0"/>
      <w:marRight w:val="0"/>
      <w:marTop w:val="0"/>
      <w:marBottom w:val="0"/>
      <w:divBdr>
        <w:top w:val="none" w:sz="0" w:space="0" w:color="auto"/>
        <w:left w:val="none" w:sz="0" w:space="0" w:color="auto"/>
        <w:bottom w:val="none" w:sz="0" w:space="0" w:color="auto"/>
        <w:right w:val="none" w:sz="0" w:space="0" w:color="auto"/>
      </w:divBdr>
    </w:div>
    <w:div w:id="20544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03E3C-A14E-4899-98F6-B6D06876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2619</Words>
  <Characters>13095</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49</cp:revision>
  <dcterms:created xsi:type="dcterms:W3CDTF">2021-08-01T18:53:00Z</dcterms:created>
  <dcterms:modified xsi:type="dcterms:W3CDTF">2021-09-11T14:52:00Z</dcterms:modified>
</cp:coreProperties>
</file>