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page" w:horzAnchor="margin" w:tblpXSpec="center" w:tblpY="411"/>
        <w:bidiVisual/>
        <w:tblW w:w="11205" w:type="dxa"/>
        <w:tblLook w:val="04A0" w:firstRow="1" w:lastRow="0" w:firstColumn="1" w:lastColumn="0" w:noHBand="0" w:noVBand="1"/>
      </w:tblPr>
      <w:tblGrid>
        <w:gridCol w:w="3735"/>
        <w:gridCol w:w="3735"/>
        <w:gridCol w:w="3735"/>
      </w:tblGrid>
      <w:tr w:rsidR="00542DE8" w:rsidTr="00F76D43">
        <w:trPr>
          <w:trHeight w:val="220"/>
        </w:trPr>
        <w:tc>
          <w:tcPr>
            <w:tcW w:w="3735" w:type="dxa"/>
          </w:tcPr>
          <w:p w:rsidR="00542DE8" w:rsidRPr="00542DE8" w:rsidRDefault="00542DE8" w:rsidP="00F76D43">
            <w:pPr>
              <w:jc w:val="center"/>
              <w:rPr>
                <w:rFonts w:ascii="David" w:hAnsi="David" w:cs="David" w:hint="cs"/>
                <w:b/>
                <w:bCs/>
                <w:rtl/>
              </w:rPr>
            </w:pPr>
            <w:r w:rsidRPr="00542DE8">
              <w:rPr>
                <w:rFonts w:ascii="David" w:hAnsi="David" w:cs="David" w:hint="cs"/>
                <w:b/>
                <w:bCs/>
                <w:rtl/>
              </w:rPr>
              <w:t>חוקר</w:t>
            </w:r>
          </w:p>
        </w:tc>
        <w:tc>
          <w:tcPr>
            <w:tcW w:w="3735" w:type="dxa"/>
          </w:tcPr>
          <w:p w:rsidR="00542DE8" w:rsidRPr="00542DE8" w:rsidRDefault="00542DE8" w:rsidP="00F76D43">
            <w:pPr>
              <w:jc w:val="center"/>
              <w:rPr>
                <w:rFonts w:ascii="David" w:hAnsi="David" w:cs="David" w:hint="cs"/>
                <w:b/>
                <w:bCs/>
                <w:rtl/>
              </w:rPr>
            </w:pPr>
            <w:r w:rsidRPr="00542DE8">
              <w:rPr>
                <w:rFonts w:ascii="David" w:hAnsi="David" w:cs="David" w:hint="cs"/>
                <w:b/>
                <w:bCs/>
                <w:rtl/>
              </w:rPr>
              <w:t xml:space="preserve">מה </w:t>
            </w:r>
            <w:r>
              <w:rPr>
                <w:rFonts w:ascii="David" w:hAnsi="David" w:cs="David" w:hint="cs"/>
                <w:b/>
                <w:bCs/>
                <w:rtl/>
              </w:rPr>
              <w:t>רוצה מאיתנו</w:t>
            </w:r>
            <w:r w:rsidRPr="00542DE8">
              <w:rPr>
                <w:rFonts w:ascii="David" w:hAnsi="David" w:cs="David" w:hint="cs"/>
                <w:b/>
                <w:bCs/>
                <w:rtl/>
              </w:rPr>
              <w:t>?</w:t>
            </w:r>
          </w:p>
        </w:tc>
        <w:tc>
          <w:tcPr>
            <w:tcW w:w="3735" w:type="dxa"/>
          </w:tcPr>
          <w:p w:rsidR="00542DE8" w:rsidRPr="00542DE8" w:rsidRDefault="00542DE8" w:rsidP="00F76D43">
            <w:pPr>
              <w:jc w:val="center"/>
              <w:rPr>
                <w:rFonts w:ascii="David" w:hAnsi="David" w:cs="David" w:hint="cs"/>
                <w:b/>
                <w:bCs/>
                <w:rtl/>
              </w:rPr>
            </w:pPr>
            <w:r>
              <w:rPr>
                <w:rFonts w:ascii="David" w:hAnsi="David" w:cs="David" w:hint="cs"/>
                <w:b/>
                <w:bCs/>
                <w:rtl/>
              </w:rPr>
              <w:t>מושגים עיקריים</w:t>
            </w:r>
          </w:p>
        </w:tc>
      </w:tr>
      <w:tr w:rsidR="00542DE8" w:rsidTr="00F76D43">
        <w:trPr>
          <w:trHeight w:val="1091"/>
        </w:trPr>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יוהאן הויזנחה</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מטרת המשחק היא הנאה וכל מה שלא קשור לכך, גורם לקלקול המשחק. כלומר, כאשר יכניסו לתוך המשחק הימורים, רמאות או כל דבר שקשור בהפקת רווחים, הדבר עלול לפגוע בו.</w:t>
            </w:r>
          </w:p>
        </w:tc>
        <w:tc>
          <w:tcPr>
            <w:tcW w:w="3735" w:type="dxa"/>
          </w:tcPr>
          <w:p w:rsidR="00542DE8" w:rsidRPr="00542DE8" w:rsidRDefault="00542DE8" w:rsidP="00F76D43">
            <w:pPr>
              <w:rPr>
                <w:rFonts w:ascii="David" w:hAnsi="David" w:cs="David" w:hint="cs"/>
                <w:sz w:val="22"/>
                <w:szCs w:val="22"/>
                <w:rtl/>
              </w:rPr>
            </w:pPr>
            <w:r w:rsidRPr="00EC64AD">
              <w:rPr>
                <w:rFonts w:ascii="David" w:hAnsi="David" w:cs="David" w:hint="cs"/>
                <w:b/>
                <w:bCs/>
                <w:sz w:val="22"/>
                <w:szCs w:val="22"/>
                <w:rtl/>
              </w:rPr>
              <w:t xml:space="preserve">מעגל קסמים </w:t>
            </w:r>
            <w:r w:rsidRPr="00EC64AD">
              <w:rPr>
                <w:rFonts w:ascii="David" w:hAnsi="David" w:cs="David"/>
                <w:b/>
                <w:bCs/>
                <w:sz w:val="22"/>
                <w:szCs w:val="22"/>
                <w:rtl/>
              </w:rPr>
              <w:t>–</w:t>
            </w:r>
            <w:r>
              <w:rPr>
                <w:rFonts w:ascii="David" w:hAnsi="David" w:cs="David" w:hint="cs"/>
                <w:sz w:val="22"/>
                <w:szCs w:val="22"/>
                <w:rtl/>
              </w:rPr>
              <w:t xml:space="preserve"> הויזנחה רואה את המשחק כישות נפרדת, כעולם נפרד.</w:t>
            </w:r>
          </w:p>
        </w:tc>
      </w:tr>
      <w:tr w:rsidR="00542DE8" w:rsidTr="00F76D43">
        <w:trPr>
          <w:trHeight w:val="870"/>
        </w:trPr>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 xml:space="preserve">רוז׳ה קאיווה </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בגדול, הוא רואה במשחק תחום שמנוהל על ידי חוקים ומחלק אותו לשניים: האחד, הלודוס (משחק עם חוקים) והשני, פאידיה (משחק ללא חוקים).</w:t>
            </w:r>
          </w:p>
        </w:tc>
        <w:tc>
          <w:tcPr>
            <w:tcW w:w="3735" w:type="dxa"/>
          </w:tcPr>
          <w:p w:rsidR="00542DE8" w:rsidRPr="00542DE8" w:rsidRDefault="00CD35E1" w:rsidP="00F76D43">
            <w:pPr>
              <w:rPr>
                <w:rFonts w:ascii="David" w:hAnsi="David" w:cs="David" w:hint="cs"/>
                <w:sz w:val="22"/>
                <w:szCs w:val="22"/>
                <w:rtl/>
              </w:rPr>
            </w:pPr>
            <w:proofErr w:type="spellStart"/>
            <w:r>
              <w:rPr>
                <w:rFonts w:ascii="David" w:hAnsi="David" w:cs="David" w:hint="cs"/>
                <w:sz w:val="22"/>
                <w:szCs w:val="22"/>
                <w:rtl/>
              </w:rPr>
              <w:t>לודוס</w:t>
            </w:r>
            <w:proofErr w:type="spellEnd"/>
            <w:r>
              <w:rPr>
                <w:rFonts w:ascii="David" w:hAnsi="David" w:cs="David" w:hint="cs"/>
                <w:sz w:val="22"/>
                <w:szCs w:val="22"/>
                <w:rtl/>
              </w:rPr>
              <w:t>, פאידיה</w:t>
            </w:r>
            <w:bookmarkStart w:id="0" w:name="_GoBack"/>
            <w:bookmarkEnd w:id="0"/>
          </w:p>
        </w:tc>
      </w:tr>
      <w:tr w:rsidR="00542DE8" w:rsidTr="00F76D43">
        <w:trPr>
          <w:trHeight w:val="1091"/>
        </w:trPr>
        <w:tc>
          <w:tcPr>
            <w:tcW w:w="3735" w:type="dxa"/>
          </w:tcPr>
          <w:p w:rsidR="00542DE8" w:rsidRPr="00542DE8" w:rsidRDefault="00542DE8" w:rsidP="00F76D43">
            <w:pPr>
              <w:rPr>
                <w:rFonts w:ascii="David" w:hAnsi="David" w:cs="David" w:hint="cs"/>
                <w:sz w:val="22"/>
                <w:szCs w:val="22"/>
                <w:rtl/>
              </w:rPr>
            </w:pPr>
            <w:proofErr w:type="spellStart"/>
            <w:r w:rsidRPr="00542DE8">
              <w:rPr>
                <w:rFonts w:ascii="David" w:hAnsi="David" w:cs="David" w:hint="cs"/>
                <w:sz w:val="22"/>
                <w:szCs w:val="22"/>
                <w:rtl/>
              </w:rPr>
              <w:t>בריאון</w:t>
            </w:r>
            <w:proofErr w:type="spellEnd"/>
            <w:r w:rsidRPr="00542DE8">
              <w:rPr>
                <w:rFonts w:ascii="David" w:hAnsi="David" w:cs="David" w:hint="cs"/>
                <w:sz w:val="22"/>
                <w:szCs w:val="22"/>
                <w:rtl/>
              </w:rPr>
              <w:t xml:space="preserve"> </w:t>
            </w:r>
            <w:proofErr w:type="spellStart"/>
            <w:r w:rsidRPr="00542DE8">
              <w:rPr>
                <w:rFonts w:ascii="David" w:hAnsi="David" w:cs="David" w:hint="cs"/>
                <w:sz w:val="22"/>
                <w:szCs w:val="22"/>
                <w:rtl/>
              </w:rPr>
              <w:t>סאטון</w:t>
            </w:r>
            <w:proofErr w:type="spellEnd"/>
            <w:r w:rsidRPr="00542DE8">
              <w:rPr>
                <w:rFonts w:ascii="David" w:hAnsi="David" w:cs="David" w:hint="cs"/>
                <w:sz w:val="22"/>
                <w:szCs w:val="22"/>
                <w:rtl/>
              </w:rPr>
              <w:t>-סמית׳</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מציג את המשחק בתור מושג עמום במהותו ומנסה ליצור כמה קטגוריות כדי להבחין בין סוגי משחקים: משחק כהתקדמות, משחק כגורל, משחק ככוח, משחק כזהות, משחק כדמיוני, משחק כעצמי, המשחק כשטויות.</w:t>
            </w:r>
          </w:p>
        </w:tc>
        <w:tc>
          <w:tcPr>
            <w:tcW w:w="3735" w:type="dxa"/>
          </w:tcPr>
          <w:p w:rsidR="00542DE8" w:rsidRPr="00542DE8" w:rsidRDefault="00542DE8" w:rsidP="00F76D43">
            <w:pPr>
              <w:rPr>
                <w:rFonts w:ascii="David" w:hAnsi="David" w:cs="David" w:hint="cs"/>
                <w:sz w:val="22"/>
                <w:szCs w:val="22"/>
                <w:rtl/>
              </w:rPr>
            </w:pPr>
          </w:p>
        </w:tc>
      </w:tr>
      <w:tr w:rsidR="00542DE8" w:rsidTr="00F76D43">
        <w:trPr>
          <w:trHeight w:val="1312"/>
        </w:trPr>
        <w:tc>
          <w:tcPr>
            <w:tcW w:w="3735" w:type="dxa"/>
          </w:tcPr>
          <w:p w:rsidR="00542DE8" w:rsidRPr="00542DE8" w:rsidRDefault="00542DE8" w:rsidP="00F76D43">
            <w:pPr>
              <w:rPr>
                <w:rFonts w:ascii="David" w:hAnsi="David" w:cs="David" w:hint="cs"/>
                <w:sz w:val="22"/>
                <w:szCs w:val="22"/>
                <w:rtl/>
              </w:rPr>
            </w:pPr>
            <w:proofErr w:type="spellStart"/>
            <w:r w:rsidRPr="00542DE8">
              <w:rPr>
                <w:rFonts w:ascii="David" w:hAnsi="David" w:cs="David" w:hint="cs"/>
                <w:sz w:val="22"/>
                <w:szCs w:val="22"/>
                <w:rtl/>
              </w:rPr>
              <w:t>מיגל</w:t>
            </w:r>
            <w:proofErr w:type="spellEnd"/>
            <w:r w:rsidRPr="00542DE8">
              <w:rPr>
                <w:rFonts w:ascii="David" w:hAnsi="David" w:cs="David" w:hint="cs"/>
                <w:sz w:val="22"/>
                <w:szCs w:val="22"/>
                <w:rtl/>
              </w:rPr>
              <w:t xml:space="preserve"> </w:t>
            </w:r>
            <w:proofErr w:type="spellStart"/>
            <w:r w:rsidRPr="00542DE8">
              <w:rPr>
                <w:rFonts w:ascii="David" w:hAnsi="David" w:cs="David" w:hint="cs"/>
                <w:sz w:val="22"/>
                <w:szCs w:val="22"/>
                <w:rtl/>
              </w:rPr>
              <w:t>סיקארט</w:t>
            </w:r>
            <w:proofErr w:type="spellEnd"/>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מבדיל בין משחק ומשחקיות. הוא טוען כי המשחק הוא פעולה, שניתן לצפות בו, ומשחקיות היא גישה, משהו שאנשים עושים מתוקף המצבים והרגשות שלהם. זו גם הסיבה שגישות הרבה יותר קשה לזהות ולהבחין, לעומת פעולה שניתן לצפות בה.</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 xml:space="preserve">עיקרון האוטוטליות -  </w:t>
            </w:r>
            <w:r w:rsidRPr="00542DE8">
              <w:rPr>
                <w:rFonts w:ascii="David" w:hAnsi="David" w:cs="David" w:hint="cs"/>
                <w:sz w:val="22"/>
                <w:szCs w:val="22"/>
                <w:rtl/>
              </w:rPr>
              <w:t>כלל האצבע כדי להבין אם משהו הוא משחק או משחקיות</w:t>
            </w:r>
            <w:r w:rsidRPr="00542DE8">
              <w:rPr>
                <w:rFonts w:ascii="David" w:hAnsi="David" w:cs="David" w:hint="cs"/>
                <w:sz w:val="22"/>
                <w:szCs w:val="22"/>
                <w:rtl/>
              </w:rPr>
              <w:t xml:space="preserve">.  </w:t>
            </w:r>
            <w:r w:rsidRPr="00542DE8">
              <w:rPr>
                <w:rFonts w:ascii="David" w:hAnsi="David" w:cs="David" w:hint="cs"/>
                <w:sz w:val="22"/>
                <w:szCs w:val="22"/>
                <w:rtl/>
              </w:rPr>
              <w:t>המשחק הוא אוטוטלי, הנועד לצרכי עצמו. כלומר, אנחנו משחקים כדי לשחק. המשחקיות אינה כזאת, אלא משהו שלוקח חלקים, או מאפיינים מסוימים של המשחק, ומשלבת אותם בתוך פעילות אחרת.</w:t>
            </w:r>
          </w:p>
        </w:tc>
      </w:tr>
      <w:tr w:rsidR="00542DE8" w:rsidTr="00F76D43">
        <w:trPr>
          <w:trHeight w:val="257"/>
        </w:trPr>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דודי פלס</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הטיעון המרכזי של פלס, הוא ש</w:t>
            </w:r>
            <w:r w:rsidRPr="00542DE8">
              <w:rPr>
                <w:rFonts w:ascii="David" w:hAnsi="David" w:cs="David" w:hint="cs"/>
                <w:sz w:val="22"/>
                <w:szCs w:val="22"/>
                <w:rtl/>
              </w:rPr>
              <w:t>בתעשיית משחקי המחשב, טכנולוגיות שהשכילו להפוך לפלטפורמות שגשגו, וטכנולוגיות שלא השכילו לעשות כך - כשלו.</w:t>
            </w:r>
          </w:p>
        </w:tc>
        <w:tc>
          <w:tcPr>
            <w:tcW w:w="3735" w:type="dxa"/>
          </w:tcPr>
          <w:p w:rsidR="00542DE8" w:rsidRPr="00542DE8" w:rsidRDefault="00542DE8" w:rsidP="00F76D43">
            <w:pPr>
              <w:rPr>
                <w:rFonts w:ascii="David" w:hAnsi="David" w:cs="David" w:hint="cs"/>
                <w:sz w:val="22"/>
                <w:szCs w:val="22"/>
                <w:rtl/>
              </w:rPr>
            </w:pPr>
            <w:r w:rsidRPr="00542DE8">
              <w:rPr>
                <w:rFonts w:ascii="David" w:hAnsi="David" w:cs="David" w:hint="cs"/>
                <w:b/>
                <w:bCs/>
                <w:sz w:val="22"/>
                <w:szCs w:val="22"/>
                <w:rtl/>
              </w:rPr>
              <w:t xml:space="preserve">1.  </w:t>
            </w:r>
            <w:r w:rsidRPr="00542DE8">
              <w:rPr>
                <w:rFonts w:ascii="David" w:hAnsi="David" w:cs="David" w:hint="cs"/>
                <w:b/>
                <w:bCs/>
                <w:sz w:val="22"/>
                <w:szCs w:val="22"/>
                <w:rtl/>
              </w:rPr>
              <w:t>תיאוריית ההבניה החברתית</w:t>
            </w:r>
            <w:r w:rsidRPr="00542DE8">
              <w:rPr>
                <w:rFonts w:ascii="David" w:hAnsi="David" w:cs="David" w:hint="cs"/>
                <w:b/>
                <w:bCs/>
                <w:sz w:val="22"/>
                <w:szCs w:val="22"/>
                <w:rtl/>
              </w:rPr>
              <w:t xml:space="preserve"> -</w:t>
            </w:r>
            <w:r w:rsidRPr="00542DE8">
              <w:rPr>
                <w:rFonts w:ascii="David" w:hAnsi="David" w:cs="David" w:hint="cs"/>
                <w:sz w:val="22"/>
                <w:szCs w:val="22"/>
                <w:rtl/>
              </w:rPr>
              <w:t xml:space="preserve">  </w:t>
            </w:r>
            <w:r w:rsidRPr="00542DE8">
              <w:rPr>
                <w:rFonts w:ascii="David" w:hAnsi="David" w:cs="David" w:hint="cs"/>
                <w:sz w:val="22"/>
                <w:szCs w:val="22"/>
                <w:rtl/>
              </w:rPr>
              <w:t>אנשים ולא אנשים, שבבים, חומרים, תוכנות – יוצרים ביחד שרשראות של פעילות ואין משהו שקובע דווקא את השימוש המסוים, הסופי, של טכנולוגיה מלבד השרשראות האלה. למשל, הטלוויזיה לא תהפוך את כולנו לטיפשים. כולם מתערבים בתהליכים ארוכים של יצירת טכנולוגיות חדשות.</w:t>
            </w:r>
          </w:p>
          <w:p w:rsidR="00542DE8" w:rsidRPr="00542DE8" w:rsidRDefault="00542DE8" w:rsidP="00F76D43">
            <w:pPr>
              <w:rPr>
                <w:rFonts w:ascii="David" w:hAnsi="David" w:cs="David" w:hint="cs"/>
                <w:sz w:val="22"/>
                <w:szCs w:val="22"/>
                <w:rtl/>
              </w:rPr>
            </w:pPr>
            <w:r w:rsidRPr="00542DE8">
              <w:rPr>
                <w:rFonts w:ascii="David" w:hAnsi="David" w:cs="David" w:hint="cs"/>
                <w:b/>
                <w:bCs/>
                <w:sz w:val="22"/>
                <w:szCs w:val="22"/>
                <w:rtl/>
              </w:rPr>
              <w:t>2. פלטפורמה -</w:t>
            </w:r>
            <w:r w:rsidRPr="00542DE8">
              <w:rPr>
                <w:rFonts w:ascii="David" w:hAnsi="David" w:cs="David" w:hint="cs"/>
                <w:sz w:val="22"/>
                <w:szCs w:val="22"/>
                <w:rtl/>
              </w:rPr>
              <w:t xml:space="preserve">  </w:t>
            </w:r>
            <w:r w:rsidRPr="00542DE8">
              <w:rPr>
                <w:rFonts w:ascii="David" w:hAnsi="David" w:cs="David" w:hint="cs"/>
                <w:sz w:val="22"/>
                <w:szCs w:val="22"/>
                <w:rtl/>
              </w:rPr>
              <w:t xml:space="preserve">פלטפורמות הן רעיון די מרכזי, גם בבסיסם של מחקרי אינטרנט ורשתות חברתיות, אך כפי שהא מציין מדובר במושג שהתפתח בחקר משחקי המחשב. </w:t>
            </w:r>
          </w:p>
          <w:p w:rsidR="00542DE8" w:rsidRPr="00542DE8" w:rsidRDefault="00542DE8" w:rsidP="00F76D43">
            <w:pPr>
              <w:rPr>
                <w:rFonts w:ascii="David" w:hAnsi="David" w:cs="David" w:hint="cs"/>
                <w:sz w:val="22"/>
                <w:szCs w:val="22"/>
                <w:rtl/>
              </w:rPr>
            </w:pPr>
            <w:r w:rsidRPr="00542DE8">
              <w:rPr>
                <w:rFonts w:ascii="David" w:hAnsi="David" w:cs="David" w:hint="cs"/>
                <w:sz w:val="22"/>
                <w:szCs w:val="22"/>
                <w:rtl/>
              </w:rPr>
              <w:t>פלטפורמות שונות התהוו בצורה שונה וגם הגיבו בצורה שונה של כל מיני שחקנים להשתתף בפלטפורמה.</w:t>
            </w:r>
          </w:p>
        </w:tc>
      </w:tr>
      <w:tr w:rsidR="00542DE8" w:rsidTr="00F76D43">
        <w:trPr>
          <w:trHeight w:val="244"/>
        </w:trPr>
        <w:tc>
          <w:tcPr>
            <w:tcW w:w="3735" w:type="dxa"/>
          </w:tcPr>
          <w:p w:rsidR="00542DE8" w:rsidRPr="00730AC8" w:rsidRDefault="00542DE8" w:rsidP="00F76D43">
            <w:pPr>
              <w:rPr>
                <w:rFonts w:ascii="David" w:hAnsi="David" w:cs="David" w:hint="cs"/>
                <w:sz w:val="22"/>
                <w:szCs w:val="22"/>
                <w:rtl/>
              </w:rPr>
            </w:pPr>
            <w:r w:rsidRPr="00730AC8">
              <w:rPr>
                <w:rFonts w:ascii="David" w:hAnsi="David" w:cs="David" w:hint="cs"/>
                <w:sz w:val="22"/>
                <w:szCs w:val="22"/>
                <w:rtl/>
              </w:rPr>
              <w:t>מיה קונסלבו</w:t>
            </w:r>
          </w:p>
        </w:tc>
        <w:tc>
          <w:tcPr>
            <w:tcW w:w="3735" w:type="dxa"/>
          </w:tcPr>
          <w:p w:rsidR="00542DE8" w:rsidRPr="00730AC8" w:rsidRDefault="00542DE8" w:rsidP="00F76D43">
            <w:pPr>
              <w:rPr>
                <w:rFonts w:ascii="David" w:hAnsi="David" w:cs="David" w:hint="cs"/>
                <w:sz w:val="22"/>
                <w:szCs w:val="22"/>
                <w:rtl/>
              </w:rPr>
            </w:pPr>
            <w:r w:rsidRPr="00730AC8">
              <w:rPr>
                <w:rFonts w:ascii="David" w:hAnsi="David" w:cs="David" w:hint="cs"/>
                <w:sz w:val="22"/>
                <w:szCs w:val="22"/>
                <w:rtl/>
              </w:rPr>
              <w:t>מבקרת את הויזנחה, שטוען כי ה</w:t>
            </w:r>
            <w:r w:rsidRPr="00730AC8">
              <w:rPr>
                <w:rFonts w:ascii="David" w:hAnsi="David" w:cs="David" w:hint="cs"/>
                <w:sz w:val="22"/>
                <w:szCs w:val="22"/>
                <w:rtl/>
              </w:rPr>
              <w:t xml:space="preserve">משחק </w:t>
            </w:r>
            <w:r w:rsidRPr="00730AC8">
              <w:rPr>
                <w:rFonts w:ascii="David" w:hAnsi="David" w:cs="David" w:hint="cs"/>
                <w:sz w:val="22"/>
                <w:szCs w:val="22"/>
                <w:rtl/>
              </w:rPr>
              <w:t xml:space="preserve">הוא </w:t>
            </w:r>
            <w:r w:rsidRPr="00730AC8">
              <w:rPr>
                <w:rFonts w:ascii="David" w:hAnsi="David" w:cs="David" w:hint="cs"/>
                <w:sz w:val="22"/>
                <w:szCs w:val="22"/>
                <w:rtl/>
              </w:rPr>
              <w:t xml:space="preserve">עולם נפרד, </w:t>
            </w:r>
            <w:r w:rsidRPr="00730AC8">
              <w:rPr>
                <w:rFonts w:ascii="David" w:hAnsi="David" w:cs="David" w:hint="cs"/>
                <w:sz w:val="22"/>
                <w:szCs w:val="22"/>
                <w:rtl/>
              </w:rPr>
              <w:t>ממש כמו</w:t>
            </w:r>
            <w:r w:rsidRPr="00730AC8">
              <w:rPr>
                <w:rFonts w:ascii="David" w:hAnsi="David" w:cs="David" w:hint="cs"/>
                <w:sz w:val="22"/>
                <w:szCs w:val="22"/>
                <w:rtl/>
              </w:rPr>
              <w:t xml:space="preserve"> ״מעגל קסמים״ שבו מתנהלת הפעילות המשחקית.</w:t>
            </w:r>
            <w:r w:rsidRPr="00730AC8">
              <w:rPr>
                <w:rFonts w:ascii="David" w:hAnsi="David" w:cs="David" w:hint="cs"/>
                <w:sz w:val="22"/>
                <w:szCs w:val="22"/>
                <w:rtl/>
              </w:rPr>
              <w:t xml:space="preserve"> קונסלבו  </w:t>
            </w:r>
            <w:r w:rsidRPr="00730AC8">
              <w:rPr>
                <w:rFonts w:ascii="David" w:hAnsi="David" w:cs="David" w:hint="cs"/>
                <w:sz w:val="22"/>
                <w:szCs w:val="22"/>
                <w:rtl/>
              </w:rPr>
              <w:t xml:space="preserve">מציעה לראות את המשחק מנקודת הראות של השחקנים, שכל אחד מהם מביא לסיטואציה הקשרים אישיים: קוגניטיביים, פסיכולוגיים, תרבותיים, דתיים. </w:t>
            </w:r>
            <w:r w:rsidR="00730AC8" w:rsidRPr="00730AC8">
              <w:rPr>
                <w:rFonts w:ascii="David" w:hAnsi="David" w:cs="David" w:hint="cs"/>
                <w:sz w:val="22"/>
                <w:szCs w:val="22"/>
                <w:rtl/>
              </w:rPr>
              <w:t>המשחק איננו מעגל קסמים ונפרד מחיי היומיום של השחקנים.</w:t>
            </w:r>
          </w:p>
        </w:tc>
        <w:tc>
          <w:tcPr>
            <w:tcW w:w="3735" w:type="dxa"/>
          </w:tcPr>
          <w:p w:rsidR="00730AC8" w:rsidRPr="00730AC8" w:rsidRDefault="00730AC8" w:rsidP="00F76D43">
            <w:pPr>
              <w:rPr>
                <w:rFonts w:ascii="David" w:hAnsi="David" w:cs="David" w:hint="cs"/>
                <w:sz w:val="22"/>
                <w:szCs w:val="22"/>
                <w:rtl/>
              </w:rPr>
            </w:pPr>
            <w:r w:rsidRPr="00730AC8">
              <w:rPr>
                <w:rFonts w:ascii="David" w:hAnsi="David" w:cs="David" w:hint="cs"/>
                <w:sz w:val="22"/>
                <w:szCs w:val="22"/>
                <w:rtl/>
              </w:rPr>
              <w:t xml:space="preserve">קונסלבו מדגישה את המושגים של גופמן – </w:t>
            </w:r>
            <w:r w:rsidRPr="00730AC8">
              <w:rPr>
                <w:rFonts w:ascii="David" w:hAnsi="David" w:cs="David" w:hint="cs"/>
                <w:b/>
                <w:bCs/>
                <w:sz w:val="22"/>
                <w:szCs w:val="22"/>
                <w:rtl/>
              </w:rPr>
              <w:t>מסגור וכיול</w:t>
            </w:r>
            <w:r w:rsidRPr="00730AC8">
              <w:rPr>
                <w:rFonts w:ascii="David" w:hAnsi="David" w:cs="David" w:hint="cs"/>
                <w:sz w:val="22"/>
                <w:szCs w:val="22"/>
                <w:rtl/>
              </w:rPr>
              <w:t xml:space="preserve">. </w:t>
            </w:r>
            <w:r w:rsidRPr="00730AC8">
              <w:rPr>
                <w:rFonts w:ascii="David" w:hAnsi="David" w:cs="David" w:hint="cs"/>
                <w:sz w:val="22"/>
                <w:szCs w:val="22"/>
                <w:rtl/>
              </w:rPr>
              <w:t xml:space="preserve">גופמן מתייחס לחיי היומיום כרצף של מסגורים המארגנים את מעשינו ואת ההתנסויות שלנו ומשפיעים על המשמעות שנעניק למה שאנחנו עושים. כדי שנוכל לפעול ברצף המסגורים האלה אנחנו חייבים ליצור התאמות של המשמעות שמעניקים למעשינו וזהו הכיול, לפי גופמן. </w:t>
            </w:r>
          </w:p>
          <w:p w:rsidR="00542DE8" w:rsidRPr="00730AC8" w:rsidRDefault="00730AC8" w:rsidP="00F76D43">
            <w:pPr>
              <w:rPr>
                <w:rFonts w:ascii="David" w:hAnsi="David" w:cs="David" w:hint="cs"/>
                <w:sz w:val="22"/>
                <w:szCs w:val="22"/>
                <w:rtl/>
              </w:rPr>
            </w:pPr>
            <w:r w:rsidRPr="00730AC8">
              <w:rPr>
                <w:rFonts w:ascii="David" w:hAnsi="David" w:cs="David" w:hint="cs"/>
                <w:sz w:val="22"/>
                <w:szCs w:val="22"/>
                <w:rtl/>
              </w:rPr>
              <w:t>קונסלבו לעומת זאת, דוחה את הגדרת הכיול של גופמן משום שלדעתה הכיול אינו מוגבל רק להתאמה או שכפול של מסגורים קיימים אלא מוביל למעבר למסגורים אחרים או ליצירת מסגורים חדשים</w:t>
            </w:r>
            <w:r w:rsidRPr="00730AC8">
              <w:rPr>
                <w:rFonts w:ascii="David" w:hAnsi="David" w:cs="David" w:hint="cs"/>
                <w:sz w:val="22"/>
                <w:szCs w:val="22"/>
                <w:rtl/>
              </w:rPr>
              <w:t>.</w:t>
            </w:r>
          </w:p>
        </w:tc>
      </w:tr>
      <w:tr w:rsidR="00542DE8" w:rsidTr="00F76D43">
        <w:trPr>
          <w:trHeight w:val="257"/>
        </w:trPr>
        <w:tc>
          <w:tcPr>
            <w:tcW w:w="3735" w:type="dxa"/>
          </w:tcPr>
          <w:p w:rsidR="00542DE8" w:rsidRPr="003E4A89" w:rsidRDefault="00730AC8" w:rsidP="00F76D43">
            <w:pPr>
              <w:rPr>
                <w:rFonts w:ascii="David" w:hAnsi="David" w:cs="David" w:hint="cs"/>
                <w:sz w:val="22"/>
                <w:szCs w:val="22"/>
                <w:rtl/>
              </w:rPr>
            </w:pPr>
            <w:r w:rsidRPr="003E4A89">
              <w:rPr>
                <w:rFonts w:ascii="David" w:hAnsi="David" w:cs="David" w:hint="cs"/>
                <w:sz w:val="22"/>
                <w:szCs w:val="22"/>
                <w:rtl/>
              </w:rPr>
              <w:t>מרקי ופרגוסון</w:t>
            </w:r>
          </w:p>
        </w:tc>
        <w:tc>
          <w:tcPr>
            <w:tcW w:w="3735" w:type="dxa"/>
          </w:tcPr>
          <w:p w:rsidR="00542DE8" w:rsidRDefault="00445197" w:rsidP="00F76D43">
            <w:pPr>
              <w:rPr>
                <w:rFonts w:ascii="David" w:hAnsi="David" w:cs="David"/>
                <w:color w:val="333333"/>
                <w:spacing w:val="2"/>
                <w:sz w:val="22"/>
                <w:szCs w:val="22"/>
                <w:shd w:val="clear" w:color="auto" w:fill="FFFFFF"/>
                <w:rtl/>
              </w:rPr>
            </w:pPr>
            <w:r>
              <w:rPr>
                <w:rFonts w:ascii="David" w:hAnsi="David" w:cs="David" w:hint="cs"/>
                <w:color w:val="333333"/>
                <w:spacing w:val="2"/>
                <w:sz w:val="22"/>
                <w:szCs w:val="22"/>
                <w:shd w:val="clear" w:color="auto" w:fill="FFFFFF"/>
                <w:rtl/>
              </w:rPr>
              <w:t xml:space="preserve">מחקר המאפשר למומחי בריאות הנפש לאפיין אנשים עם בעיות שונות, לוקח את עניין המשחק במשחקי מחשב, ספציפית ברשת, ומחליט האם השחקן במחלת נפש או בעיה מסוימת בבריאות הנפש בתסמינים שונים. </w:t>
            </w:r>
          </w:p>
          <w:p w:rsidR="00445197" w:rsidRPr="00445197" w:rsidRDefault="00445197" w:rsidP="00F76D43">
            <w:pPr>
              <w:rPr>
                <w:rFonts w:ascii="David" w:hAnsi="David" w:cs="David" w:hint="cs"/>
                <w:sz w:val="22"/>
                <w:szCs w:val="22"/>
                <w:rtl/>
              </w:rPr>
            </w:pPr>
            <w:r>
              <w:rPr>
                <w:rFonts w:ascii="David" w:hAnsi="David" w:cs="David" w:hint="cs"/>
                <w:sz w:val="22"/>
                <w:szCs w:val="22"/>
                <w:rtl/>
              </w:rPr>
              <w:t xml:space="preserve">הממצאים: מבין כל האנשים שמשחקים במשחקי מחשב, </w:t>
            </w:r>
            <w:r w:rsidR="003E4A89">
              <w:rPr>
                <w:rFonts w:ascii="David" w:hAnsi="David" w:cs="David" w:hint="cs"/>
                <w:sz w:val="22"/>
                <w:szCs w:val="22"/>
                <w:rtl/>
              </w:rPr>
              <w:t xml:space="preserve">פוחת הסיכוי </w:t>
            </w:r>
            <w:r>
              <w:rPr>
                <w:rFonts w:ascii="David" w:hAnsi="David" w:cs="David" w:hint="cs"/>
                <w:sz w:val="22"/>
                <w:szCs w:val="22"/>
                <w:rtl/>
              </w:rPr>
              <w:t xml:space="preserve">שאחד מהם יהפוך להיות מכור </w:t>
            </w:r>
            <w:r w:rsidR="003E4A89">
              <w:rPr>
                <w:rFonts w:ascii="David" w:hAnsi="David" w:cs="David" w:hint="cs"/>
                <w:sz w:val="22"/>
                <w:szCs w:val="22"/>
                <w:rtl/>
              </w:rPr>
              <w:t>להימורים.</w:t>
            </w:r>
          </w:p>
        </w:tc>
        <w:tc>
          <w:tcPr>
            <w:tcW w:w="3735" w:type="dxa"/>
          </w:tcPr>
          <w:p w:rsidR="00542DE8" w:rsidRPr="00445197" w:rsidRDefault="00445197" w:rsidP="00F76D43">
            <w:pPr>
              <w:rPr>
                <w:rFonts w:ascii="David" w:hAnsi="David" w:cs="David" w:hint="cs"/>
                <w:sz w:val="22"/>
                <w:szCs w:val="22"/>
                <w:rtl/>
              </w:rPr>
            </w:pPr>
            <w:r w:rsidRPr="00445197">
              <w:rPr>
                <w:rFonts w:ascii="David" w:hAnsi="David" w:cs="David" w:hint="cs"/>
                <w:sz w:val="22"/>
                <w:szCs w:val="22"/>
                <w:rtl/>
              </w:rPr>
              <w:t xml:space="preserve">כדי להיות מוגדר בתור מכור למשחקי מחשב, אדם היה צריך לדווח לפי המאפיינים הבאים: טורדנות כפייתית, גמילה, התרגלות, היעדר יכולת להפחית את זמן המשחק, ויתור על פעילויות אחרות עבור המשחק, משחק לשם אקספיזם (לשחק כדי להימלט מתחושות לא נעימות) וסיכון הזדמנויות בחיים על מנת להמשיך לשחק. </w:t>
            </w:r>
          </w:p>
        </w:tc>
      </w:tr>
      <w:tr w:rsidR="003E4A89" w:rsidRPr="00445197" w:rsidTr="00F76D43">
        <w:trPr>
          <w:trHeight w:val="257"/>
        </w:trPr>
        <w:tc>
          <w:tcPr>
            <w:tcW w:w="3735" w:type="dxa"/>
          </w:tcPr>
          <w:p w:rsidR="003E4A89" w:rsidRPr="003E4A89" w:rsidRDefault="00BD696D" w:rsidP="00F76D43">
            <w:pPr>
              <w:rPr>
                <w:rFonts w:ascii="David" w:hAnsi="David" w:cs="David" w:hint="cs"/>
                <w:sz w:val="22"/>
                <w:szCs w:val="22"/>
                <w:rtl/>
              </w:rPr>
            </w:pPr>
            <w:proofErr w:type="spellStart"/>
            <w:r>
              <w:rPr>
                <w:rFonts w:ascii="David" w:hAnsi="David" w:cs="David" w:hint="cs"/>
                <w:sz w:val="22"/>
                <w:szCs w:val="22"/>
                <w:rtl/>
              </w:rPr>
              <w:t>איאן</w:t>
            </w:r>
            <w:proofErr w:type="spellEnd"/>
            <w:r>
              <w:rPr>
                <w:rFonts w:ascii="David" w:hAnsi="David" w:cs="David" w:hint="cs"/>
                <w:sz w:val="22"/>
                <w:szCs w:val="22"/>
                <w:rtl/>
              </w:rPr>
              <w:t xml:space="preserve"> בוגוסט</w:t>
            </w:r>
          </w:p>
        </w:tc>
        <w:tc>
          <w:tcPr>
            <w:tcW w:w="3735" w:type="dxa"/>
          </w:tcPr>
          <w:p w:rsidR="001C6BA7" w:rsidRPr="00445197" w:rsidRDefault="00BD696D" w:rsidP="001C6BA7">
            <w:pPr>
              <w:rPr>
                <w:rFonts w:ascii="David" w:hAnsi="David" w:cs="David" w:hint="cs"/>
                <w:sz w:val="22"/>
                <w:szCs w:val="22"/>
                <w:rtl/>
              </w:rPr>
            </w:pPr>
            <w:r>
              <w:rPr>
                <w:rFonts w:ascii="David" w:hAnsi="David" w:cs="David" w:hint="cs"/>
                <w:color w:val="333333"/>
                <w:spacing w:val="2"/>
                <w:sz w:val="22"/>
                <w:szCs w:val="22"/>
                <w:shd w:val="clear" w:color="auto" w:fill="FFFFFF"/>
                <w:rtl/>
              </w:rPr>
              <w:t xml:space="preserve">מדובר במאמר רשות, אך הכרחי כדי להבין את החוקר הבא. </w:t>
            </w:r>
            <w:r w:rsidR="00C82268">
              <w:rPr>
                <w:rFonts w:ascii="David" w:hAnsi="David" w:cs="David" w:hint="cs"/>
                <w:color w:val="333333"/>
                <w:spacing w:val="2"/>
                <w:sz w:val="22"/>
                <w:szCs w:val="22"/>
                <w:shd w:val="clear" w:color="auto" w:fill="FFFFFF"/>
                <w:rtl/>
              </w:rPr>
              <w:t xml:space="preserve">מבחינתו, המושג משחוק, הוא בעצמו משחוק, שהשפה. הוא בעצם איזשהו ניסיון לייצר מציאות חדשה בשפה </w:t>
            </w:r>
            <w:r w:rsidR="00C82268">
              <w:rPr>
                <w:rFonts w:ascii="David" w:hAnsi="David" w:cs="David" w:hint="cs"/>
                <w:color w:val="333333"/>
                <w:spacing w:val="2"/>
                <w:sz w:val="22"/>
                <w:szCs w:val="22"/>
                <w:shd w:val="clear" w:color="auto" w:fill="FFFFFF"/>
                <w:rtl/>
              </w:rPr>
              <w:lastRenderedPageBreak/>
              <w:t xml:space="preserve">המדוברת, לייצר הייפ, </w:t>
            </w:r>
            <w:r w:rsidR="00C82268">
              <w:rPr>
                <w:rFonts w:ascii="David" w:hAnsi="David" w:cs="David" w:hint="cs"/>
                <w:sz w:val="22"/>
                <w:szCs w:val="22"/>
                <w:rtl/>
              </w:rPr>
              <w:t xml:space="preserve">דרך כינון המושג של המשחוק ותעשייה שלמה שמנסה למכור לנו את המשחוק. ואלו שמתנגדים למשחוק, צריכים להפסיק להשתמש במילה. </w:t>
            </w:r>
          </w:p>
        </w:tc>
        <w:tc>
          <w:tcPr>
            <w:tcW w:w="3735" w:type="dxa"/>
          </w:tcPr>
          <w:p w:rsidR="003E4A89" w:rsidRPr="00445197" w:rsidRDefault="00C82268" w:rsidP="00F76D43">
            <w:pPr>
              <w:rPr>
                <w:rFonts w:ascii="David" w:hAnsi="David" w:cs="David" w:hint="cs"/>
                <w:sz w:val="22"/>
                <w:szCs w:val="22"/>
                <w:rtl/>
              </w:rPr>
            </w:pPr>
            <w:r>
              <w:rPr>
                <w:rFonts w:ascii="David" w:hAnsi="David" w:cs="David" w:hint="cs"/>
                <w:sz w:val="22"/>
                <w:szCs w:val="22"/>
                <w:rtl/>
              </w:rPr>
              <w:lastRenderedPageBreak/>
              <w:t>על פי בוגוסט, המשחוק הוא פשטני</w:t>
            </w:r>
            <w:r w:rsidR="001C6BA7">
              <w:rPr>
                <w:rFonts w:ascii="David" w:hAnsi="David" w:cs="David" w:hint="cs"/>
                <w:sz w:val="22"/>
                <w:szCs w:val="22"/>
                <w:rtl/>
              </w:rPr>
              <w:t xml:space="preserve"> ו</w:t>
            </w:r>
            <w:r>
              <w:rPr>
                <w:rFonts w:ascii="David" w:hAnsi="David" w:cs="David" w:hint="cs"/>
                <w:sz w:val="22"/>
                <w:szCs w:val="22"/>
                <w:rtl/>
              </w:rPr>
              <w:t>פתרון זול</w:t>
            </w:r>
            <w:r w:rsidR="001C6BA7">
              <w:rPr>
                <w:rFonts w:ascii="David" w:hAnsi="David" w:cs="David" w:hint="cs"/>
                <w:sz w:val="22"/>
                <w:szCs w:val="22"/>
                <w:rtl/>
              </w:rPr>
              <w:t xml:space="preserve">. המושג שהוא מציע, במקום המושג משחוק הוא ״נוצלה״. הוא מדבר על להפסיק להשתמש במשחוק ולדבר על תוכנות </w:t>
            </w:r>
            <w:r w:rsidR="001C6BA7">
              <w:rPr>
                <w:rFonts w:ascii="David" w:hAnsi="David" w:cs="David" w:hint="cs"/>
                <w:sz w:val="22"/>
                <w:szCs w:val="22"/>
                <w:rtl/>
              </w:rPr>
              <w:lastRenderedPageBreak/>
              <w:t>שעושות שימוש באלמנטים משחקיים אבל למעשה אינן משחק כלל. תוכנות שעושות את עצמן כמשחקים, על מנת לנצל אותנו ועל מנת לגרום לנו לא לשים לב לכך שאנחנו מנוצלים.</w:t>
            </w:r>
          </w:p>
        </w:tc>
      </w:tr>
      <w:tr w:rsidR="001C6BA7" w:rsidRPr="00445197" w:rsidTr="009116C7">
        <w:trPr>
          <w:trHeight w:val="257"/>
        </w:trPr>
        <w:tc>
          <w:tcPr>
            <w:tcW w:w="3735" w:type="dxa"/>
          </w:tcPr>
          <w:p w:rsidR="001C6BA7" w:rsidRPr="003E4A89" w:rsidRDefault="001C6BA7" w:rsidP="009116C7">
            <w:pPr>
              <w:rPr>
                <w:rFonts w:ascii="David" w:hAnsi="David" w:cs="David" w:hint="cs"/>
                <w:sz w:val="22"/>
                <w:szCs w:val="22"/>
                <w:rtl/>
              </w:rPr>
            </w:pPr>
            <w:r>
              <w:rPr>
                <w:rFonts w:ascii="David" w:hAnsi="David" w:cs="David" w:hint="cs"/>
                <w:sz w:val="22"/>
                <w:szCs w:val="22"/>
                <w:rtl/>
              </w:rPr>
              <w:lastRenderedPageBreak/>
              <w:t>סבסטיאן דטרדינג</w:t>
            </w:r>
          </w:p>
        </w:tc>
        <w:tc>
          <w:tcPr>
            <w:tcW w:w="3735" w:type="dxa"/>
          </w:tcPr>
          <w:p w:rsidR="001C6BA7" w:rsidRDefault="001C6BA7" w:rsidP="009116C7">
            <w:pPr>
              <w:rPr>
                <w:rFonts w:ascii="David" w:hAnsi="David" w:cs="David"/>
                <w:sz w:val="22"/>
                <w:szCs w:val="22"/>
                <w:rtl/>
              </w:rPr>
            </w:pPr>
            <w:r>
              <w:rPr>
                <w:rFonts w:ascii="David" w:hAnsi="David" w:cs="David" w:hint="cs"/>
                <w:sz w:val="22"/>
                <w:szCs w:val="22"/>
                <w:rtl/>
              </w:rPr>
              <w:t xml:space="preserve">דטרדינג מבקר את בוגוסט ונקודת מבטו שונה. הוא טוען שגישתו של בוגוסט שרואה במשחוק רטוריקה שלילית שמונעת מעולם המשחק להיות טהור ובמקום זאת מזהמת אותו בחשיבה של עולם השיווק/הפרסום/נצלנות, דטרדינג אומר שגם זה סוג של רטוריקה, צורת דיבור על משחוק שגם כן מנסה לגרום לנו לשכוח שזו צורת דיבור מסוימת. הוא לא מקבל את ההבדל המהותי של משחקים לעומת דברים אחרים בחיים. </w:t>
            </w:r>
          </w:p>
          <w:p w:rsidR="001C6BA7" w:rsidRDefault="001C6BA7" w:rsidP="009116C7">
            <w:pPr>
              <w:rPr>
                <w:rFonts w:ascii="David" w:hAnsi="David" w:cs="David"/>
                <w:sz w:val="22"/>
                <w:szCs w:val="22"/>
                <w:rtl/>
              </w:rPr>
            </w:pPr>
            <w:r>
              <w:rPr>
                <w:rFonts w:ascii="David" w:hAnsi="David" w:cs="David" w:hint="cs"/>
                <w:sz w:val="22"/>
                <w:szCs w:val="22"/>
                <w:rtl/>
              </w:rPr>
              <w:t>**מגדיר עצמו כקרוב לסיקארט שהגדיר את המשחק כדרך לדעת על העולם דרך החפצים הנמצאים בו.</w:t>
            </w:r>
          </w:p>
          <w:p w:rsidR="001C6BA7" w:rsidRPr="001C6BA7" w:rsidRDefault="001C6BA7" w:rsidP="009116C7">
            <w:pPr>
              <w:rPr>
                <w:rFonts w:ascii="David" w:hAnsi="David" w:cs="David" w:hint="cs"/>
                <w:b/>
                <w:bCs/>
                <w:sz w:val="22"/>
                <w:szCs w:val="22"/>
                <w:rtl/>
              </w:rPr>
            </w:pPr>
            <w:r w:rsidRPr="001C6BA7">
              <w:rPr>
                <w:rFonts w:ascii="David" w:hAnsi="David" w:cs="David" w:hint="cs"/>
                <w:b/>
                <w:bCs/>
                <w:sz w:val="22"/>
                <w:szCs w:val="22"/>
                <w:rtl/>
              </w:rPr>
              <w:t>דטרדינג לא יוצר הפרדה בין משחק ל</w:t>
            </w:r>
            <w:r>
              <w:rPr>
                <w:rFonts w:ascii="David" w:hAnsi="David" w:cs="David" w:hint="cs"/>
                <w:b/>
                <w:bCs/>
                <w:sz w:val="22"/>
                <w:szCs w:val="22"/>
                <w:rtl/>
              </w:rPr>
              <w:t xml:space="preserve">בין </w:t>
            </w:r>
            <w:r w:rsidRPr="001C6BA7">
              <w:rPr>
                <w:rFonts w:ascii="David" w:hAnsi="David" w:cs="David" w:hint="cs"/>
                <w:b/>
                <w:bCs/>
                <w:sz w:val="22"/>
                <w:szCs w:val="22"/>
                <w:rtl/>
              </w:rPr>
              <w:t>דברים אחרים בעולם.</w:t>
            </w:r>
          </w:p>
        </w:tc>
        <w:tc>
          <w:tcPr>
            <w:tcW w:w="3735" w:type="dxa"/>
          </w:tcPr>
          <w:p w:rsidR="001C6BA7" w:rsidRDefault="001C6BA7" w:rsidP="009116C7">
            <w:pPr>
              <w:rPr>
                <w:rFonts w:ascii="David" w:hAnsi="David" w:cs="David"/>
                <w:sz w:val="22"/>
                <w:szCs w:val="22"/>
                <w:rtl/>
              </w:rPr>
            </w:pPr>
            <w:r>
              <w:rPr>
                <w:rFonts w:ascii="David" w:hAnsi="David" w:cs="David" w:hint="cs"/>
                <w:sz w:val="22"/>
                <w:szCs w:val="22"/>
                <w:rtl/>
              </w:rPr>
              <w:t xml:space="preserve">מגדיר שני סוגים שונים של טקסים: האחד, לימינלי </w:t>
            </w:r>
            <w:r>
              <w:rPr>
                <w:rFonts w:ascii="David" w:hAnsi="David" w:cs="David"/>
                <w:sz w:val="22"/>
                <w:szCs w:val="22"/>
                <w:rtl/>
              </w:rPr>
              <w:t>–</w:t>
            </w:r>
            <w:r>
              <w:rPr>
                <w:rFonts w:ascii="David" w:hAnsi="David" w:cs="David" w:hint="cs"/>
                <w:sz w:val="22"/>
                <w:szCs w:val="22"/>
                <w:rtl/>
              </w:rPr>
              <w:t xml:space="preserve"> כמו בר מצווה, המשתתפים בו משנים את הסטטוס שלהם. טקס מעבר, שינוי מעבר. </w:t>
            </w:r>
          </w:p>
          <w:p w:rsidR="001C6BA7" w:rsidRDefault="001C6BA7" w:rsidP="009116C7">
            <w:pPr>
              <w:rPr>
                <w:rFonts w:ascii="David" w:hAnsi="David" w:cs="David"/>
                <w:sz w:val="22"/>
                <w:szCs w:val="22"/>
                <w:rtl/>
              </w:rPr>
            </w:pPr>
            <w:r>
              <w:rPr>
                <w:rFonts w:ascii="David" w:hAnsi="David" w:cs="David" w:hint="cs"/>
                <w:sz w:val="22"/>
                <w:szCs w:val="22"/>
                <w:rtl/>
              </w:rPr>
              <w:t xml:space="preserve">לעומת זאת, ישנו טקס לימינואידי </w:t>
            </w:r>
            <w:r w:rsidR="00EC64AD">
              <w:rPr>
                <w:rFonts w:ascii="David" w:hAnsi="David" w:cs="David" w:hint="cs"/>
                <w:sz w:val="22"/>
                <w:szCs w:val="22"/>
                <w:rtl/>
              </w:rPr>
              <w:t>בו החוויה הטקסית היא ללא שינוי או מעבר למעמד אחר. דוגמה לכך היא הקהל בפסטיבל מוזיקה, מסיימים את הפסטיבל וכלום לא משתנה בחייהם.</w:t>
            </w:r>
          </w:p>
          <w:p w:rsidR="00EC64AD" w:rsidRDefault="00EC64AD" w:rsidP="009116C7">
            <w:pPr>
              <w:rPr>
                <w:rFonts w:ascii="David" w:hAnsi="David" w:cs="David"/>
                <w:sz w:val="22"/>
                <w:szCs w:val="22"/>
                <w:rtl/>
              </w:rPr>
            </w:pPr>
          </w:p>
          <w:p w:rsidR="00EC64AD" w:rsidRPr="00445197" w:rsidRDefault="00EC64AD" w:rsidP="009116C7">
            <w:pPr>
              <w:rPr>
                <w:rFonts w:ascii="David" w:hAnsi="David" w:cs="David" w:hint="cs"/>
                <w:sz w:val="22"/>
                <w:szCs w:val="22"/>
                <w:rtl/>
              </w:rPr>
            </w:pPr>
            <w:r>
              <w:rPr>
                <w:rFonts w:ascii="David" w:hAnsi="David" w:cs="David" w:hint="cs"/>
                <w:sz w:val="22"/>
                <w:szCs w:val="22"/>
                <w:rtl/>
              </w:rPr>
              <w:t xml:space="preserve">בנוסף, רטוריקה שעוסקת במשחק זקוקה ל: קהילות שעוסקות בנושא, דיסציפלינה אקדמית, תשתית רעיונית חזקה, תומכים מוכרים וידועים, תחומי יישום. </w:t>
            </w:r>
          </w:p>
        </w:tc>
      </w:tr>
      <w:tr w:rsidR="00EC64AD" w:rsidRPr="00445197" w:rsidTr="009116C7">
        <w:trPr>
          <w:trHeight w:val="257"/>
        </w:trPr>
        <w:tc>
          <w:tcPr>
            <w:tcW w:w="3735" w:type="dxa"/>
          </w:tcPr>
          <w:p w:rsidR="00EC64AD" w:rsidRPr="003E4A89" w:rsidRDefault="00EC64AD" w:rsidP="009116C7">
            <w:pPr>
              <w:rPr>
                <w:rFonts w:ascii="David" w:hAnsi="David" w:cs="David" w:hint="cs"/>
                <w:sz w:val="22"/>
                <w:szCs w:val="22"/>
                <w:rtl/>
              </w:rPr>
            </w:pPr>
            <w:r>
              <w:rPr>
                <w:rFonts w:ascii="David" w:hAnsi="David" w:cs="David" w:hint="cs"/>
                <w:sz w:val="22"/>
                <w:szCs w:val="22"/>
                <w:rtl/>
              </w:rPr>
              <w:t>וויליאם דיוויס</w:t>
            </w:r>
          </w:p>
        </w:tc>
        <w:tc>
          <w:tcPr>
            <w:tcW w:w="3735" w:type="dxa"/>
          </w:tcPr>
          <w:p w:rsidR="00EC64AD" w:rsidRPr="00E04FD7" w:rsidRDefault="00EC64AD" w:rsidP="009116C7">
            <w:pPr>
              <w:rPr>
                <w:rFonts w:ascii="David" w:hAnsi="David" w:cs="David"/>
                <w:sz w:val="22"/>
                <w:szCs w:val="22"/>
                <w:rtl/>
              </w:rPr>
            </w:pPr>
            <w:r w:rsidRPr="00E04FD7">
              <w:rPr>
                <w:rFonts w:ascii="David" w:hAnsi="David" w:cs="David" w:hint="cs"/>
                <w:sz w:val="22"/>
                <w:szCs w:val="22"/>
                <w:rtl/>
              </w:rPr>
              <w:t xml:space="preserve">הפרק של דיוויס מתמקד בהפיכת העולם לסוג של מעבדה פסיכולוגית. כלומר, הוצאת ניסויים מתחומי המעבדה האקדמית המוגבלת וסדרתם כחלק מחיי היומיום שלנו. </w:t>
            </w:r>
          </w:p>
          <w:p w:rsidR="00E04FD7" w:rsidRPr="00E04FD7" w:rsidRDefault="00E04FD7" w:rsidP="009116C7">
            <w:pPr>
              <w:rPr>
                <w:rFonts w:ascii="David" w:hAnsi="David" w:cs="David" w:hint="cs"/>
                <w:sz w:val="22"/>
                <w:szCs w:val="22"/>
                <w:rtl/>
              </w:rPr>
            </w:pPr>
            <w:r w:rsidRPr="00E04FD7">
              <w:rPr>
                <w:rFonts w:ascii="David" w:hAnsi="David" w:cs="David" w:hint="cs"/>
                <w:sz w:val="22"/>
                <w:szCs w:val="22"/>
                <w:rtl/>
              </w:rPr>
              <w:t>שמו של הפרק, ״לחיות במעבדה״, משקף את הטענה המרכזית במסגרתה בני אדם מסכימים להיחשף ולהיות נתונים למניפולציות שפולשות לפרטיותם. הפרק בוחן את הנכונות של בני אדם להתמסר למעקב תמידי תוך התייחסות למסירת נתונים ובניית מאגרי מידע, לצמיחת היכולות לנתח את המידע ולפענח אותו ולשכלולים טכנולוגיים שמאפשרים לעקוב אחרי מצב הרוח.</w:t>
            </w:r>
          </w:p>
        </w:tc>
        <w:tc>
          <w:tcPr>
            <w:tcW w:w="3735" w:type="dxa"/>
          </w:tcPr>
          <w:p w:rsidR="00EC64AD" w:rsidRPr="00445197" w:rsidRDefault="00EC64AD" w:rsidP="009116C7">
            <w:pPr>
              <w:rPr>
                <w:rFonts w:ascii="David" w:hAnsi="David" w:cs="David" w:hint="cs"/>
                <w:sz w:val="22"/>
                <w:szCs w:val="22"/>
                <w:rtl/>
              </w:rPr>
            </w:pPr>
            <w:r>
              <w:rPr>
                <w:rFonts w:ascii="David" w:hAnsi="David" w:cs="David" w:hint="cs"/>
                <w:sz w:val="22"/>
                <w:szCs w:val="22"/>
                <w:rtl/>
              </w:rPr>
              <w:t xml:space="preserve"> </w:t>
            </w:r>
          </w:p>
        </w:tc>
      </w:tr>
      <w:tr w:rsidR="00E04FD7" w:rsidRPr="00445197" w:rsidTr="009116C7">
        <w:trPr>
          <w:trHeight w:val="257"/>
        </w:trPr>
        <w:tc>
          <w:tcPr>
            <w:tcW w:w="3735" w:type="dxa"/>
          </w:tcPr>
          <w:p w:rsidR="00E04FD7" w:rsidRPr="00E04FD7" w:rsidRDefault="00E04FD7" w:rsidP="00E04FD7">
            <w:pPr>
              <w:rPr>
                <w:rFonts w:ascii="David" w:hAnsi="David" w:cs="David" w:hint="cs"/>
                <w:sz w:val="22"/>
                <w:szCs w:val="22"/>
                <w:rtl/>
              </w:rPr>
            </w:pPr>
            <w:proofErr w:type="spellStart"/>
            <w:r w:rsidRPr="00E04FD7">
              <w:rPr>
                <w:rFonts w:ascii="David" w:hAnsi="David" w:cs="David" w:hint="cs"/>
                <w:sz w:val="22"/>
                <w:szCs w:val="22"/>
                <w:rtl/>
              </w:rPr>
              <w:t>פוקסמן</w:t>
            </w:r>
            <w:proofErr w:type="spellEnd"/>
            <w:r w:rsidRPr="00E04FD7">
              <w:rPr>
                <w:rFonts w:ascii="David" w:hAnsi="David" w:cs="David" w:hint="cs"/>
                <w:sz w:val="22"/>
                <w:szCs w:val="22"/>
                <w:rtl/>
              </w:rPr>
              <w:t xml:space="preserve"> </w:t>
            </w:r>
            <w:proofErr w:type="spellStart"/>
            <w:r w:rsidRPr="00E04FD7">
              <w:rPr>
                <w:rFonts w:ascii="David" w:hAnsi="David" w:cs="David" w:hint="cs"/>
                <w:sz w:val="22"/>
                <w:szCs w:val="22"/>
                <w:rtl/>
              </w:rPr>
              <w:t>ונייבורג</w:t>
            </w:r>
            <w:proofErr w:type="spellEnd"/>
          </w:p>
        </w:tc>
        <w:tc>
          <w:tcPr>
            <w:tcW w:w="3735" w:type="dxa"/>
          </w:tcPr>
          <w:p w:rsidR="00E04FD7" w:rsidRPr="00E04FD7" w:rsidRDefault="00E04FD7" w:rsidP="00E04FD7">
            <w:pPr>
              <w:rPr>
                <w:rFonts w:ascii="David" w:hAnsi="David" w:cs="David" w:hint="cs"/>
                <w:sz w:val="22"/>
                <w:szCs w:val="22"/>
                <w:rtl/>
              </w:rPr>
            </w:pPr>
            <w:r w:rsidRPr="00E04FD7">
              <w:rPr>
                <w:rFonts w:ascii="David" w:hAnsi="David" w:cs="David" w:hint="cs"/>
                <w:sz w:val="22"/>
                <w:szCs w:val="22"/>
                <w:rtl/>
              </w:rPr>
              <w:t>המחברים ערכו מחקר שמסקר את ההיסטוריה של כתיבת הביקורות על מחשקי מחשב, ובדקו תכנים של ביקורות שהתפרסמו באתרים המכוונים לגיימרים.</w:t>
            </w:r>
          </w:p>
          <w:p w:rsidR="00E04FD7" w:rsidRDefault="00E04FD7" w:rsidP="00E04FD7">
            <w:pPr>
              <w:rPr>
                <w:rFonts w:ascii="David" w:hAnsi="David" w:cs="David"/>
                <w:color w:val="333333"/>
                <w:spacing w:val="2"/>
                <w:sz w:val="22"/>
                <w:szCs w:val="22"/>
                <w:shd w:val="clear" w:color="auto" w:fill="FFFFFF"/>
                <w:rtl/>
              </w:rPr>
            </w:pPr>
            <w:r w:rsidRPr="00E04FD7">
              <w:rPr>
                <w:rFonts w:ascii="David" w:hAnsi="David" w:cs="David" w:hint="cs"/>
                <w:sz w:val="22"/>
                <w:szCs w:val="22"/>
                <w:rtl/>
              </w:rPr>
              <w:t xml:space="preserve">המחברים טוענים שהציפיות של </w:t>
            </w:r>
            <w:proofErr w:type="spellStart"/>
            <w:r w:rsidRPr="00E04FD7">
              <w:rPr>
                <w:rFonts w:ascii="David" w:hAnsi="David" w:cs="David" w:hint="cs"/>
                <w:sz w:val="22"/>
                <w:szCs w:val="22"/>
                <w:rtl/>
              </w:rPr>
              <w:t>הגיימרים</w:t>
            </w:r>
            <w:proofErr w:type="spellEnd"/>
            <w:r w:rsidRPr="00E04FD7">
              <w:rPr>
                <w:rFonts w:ascii="David" w:hAnsi="David" w:cs="David" w:hint="cs"/>
                <w:sz w:val="22"/>
                <w:szCs w:val="22"/>
                <w:rtl/>
              </w:rPr>
              <w:t xml:space="preserve"> ושל החברות המסחריות ממבקרי המשחקים, מנוגדות. </w:t>
            </w:r>
          </w:p>
          <w:p w:rsidR="00E04FD7" w:rsidRDefault="00E04FD7" w:rsidP="00E04FD7">
            <w:pPr>
              <w:rPr>
                <w:rFonts w:ascii="David" w:hAnsi="David" w:cs="David"/>
                <w:color w:val="333333"/>
                <w:spacing w:val="2"/>
                <w:sz w:val="22"/>
                <w:szCs w:val="22"/>
                <w:shd w:val="clear" w:color="auto" w:fill="FFFFFF"/>
                <w:rtl/>
              </w:rPr>
            </w:pPr>
          </w:p>
          <w:p w:rsidR="00E04FD7" w:rsidRPr="00E04FD7" w:rsidRDefault="00E04FD7" w:rsidP="00E04FD7">
            <w:pPr>
              <w:rPr>
                <w:rFonts w:ascii="David" w:hAnsi="David" w:cs="David" w:hint="cs"/>
                <w:sz w:val="22"/>
                <w:szCs w:val="22"/>
              </w:rPr>
            </w:pPr>
            <w:r w:rsidRPr="00E04FD7">
              <w:rPr>
                <w:rFonts w:ascii="David" w:hAnsi="David" w:cs="David" w:hint="cs"/>
                <w:color w:val="333333"/>
                <w:spacing w:val="2"/>
                <w:sz w:val="22"/>
                <w:szCs w:val="22"/>
                <w:shd w:val="clear" w:color="auto" w:fill="FFFFFF"/>
                <w:rtl/>
              </w:rPr>
              <w:t xml:space="preserve">מצד אחד מצפים מהם לייצג את תרבות </w:t>
            </w:r>
            <w:proofErr w:type="spellStart"/>
            <w:r w:rsidRPr="00E04FD7">
              <w:rPr>
                <w:rFonts w:ascii="David" w:hAnsi="David" w:cs="David" w:hint="cs"/>
                <w:color w:val="333333"/>
                <w:spacing w:val="2"/>
                <w:sz w:val="22"/>
                <w:szCs w:val="22"/>
                <w:shd w:val="clear" w:color="auto" w:fill="FFFFFF"/>
                <w:rtl/>
              </w:rPr>
              <w:t>הגיימינג</w:t>
            </w:r>
            <w:proofErr w:type="spellEnd"/>
            <w:r w:rsidRPr="00E04FD7">
              <w:rPr>
                <w:rFonts w:ascii="David" w:hAnsi="David" w:cs="David" w:hint="cs"/>
                <w:color w:val="333333"/>
                <w:spacing w:val="2"/>
                <w:sz w:val="22"/>
                <w:szCs w:val="22"/>
                <w:shd w:val="clear" w:color="auto" w:fill="FFFFFF"/>
                <w:rtl/>
              </w:rPr>
              <w:t xml:space="preserve"> ולטפח אותה באמצעותם כתיבתם. מצד אחר, קיומם של האתרים שבהם הם מועסקים תלוי בחברות המסחריות והם נזקקים להן כדי לקבל מידע על המשחקים שעומדים לצאת ולהתנסות בהם. הציפיות הסותרות מכוננות מתחים שמתבטאים בכתיבת הביקורת בכלל ובפרטי המבנה, הסגנון והתוכן שלה, והם מעכבים התפתחות של פרופסיה שעניינה ביקורת משחקים. יתר על כן, הם מעכבים גיבוש של זהות פרופסיונלית של המבקרים. המחברים מדגישים שהתנאים האלה לא מאפשרים צמיחה של ביקורת שתופנה כלפי המסחור וכלפי תרבות </w:t>
            </w:r>
            <w:proofErr w:type="spellStart"/>
            <w:r w:rsidRPr="00E04FD7">
              <w:rPr>
                <w:rFonts w:ascii="David" w:hAnsi="David" w:cs="David" w:hint="cs"/>
                <w:color w:val="333333"/>
                <w:spacing w:val="2"/>
                <w:sz w:val="22"/>
                <w:szCs w:val="22"/>
                <w:shd w:val="clear" w:color="auto" w:fill="FFFFFF"/>
                <w:rtl/>
              </w:rPr>
              <w:t>הגיימינג</w:t>
            </w:r>
            <w:proofErr w:type="spellEnd"/>
            <w:r w:rsidRPr="00E04FD7">
              <w:rPr>
                <w:rFonts w:ascii="David" w:hAnsi="David" w:cs="David" w:hint="cs"/>
                <w:color w:val="333333"/>
                <w:spacing w:val="2"/>
                <w:sz w:val="22"/>
                <w:szCs w:val="22"/>
                <w:shd w:val="clear" w:color="auto" w:fill="FFFFFF"/>
                <w:rtl/>
              </w:rPr>
              <w:t xml:space="preserve"> כפי שהיא כיום</w:t>
            </w:r>
            <w:r>
              <w:rPr>
                <w:rFonts w:ascii="David" w:hAnsi="David" w:cs="David" w:hint="cs"/>
                <w:color w:val="333333"/>
                <w:spacing w:val="2"/>
                <w:sz w:val="22"/>
                <w:szCs w:val="22"/>
                <w:shd w:val="clear" w:color="auto" w:fill="FFFFFF"/>
                <w:rtl/>
              </w:rPr>
              <w:t>.</w:t>
            </w:r>
          </w:p>
          <w:p w:rsidR="00E04FD7" w:rsidRPr="00E04FD7" w:rsidRDefault="00E04FD7" w:rsidP="00E04FD7">
            <w:pPr>
              <w:rPr>
                <w:rFonts w:ascii="David" w:hAnsi="David" w:cs="David" w:hint="cs"/>
                <w:sz w:val="22"/>
                <w:szCs w:val="22"/>
                <w:rtl/>
              </w:rPr>
            </w:pPr>
          </w:p>
        </w:tc>
        <w:tc>
          <w:tcPr>
            <w:tcW w:w="3735" w:type="dxa"/>
          </w:tcPr>
          <w:p w:rsidR="00E04FD7" w:rsidRPr="00445197" w:rsidRDefault="00E04FD7" w:rsidP="009116C7">
            <w:pPr>
              <w:rPr>
                <w:rFonts w:ascii="David" w:hAnsi="David" w:cs="David" w:hint="cs"/>
                <w:sz w:val="22"/>
                <w:szCs w:val="22"/>
                <w:rtl/>
              </w:rPr>
            </w:pPr>
            <w:r>
              <w:rPr>
                <w:rFonts w:ascii="David" w:hAnsi="David" w:cs="David" w:hint="cs"/>
                <w:sz w:val="22"/>
                <w:szCs w:val="22"/>
                <w:rtl/>
              </w:rPr>
              <w:t xml:space="preserve"> </w:t>
            </w:r>
          </w:p>
        </w:tc>
      </w:tr>
    </w:tbl>
    <w:p w:rsidR="007764F5" w:rsidRDefault="00CD35E1"/>
    <w:sectPr w:rsidR="007764F5" w:rsidSect="007677F8">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E8"/>
    <w:rsid w:val="001C6BA7"/>
    <w:rsid w:val="003E4A89"/>
    <w:rsid w:val="00445197"/>
    <w:rsid w:val="00542DE8"/>
    <w:rsid w:val="00730AC8"/>
    <w:rsid w:val="007677F8"/>
    <w:rsid w:val="00B549E6"/>
    <w:rsid w:val="00BD696D"/>
    <w:rsid w:val="00C23B0B"/>
    <w:rsid w:val="00C82268"/>
    <w:rsid w:val="00CD35E1"/>
    <w:rsid w:val="00E04FD7"/>
    <w:rsid w:val="00EC64AD"/>
    <w:rsid w:val="00F76D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160DAD6"/>
  <w15:chartTrackingRefBased/>
  <w15:docId w15:val="{EA5602C2-23E2-6F42-B7F6-31C358D5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42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338213">
      <w:bodyDiv w:val="1"/>
      <w:marLeft w:val="0"/>
      <w:marRight w:val="0"/>
      <w:marTop w:val="0"/>
      <w:marBottom w:val="0"/>
      <w:divBdr>
        <w:top w:val="none" w:sz="0" w:space="0" w:color="auto"/>
        <w:left w:val="none" w:sz="0" w:space="0" w:color="auto"/>
        <w:bottom w:val="none" w:sz="0" w:space="0" w:color="auto"/>
        <w:right w:val="none" w:sz="0" w:space="0" w:color="auto"/>
      </w:divBdr>
    </w:div>
    <w:div w:id="12082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967</Words>
  <Characters>4835</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2</cp:revision>
  <dcterms:created xsi:type="dcterms:W3CDTF">2020-07-07T09:20:00Z</dcterms:created>
  <dcterms:modified xsi:type="dcterms:W3CDTF">2020-07-07T11:59:00Z</dcterms:modified>
</cp:coreProperties>
</file>