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854" w:rsidRDefault="00BE211D" w:rsidP="008A0854">
      <w:pPr>
        <w:spacing w:line="360" w:lineRule="auto"/>
        <w:rPr>
          <w:rFonts w:hint="default"/>
          <w:rtl/>
        </w:rPr>
      </w:pPr>
      <w:r>
        <w:rPr>
          <w:noProof/>
        </w:rPr>
        <w:drawing>
          <wp:anchor distT="0" distB="0" distL="114300" distR="114300" simplePos="0" relativeHeight="251659264" behindDoc="0" locked="0" layoutInCell="1" allowOverlap="1">
            <wp:simplePos x="0" y="0"/>
            <wp:positionH relativeFrom="column">
              <wp:posOffset>45720</wp:posOffset>
            </wp:positionH>
            <wp:positionV relativeFrom="paragraph">
              <wp:posOffset>7952</wp:posOffset>
            </wp:positionV>
            <wp:extent cx="1231265" cy="1276985"/>
            <wp:effectExtent l="0" t="0" r="698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64987" name=""/>
                    <pic:cNvPicPr/>
                  </pic:nvPicPr>
                  <pic:blipFill>
                    <a:blip r:embed="rId8" cstate="print">
                      <a:extLst>
                        <a:ext uri="{28A0092B-C50C-407E-A947-70E740481C1C}">
                          <a14:useLocalDpi xmlns:a14="http://schemas.microsoft.com/office/drawing/2010/main" val="0"/>
                        </a:ext>
                      </a:extLst>
                    </a:blip>
                    <a:srcRect l="51930" t="27694" r="19036" b="18797"/>
                    <a:stretch>
                      <a:fillRect/>
                    </a:stretch>
                  </pic:blipFill>
                  <pic:spPr bwMode="auto">
                    <a:xfrm>
                      <a:off x="0" y="0"/>
                      <a:ext cx="1231265" cy="1276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681">
        <w:rPr>
          <w:rFonts w:ascii="David" w:hAnsi="David" w:cs="David"/>
          <w:b/>
          <w:bCs/>
          <w:noProof/>
          <w:sz w:val="40"/>
          <w:szCs w:val="40"/>
        </w:rPr>
        <w:drawing>
          <wp:inline distT="0" distB="0" distL="0" distR="0">
            <wp:extent cx="1579245" cy="1207135"/>
            <wp:effectExtent l="0" t="0" r="190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53923"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579245" cy="1207135"/>
                    </a:xfrm>
                    <a:prstGeom prst="rect">
                      <a:avLst/>
                    </a:prstGeom>
                    <a:noFill/>
                  </pic:spPr>
                </pic:pic>
              </a:graphicData>
            </a:graphic>
          </wp:inline>
        </w:drawing>
      </w:r>
    </w:p>
    <w:p w:rsidR="00800873" w:rsidRPr="008A0854" w:rsidRDefault="00BE211D" w:rsidP="008A0854">
      <w:pPr>
        <w:spacing w:line="360" w:lineRule="auto"/>
        <w:jc w:val="center"/>
        <w:rPr>
          <w:rFonts w:hint="default"/>
          <w:rtl/>
        </w:rPr>
      </w:pPr>
      <w:r w:rsidRPr="00AE2BD1">
        <w:rPr>
          <w:rFonts w:ascii="David" w:hAnsi="David" w:cs="David"/>
          <w:b/>
          <w:bCs/>
          <w:sz w:val="20"/>
          <w:szCs w:val="20"/>
          <w:rtl/>
        </w:rPr>
        <w:t>המסלול האקדמי המכללה למנהל</w:t>
      </w:r>
    </w:p>
    <w:p w:rsidR="00657E13" w:rsidRDefault="00BE211D" w:rsidP="00800873">
      <w:pPr>
        <w:jc w:val="center"/>
        <w:rPr>
          <w:rFonts w:ascii="David" w:hAnsi="David" w:cs="David" w:hint="default"/>
          <w:b/>
          <w:bCs/>
          <w:sz w:val="20"/>
          <w:szCs w:val="20"/>
          <w:rtl/>
        </w:rPr>
      </w:pPr>
      <w:r w:rsidRPr="00AE2BD1">
        <w:rPr>
          <w:rFonts w:ascii="David" w:hAnsi="David" w:cs="David"/>
          <w:b/>
          <w:bCs/>
          <w:sz w:val="20"/>
          <w:szCs w:val="20"/>
          <w:rtl/>
        </w:rPr>
        <w:t>בית הספר למשפטים ע"ש חיים שטריקס</w:t>
      </w:r>
    </w:p>
    <w:p w:rsidR="0009586E" w:rsidRPr="00800873" w:rsidRDefault="0009586E" w:rsidP="00800873">
      <w:pPr>
        <w:jc w:val="center"/>
        <w:rPr>
          <w:rFonts w:ascii="David" w:hAnsi="David" w:cs="David" w:hint="default"/>
          <w:b/>
          <w:bCs/>
          <w:sz w:val="20"/>
          <w:szCs w:val="20"/>
          <w:rtl/>
        </w:rPr>
      </w:pPr>
    </w:p>
    <w:p w:rsidR="001E03D0" w:rsidRDefault="00BE211D" w:rsidP="008A0854">
      <w:pPr>
        <w:jc w:val="center"/>
        <w:rPr>
          <w:rFonts w:ascii="David" w:hAnsi="David" w:cs="David" w:hint="default"/>
          <w:b/>
          <w:bCs/>
          <w:sz w:val="52"/>
          <w:szCs w:val="52"/>
          <w:rtl/>
        </w:rPr>
      </w:pPr>
      <w:r w:rsidRPr="0009586E">
        <w:rPr>
          <w:rFonts w:ascii="David" w:hAnsi="David" w:cs="David" w:hint="default"/>
          <w:b/>
          <w:bCs/>
          <w:sz w:val="56"/>
          <w:szCs w:val="56"/>
          <w:rtl/>
        </w:rPr>
        <w:t>אחריות המדינה בגין הפרת חובת היידוע באשר להשלכותיו של פס"ד המר</w:t>
      </w:r>
    </w:p>
    <w:p w:rsidR="0009586E" w:rsidRPr="0009586E" w:rsidRDefault="0009586E" w:rsidP="008A0854">
      <w:pPr>
        <w:jc w:val="center"/>
        <w:rPr>
          <w:rFonts w:ascii="David" w:hAnsi="David" w:cs="David" w:hint="default"/>
          <w:b/>
          <w:bCs/>
          <w:sz w:val="52"/>
          <w:szCs w:val="52"/>
          <w:rtl/>
        </w:rPr>
      </w:pPr>
    </w:p>
    <w:p w:rsidR="001E03D0" w:rsidRPr="007243D2" w:rsidRDefault="00BE211D" w:rsidP="00164656">
      <w:pPr>
        <w:jc w:val="center"/>
        <w:rPr>
          <w:rFonts w:ascii="David" w:hAnsi="David" w:cs="David" w:hint="default"/>
          <w:b/>
          <w:bCs/>
          <w:sz w:val="56"/>
          <w:szCs w:val="56"/>
          <w:rtl/>
        </w:rPr>
      </w:pPr>
      <w:r w:rsidRPr="0009586E">
        <w:rPr>
          <w:rFonts w:ascii="Arial" w:hAnsi="Arial"/>
          <w:noProof/>
          <w:color w:val="1A0DAB"/>
          <w:sz w:val="16"/>
          <w:szCs w:val="16"/>
          <w:bdr w:val="none" w:sz="0" w:space="0" w:color="auto" w:frame="1"/>
        </w:rPr>
        <w:drawing>
          <wp:anchor distT="0" distB="0" distL="114300" distR="114300" simplePos="0" relativeHeight="251658240" behindDoc="1" locked="0" layoutInCell="1" allowOverlap="1">
            <wp:simplePos x="0" y="0"/>
            <wp:positionH relativeFrom="column">
              <wp:posOffset>3230880</wp:posOffset>
            </wp:positionH>
            <wp:positionV relativeFrom="paragraph">
              <wp:posOffset>476885</wp:posOffset>
            </wp:positionV>
            <wp:extent cx="2670175" cy="2158365"/>
            <wp:effectExtent l="0" t="0" r="0" b="0"/>
            <wp:wrapTight wrapText="bothSides">
              <wp:wrapPolygon edited="0">
                <wp:start x="0" y="0"/>
                <wp:lineTo x="0" y="21352"/>
                <wp:lineTo x="21420" y="21352"/>
                <wp:lineTo x="21420" y="0"/>
                <wp:lineTo x="0" y="0"/>
              </wp:wrapPolygon>
            </wp:wrapTight>
            <wp:docPr id="5" name="תמונה 5" descr="תמונה קשורה">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5048" name="Picture 1" descr="תמונה קשורה">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70175"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604" w:rsidRPr="0009586E">
        <w:rPr>
          <w:rFonts w:ascii="David" w:hAnsi="David" w:cs="David" w:hint="default"/>
          <w:b/>
          <w:bCs/>
          <w:sz w:val="48"/>
          <w:szCs w:val="48"/>
          <w:rtl/>
        </w:rPr>
        <w:t>"טוב מותי מחיי"</w:t>
      </w:r>
    </w:p>
    <w:p w:rsidR="00657E13" w:rsidRPr="007243D2" w:rsidRDefault="00BE211D" w:rsidP="004B142D">
      <w:pPr>
        <w:rPr>
          <w:rFonts w:ascii="David" w:hAnsi="David" w:cs="David" w:hint="default"/>
          <w:sz w:val="56"/>
          <w:szCs w:val="56"/>
          <w:rtl/>
        </w:rPr>
      </w:pPr>
      <w:r>
        <w:rPr>
          <w:rFonts w:ascii="Arial" w:hAnsi="Arial"/>
          <w:noProof/>
          <w:color w:val="1A0DAB"/>
          <w:sz w:val="20"/>
          <w:szCs w:val="20"/>
          <w:bdr w:val="none" w:sz="0" w:space="0" w:color="auto" w:frame="1"/>
        </w:rPr>
        <w:drawing>
          <wp:inline distT="0" distB="0" distL="0" distR="0">
            <wp:extent cx="3082458" cy="2158365"/>
            <wp:effectExtent l="0" t="0" r="3810" b="0"/>
            <wp:docPr id="6" name="תמונה 6" descr="תוצאת תמונה עבור הולדה בעוולה">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32835" name="Picture 3" descr="תוצאת תמונה עבור הולדה בעוולה">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98339" cy="2169485"/>
                    </a:xfrm>
                    <a:prstGeom prst="rect">
                      <a:avLst/>
                    </a:prstGeom>
                    <a:noFill/>
                    <a:ln>
                      <a:noFill/>
                    </a:ln>
                  </pic:spPr>
                </pic:pic>
              </a:graphicData>
            </a:graphic>
          </wp:inline>
        </w:drawing>
      </w:r>
    </w:p>
    <w:p w:rsidR="00657E13" w:rsidRPr="0009586E" w:rsidRDefault="00BE211D" w:rsidP="00732017">
      <w:pPr>
        <w:jc w:val="center"/>
        <w:rPr>
          <w:rFonts w:ascii="David" w:hAnsi="David" w:cs="David" w:hint="default"/>
          <w:b/>
          <w:bCs/>
          <w:sz w:val="32"/>
          <w:szCs w:val="32"/>
          <w:rtl/>
        </w:rPr>
      </w:pPr>
      <w:r w:rsidRPr="0009586E">
        <w:rPr>
          <w:rFonts w:ascii="David" w:hAnsi="David" w:cs="David" w:hint="cs"/>
          <w:b/>
          <w:bCs/>
          <w:sz w:val="32"/>
          <w:szCs w:val="32"/>
          <w:rtl/>
        </w:rPr>
        <w:t>עבודת סמינריון במסגרת הקליניקה לזכויות החולה</w:t>
      </w:r>
    </w:p>
    <w:p w:rsidR="00732017" w:rsidRPr="0009586E" w:rsidRDefault="00BE211D" w:rsidP="00732017">
      <w:pPr>
        <w:jc w:val="center"/>
        <w:rPr>
          <w:rFonts w:ascii="David" w:hAnsi="David" w:cs="David" w:hint="default"/>
          <w:b/>
          <w:bCs/>
          <w:sz w:val="32"/>
          <w:szCs w:val="32"/>
          <w:rtl/>
        </w:rPr>
      </w:pPr>
      <w:r w:rsidRPr="0009586E">
        <w:rPr>
          <w:rFonts w:ascii="David" w:hAnsi="David" w:cs="David" w:hint="cs"/>
          <w:b/>
          <w:bCs/>
          <w:sz w:val="32"/>
          <w:szCs w:val="32"/>
          <w:rtl/>
        </w:rPr>
        <w:t xml:space="preserve">בהנחיית ד"ר נילי קרקו </w:t>
      </w:r>
      <w:r w:rsidRPr="0009586E">
        <w:rPr>
          <w:rFonts w:ascii="David" w:hAnsi="David" w:cs="David" w:hint="default"/>
          <w:b/>
          <w:bCs/>
          <w:sz w:val="32"/>
          <w:szCs w:val="32"/>
          <w:rtl/>
        </w:rPr>
        <w:t>–</w:t>
      </w:r>
      <w:r w:rsidRPr="0009586E">
        <w:rPr>
          <w:rFonts w:ascii="David" w:hAnsi="David" w:cs="David" w:hint="cs"/>
          <w:b/>
          <w:bCs/>
          <w:sz w:val="32"/>
          <w:szCs w:val="32"/>
          <w:rtl/>
        </w:rPr>
        <w:t xml:space="preserve"> אייל</w:t>
      </w:r>
    </w:p>
    <w:p w:rsidR="00164656" w:rsidRPr="0009586E" w:rsidRDefault="00BE211D" w:rsidP="00EA545F">
      <w:pPr>
        <w:jc w:val="center"/>
        <w:rPr>
          <w:rFonts w:ascii="David" w:hAnsi="David" w:cs="David" w:hint="default"/>
          <w:b/>
          <w:bCs/>
          <w:sz w:val="32"/>
          <w:szCs w:val="32"/>
          <w:rtl/>
        </w:rPr>
      </w:pPr>
      <w:r>
        <w:rPr>
          <w:rFonts w:ascii="David" w:hAnsi="David" w:cs="David" w:hint="cs"/>
          <w:b/>
          <w:bCs/>
          <w:sz w:val="32"/>
          <w:szCs w:val="32"/>
          <w:rtl/>
        </w:rPr>
        <w:t>מגישה</w:t>
      </w:r>
      <w:r w:rsidR="00D71681" w:rsidRPr="0009586E">
        <w:rPr>
          <w:rFonts w:ascii="David" w:hAnsi="David" w:cs="David" w:hint="cs"/>
          <w:b/>
          <w:bCs/>
          <w:sz w:val="32"/>
          <w:szCs w:val="32"/>
          <w:rtl/>
        </w:rPr>
        <w:t>: לין ביצ'אצ'י</w:t>
      </w:r>
    </w:p>
    <w:p w:rsidR="0009586E" w:rsidRDefault="00BE211D" w:rsidP="00EA545F">
      <w:pPr>
        <w:jc w:val="center"/>
        <w:rPr>
          <w:rFonts w:ascii="David" w:hAnsi="David" w:cs="David" w:hint="default"/>
          <w:b/>
          <w:bCs/>
          <w:sz w:val="32"/>
          <w:szCs w:val="32"/>
          <w:rtl/>
        </w:rPr>
      </w:pPr>
      <w:r>
        <w:rPr>
          <w:rFonts w:ascii="David" w:hAnsi="David" w:cs="David" w:hint="cs"/>
          <w:b/>
          <w:bCs/>
          <w:sz w:val="32"/>
          <w:szCs w:val="32"/>
          <w:rtl/>
        </w:rPr>
        <w:t>ת.ז: 308018100</w:t>
      </w:r>
    </w:p>
    <w:p w:rsidR="0009586E" w:rsidRPr="0009586E" w:rsidRDefault="00BE211D" w:rsidP="00EA545F">
      <w:pPr>
        <w:jc w:val="center"/>
        <w:rPr>
          <w:rFonts w:ascii="David" w:hAnsi="David" w:cs="David" w:hint="default"/>
          <w:b/>
          <w:bCs/>
          <w:sz w:val="32"/>
          <w:szCs w:val="32"/>
          <w:rtl/>
        </w:rPr>
      </w:pPr>
      <w:r>
        <w:rPr>
          <w:rFonts w:ascii="David" w:hAnsi="David" w:cs="David" w:hint="cs"/>
          <w:b/>
          <w:bCs/>
          <w:sz w:val="32"/>
          <w:szCs w:val="32"/>
          <w:rtl/>
        </w:rPr>
        <w:t>תשע"ח</w:t>
      </w:r>
    </w:p>
    <w:p w:rsidR="0009586E" w:rsidRPr="0009586E" w:rsidRDefault="0009586E" w:rsidP="00787553">
      <w:pPr>
        <w:rPr>
          <w:rFonts w:ascii="David" w:hAnsi="David" w:cs="David" w:hint="default"/>
          <w:b/>
          <w:bCs/>
          <w:sz w:val="36"/>
          <w:szCs w:val="36"/>
          <w:rtl/>
        </w:rPr>
      </w:pPr>
    </w:p>
    <w:p w:rsidR="00EA545F" w:rsidRPr="00EA545F" w:rsidRDefault="00EA545F" w:rsidP="00EA545F">
      <w:pPr>
        <w:jc w:val="center"/>
        <w:rPr>
          <w:rFonts w:ascii="David" w:hAnsi="David" w:cs="David" w:hint="default"/>
          <w:b/>
          <w:bCs/>
          <w:sz w:val="40"/>
          <w:szCs w:val="40"/>
          <w:rtl/>
        </w:rPr>
      </w:pPr>
    </w:p>
    <w:p w:rsidR="00657E13" w:rsidRPr="007330AD" w:rsidRDefault="00BE211D" w:rsidP="007330AD">
      <w:pPr>
        <w:jc w:val="center"/>
        <w:rPr>
          <w:rFonts w:ascii="David" w:hAnsi="David" w:cs="David" w:hint="default"/>
          <w:b/>
          <w:bCs/>
          <w:sz w:val="28"/>
          <w:szCs w:val="28"/>
          <w:rtl/>
        </w:rPr>
      </w:pPr>
      <w:r w:rsidRPr="007330AD">
        <w:rPr>
          <w:rFonts w:ascii="David" w:hAnsi="David" w:cs="David" w:hint="default"/>
          <w:b/>
          <w:bCs/>
          <w:sz w:val="28"/>
          <w:szCs w:val="28"/>
          <w:rtl/>
        </w:rPr>
        <w:t>תוכן עניינים:</w:t>
      </w:r>
    </w:p>
    <w:p w:rsidR="00657E13" w:rsidRPr="007243D2" w:rsidRDefault="00657E13">
      <w:pPr>
        <w:rPr>
          <w:rFonts w:ascii="David" w:hAnsi="David" w:cs="David" w:hint="default"/>
          <w:sz w:val="40"/>
          <w:szCs w:val="40"/>
          <w:rtl/>
        </w:rPr>
      </w:pPr>
    </w:p>
    <w:sdt>
      <w:sdtPr>
        <w:rPr>
          <w:rFonts w:asciiTheme="minorHAnsi" w:eastAsiaTheme="minorHAnsi" w:hAnsiTheme="minorHAnsi" w:cstheme="minorBidi" w:hint="eastAsia"/>
          <w:color w:val="auto"/>
          <w:sz w:val="22"/>
          <w:szCs w:val="22"/>
          <w:cs w:val="0"/>
          <w:lang w:val="he-IL"/>
        </w:rPr>
        <w:id w:val="1933856419"/>
        <w:docPartObj>
          <w:docPartGallery w:val="Table of Contents"/>
          <w:docPartUnique/>
        </w:docPartObj>
      </w:sdtPr>
      <w:sdtEndPr>
        <w:rPr>
          <w:rFonts w:eastAsiaTheme="minorEastAsia" w:cs="Arial"/>
          <w:b/>
          <w:bCs/>
        </w:rPr>
      </w:sdtEndPr>
      <w:sdtContent>
        <w:p w:rsidR="007330AD" w:rsidRPr="00AE2BD1" w:rsidRDefault="007330AD" w:rsidP="007330AD">
          <w:pPr>
            <w:pStyle w:val="af2"/>
            <w:jc w:val="center"/>
            <w:rPr>
              <w:color w:val="auto"/>
              <w:cs w:val="0"/>
            </w:rPr>
          </w:pPr>
        </w:p>
        <w:p w:rsidR="007330AD" w:rsidRDefault="00BE211D" w:rsidP="00CB7BCB">
          <w:pPr>
            <w:pStyle w:val="TOC1"/>
            <w:tabs>
              <w:tab w:val="right" w:leader="dot" w:pos="8296"/>
            </w:tabs>
            <w:rPr>
              <w:rFonts w:cstheme="minorBidi"/>
              <w:noProof/>
              <w:cs w:val="0"/>
            </w:rPr>
          </w:pPr>
          <w:r w:rsidRPr="00AE2BD1">
            <w:rPr>
              <w:rFonts w:hint="eastAsia"/>
              <w:rtl w:val="0"/>
              <w:cs w:val="0"/>
            </w:rPr>
            <w:fldChar w:fldCharType="begin"/>
          </w:r>
          <w:r w:rsidRPr="00AE2BD1">
            <w:rPr>
              <w:cs w:val="0"/>
            </w:rPr>
            <w:instrText xml:space="preserve"> </w:instrText>
          </w:r>
          <w:r w:rsidRPr="00AE2BD1">
            <w:rPr>
              <w:rtl w:val="0"/>
              <w:cs w:val="0"/>
            </w:rPr>
            <w:instrText>TOC \o "1-3" \h \z \u</w:instrText>
          </w:r>
          <w:r w:rsidRPr="00AE2BD1">
            <w:rPr>
              <w:cs w:val="0"/>
            </w:rPr>
            <w:instrText xml:space="preserve"> </w:instrText>
          </w:r>
          <w:r w:rsidRPr="00AE2BD1">
            <w:rPr>
              <w:rFonts w:hint="eastAsia"/>
              <w:rtl w:val="0"/>
              <w:cs w:val="0"/>
            </w:rPr>
            <w:fldChar w:fldCharType="separate"/>
          </w:r>
          <w:hyperlink w:anchor="_Toc494374390" w:history="1">
            <w:r w:rsidRPr="00A20076">
              <w:rPr>
                <w:rStyle w:val="Hyperlink"/>
                <w:rFonts w:ascii="David" w:eastAsia="PMingLiU" w:hAnsi="David" w:cs="David" w:hint="default"/>
                <w:noProof/>
                <w:cs w:val="0"/>
              </w:rPr>
              <w:t>מבוא:</w:t>
            </w:r>
            <w:r>
              <w:rPr>
                <w:noProof/>
                <w:webHidden/>
                <w:rtl w:val="0"/>
                <w:cs w:val="0"/>
              </w:rPr>
              <w:tab/>
            </w:r>
            <w:r w:rsidR="00CB7BCB">
              <w:rPr>
                <w:rFonts w:hint="cs"/>
                <w:noProof/>
                <w:webHidden/>
                <w:cs w:val="0"/>
              </w:rPr>
              <w:t>3</w:t>
            </w:r>
          </w:hyperlink>
          <w:r w:rsidR="00CB7BCB">
            <w:rPr>
              <w:rFonts w:hint="cs"/>
              <w:noProof/>
              <w:cs w:val="0"/>
            </w:rPr>
            <w:t>-4</w:t>
          </w:r>
        </w:p>
        <w:p w:rsidR="007330AD" w:rsidRDefault="00BE211D" w:rsidP="00E272CB">
          <w:pPr>
            <w:pStyle w:val="TOC1"/>
            <w:tabs>
              <w:tab w:val="right" w:leader="dot" w:pos="8296"/>
            </w:tabs>
            <w:rPr>
              <w:rFonts w:cstheme="minorBidi"/>
              <w:noProof/>
              <w:cs w:val="0"/>
            </w:rPr>
          </w:pPr>
          <w:hyperlink w:anchor="_Toc494374391" w:history="1">
            <w:r w:rsidR="00D71681" w:rsidRPr="00A20076">
              <w:rPr>
                <w:rStyle w:val="Hyperlink"/>
                <w:rFonts w:ascii="David" w:eastAsia="PMingLiU" w:hAnsi="David" w:cs="David" w:hint="default"/>
                <w:noProof/>
                <w:cs w:val="0"/>
              </w:rPr>
              <w:t xml:space="preserve">פרק ראשון – </w:t>
            </w:r>
            <w:r w:rsidR="00E272CB">
              <w:rPr>
                <w:rStyle w:val="Hyperlink"/>
                <w:rFonts w:ascii="David" w:eastAsia="PMingLiU" w:hAnsi="David" w:cs="David" w:hint="default"/>
                <w:noProof/>
                <w:cs w:val="0"/>
              </w:rPr>
              <w:t>"על לידתה ומותה של עילת החיים בעוולה"</w:t>
            </w:r>
            <w:r w:rsidR="00D71681">
              <w:rPr>
                <w:noProof/>
                <w:webHidden/>
                <w:rtl w:val="0"/>
                <w:cs w:val="0"/>
              </w:rPr>
              <w:tab/>
            </w:r>
            <w:r w:rsidR="00E272CB">
              <w:rPr>
                <w:rFonts w:hint="cs"/>
                <w:noProof/>
                <w:webHidden/>
                <w:cs w:val="0"/>
              </w:rPr>
              <w:t>5</w:t>
            </w:r>
          </w:hyperlink>
        </w:p>
        <w:p w:rsidR="007330AD" w:rsidRDefault="00BE211D" w:rsidP="00E272CB">
          <w:pPr>
            <w:pStyle w:val="TOC2"/>
            <w:tabs>
              <w:tab w:val="right" w:leader="dot" w:pos="8296"/>
            </w:tabs>
            <w:rPr>
              <w:rFonts w:cstheme="minorBidi"/>
              <w:noProof/>
              <w:cs w:val="0"/>
            </w:rPr>
          </w:pPr>
          <w:hyperlink w:anchor="_Toc494374392" w:history="1">
            <w:r w:rsidR="00E272CB">
              <w:rPr>
                <w:rStyle w:val="Hyperlink"/>
                <w:rFonts w:ascii="Calibri Light" w:eastAsia="PMingLiU" w:hAnsi="Calibri Light" w:cs="David" w:hint="default"/>
                <w:noProof/>
                <w:cs w:val="0"/>
              </w:rPr>
              <w:t xml:space="preserve">א1. תיאור עילת "חיים בעוולה" – </w:t>
            </w:r>
            <w:r w:rsidR="00E272CB">
              <w:rPr>
                <w:rStyle w:val="Hyperlink"/>
                <w:rFonts w:ascii="Calibri Light" w:eastAsia="PMingLiU" w:hAnsi="Calibri Light" w:cs="David" w:hint="default"/>
                <w:noProof/>
                <w:rtl w:val="0"/>
                <w:cs w:val="0"/>
              </w:rPr>
              <w:t>wrongful life</w:t>
            </w:r>
            <w:r w:rsidR="00D71681">
              <w:rPr>
                <w:noProof/>
                <w:webHidden/>
                <w:rtl w:val="0"/>
                <w:cs w:val="0"/>
              </w:rPr>
              <w:tab/>
            </w:r>
            <w:r w:rsidR="00E272CB">
              <w:rPr>
                <w:rFonts w:hint="cs"/>
                <w:noProof/>
                <w:webHidden/>
                <w:cs w:val="0"/>
              </w:rPr>
              <w:t>5-6</w:t>
            </w:r>
          </w:hyperlink>
        </w:p>
        <w:p w:rsidR="007330AD" w:rsidRDefault="00BE211D" w:rsidP="00E272CB">
          <w:pPr>
            <w:pStyle w:val="TOC2"/>
            <w:tabs>
              <w:tab w:val="right" w:leader="dot" w:pos="8296"/>
            </w:tabs>
            <w:rPr>
              <w:rFonts w:cstheme="minorBidi"/>
              <w:noProof/>
              <w:cs w:val="0"/>
            </w:rPr>
          </w:pPr>
          <w:hyperlink w:anchor="_Toc494374393" w:history="1">
            <w:r w:rsidR="00E272CB">
              <w:rPr>
                <w:rStyle w:val="Hyperlink"/>
                <w:rFonts w:ascii="Calibri Light" w:eastAsia="PMingLiU" w:hAnsi="Calibri Light" w:cs="David" w:hint="default"/>
                <w:noProof/>
                <w:cs w:val="0"/>
              </w:rPr>
              <w:t>א2. פרשת זייצוב</w:t>
            </w:r>
            <w:r w:rsidR="00D71681">
              <w:rPr>
                <w:noProof/>
                <w:webHidden/>
                <w:rtl w:val="0"/>
                <w:cs w:val="0"/>
              </w:rPr>
              <w:tab/>
            </w:r>
            <w:r w:rsidR="00E272CB">
              <w:rPr>
                <w:rFonts w:hint="cs"/>
                <w:noProof/>
                <w:webHidden/>
                <w:cs w:val="0"/>
              </w:rPr>
              <w:t>6</w:t>
            </w:r>
            <w:r w:rsidR="00E272CB" w:rsidRPr="00DD102C">
              <w:rPr>
                <w:rFonts w:ascii="David" w:hAnsi="David" w:cs="David"/>
                <w:noProof/>
                <w:webHidden/>
                <w:sz w:val="24"/>
                <w:szCs w:val="24"/>
                <w:cs w:val="0"/>
              </w:rPr>
              <w:t>-</w:t>
            </w:r>
            <w:r w:rsidR="00E272CB">
              <w:rPr>
                <w:rFonts w:hint="cs"/>
                <w:noProof/>
                <w:webHidden/>
                <w:cs w:val="0"/>
              </w:rPr>
              <w:t>8</w:t>
            </w:r>
          </w:hyperlink>
        </w:p>
        <w:p w:rsidR="007330AD" w:rsidRDefault="00BE211D" w:rsidP="00E272CB">
          <w:pPr>
            <w:pStyle w:val="TOC2"/>
            <w:tabs>
              <w:tab w:val="right" w:leader="dot" w:pos="8296"/>
            </w:tabs>
            <w:rPr>
              <w:rFonts w:cstheme="minorBidi"/>
              <w:noProof/>
              <w:cs w:val="0"/>
            </w:rPr>
          </w:pPr>
          <w:hyperlink w:anchor="_Toc494374394" w:history="1">
            <w:r w:rsidR="00E272CB">
              <w:rPr>
                <w:rStyle w:val="Hyperlink"/>
                <w:rFonts w:ascii="Calibri Light" w:eastAsia="PMingLiU" w:hAnsi="Calibri Light" w:cs="David" w:hint="default"/>
                <w:noProof/>
                <w:cs w:val="0"/>
              </w:rPr>
              <w:t>א3. פרשת המר</w:t>
            </w:r>
            <w:r w:rsidR="00D71681">
              <w:rPr>
                <w:noProof/>
                <w:webHidden/>
                <w:rtl w:val="0"/>
                <w:cs w:val="0"/>
              </w:rPr>
              <w:tab/>
            </w:r>
            <w:r w:rsidR="00E272CB">
              <w:rPr>
                <w:rFonts w:hint="cs"/>
                <w:noProof/>
                <w:webHidden/>
                <w:cs w:val="0"/>
              </w:rPr>
              <w:t>8-9</w:t>
            </w:r>
          </w:hyperlink>
        </w:p>
        <w:p w:rsidR="007330AD" w:rsidRDefault="00BE211D" w:rsidP="00E272CB">
          <w:pPr>
            <w:pStyle w:val="TOC2"/>
            <w:tabs>
              <w:tab w:val="right" w:leader="dot" w:pos="8296"/>
            </w:tabs>
            <w:rPr>
              <w:rFonts w:cstheme="minorBidi"/>
              <w:noProof/>
              <w:cs w:val="0"/>
            </w:rPr>
          </w:pPr>
          <w:hyperlink w:anchor="_Toc494374395" w:history="1">
            <w:r w:rsidR="00E272CB">
              <w:rPr>
                <w:rStyle w:val="Hyperlink"/>
                <w:rFonts w:ascii="Calibri Light" w:eastAsia="PMingLiU" w:hAnsi="Calibri Light" w:cs="David" w:hint="default"/>
                <w:noProof/>
                <w:cs w:val="0"/>
              </w:rPr>
              <w:t>א4. המצב המשפטי כיום</w:t>
            </w:r>
            <w:r w:rsidR="00D71681">
              <w:rPr>
                <w:noProof/>
                <w:webHidden/>
                <w:rtl w:val="0"/>
                <w:cs w:val="0"/>
              </w:rPr>
              <w:tab/>
            </w:r>
            <w:r w:rsidR="00E272CB">
              <w:rPr>
                <w:rFonts w:hint="cs"/>
                <w:noProof/>
                <w:webHidden/>
                <w:rtl w:val="0"/>
                <w:cs w:val="0"/>
              </w:rPr>
              <w:t>9-10</w:t>
            </w:r>
          </w:hyperlink>
        </w:p>
        <w:p w:rsidR="007330AD" w:rsidRDefault="00BE211D" w:rsidP="00112C7C">
          <w:pPr>
            <w:pStyle w:val="TOC1"/>
            <w:tabs>
              <w:tab w:val="right" w:leader="dot" w:pos="8296"/>
            </w:tabs>
            <w:rPr>
              <w:rFonts w:cstheme="minorBidi"/>
              <w:noProof/>
              <w:cs w:val="0"/>
            </w:rPr>
          </w:pPr>
          <w:hyperlink w:anchor="_Toc494374396" w:history="1">
            <w:r w:rsidR="00D71681" w:rsidRPr="00A20076">
              <w:rPr>
                <w:rStyle w:val="Hyperlink"/>
                <w:rFonts w:ascii="David" w:eastAsia="PMingLiU" w:hAnsi="David" w:cs="David" w:hint="default"/>
                <w:noProof/>
                <w:cs w:val="0"/>
              </w:rPr>
              <w:t xml:space="preserve">פרק שני – </w:t>
            </w:r>
            <w:r w:rsidR="00112C7C">
              <w:rPr>
                <w:rStyle w:val="Hyperlink"/>
                <w:rFonts w:ascii="David" w:eastAsia="PMingLiU" w:hAnsi="David" w:cs="David" w:hint="default"/>
                <w:noProof/>
                <w:cs w:val="0"/>
              </w:rPr>
              <w:t>התיישנות</w:t>
            </w:r>
            <w:r w:rsidR="00D71681">
              <w:rPr>
                <w:noProof/>
                <w:webHidden/>
                <w:rtl w:val="0"/>
                <w:cs w:val="0"/>
              </w:rPr>
              <w:tab/>
            </w:r>
            <w:r w:rsidR="00E272CB">
              <w:rPr>
                <w:rFonts w:hint="cs"/>
                <w:noProof/>
                <w:webHidden/>
                <w:cs w:val="0"/>
              </w:rPr>
              <w:t>11</w:t>
            </w:r>
          </w:hyperlink>
        </w:p>
        <w:p w:rsidR="007330AD" w:rsidRDefault="00BE211D" w:rsidP="00112C7C">
          <w:pPr>
            <w:pStyle w:val="TOC2"/>
            <w:tabs>
              <w:tab w:val="right" w:leader="dot" w:pos="8296"/>
            </w:tabs>
            <w:rPr>
              <w:rFonts w:cstheme="minorBidi"/>
              <w:noProof/>
              <w:cs w:val="0"/>
            </w:rPr>
          </w:pPr>
          <w:hyperlink w:anchor="_Toc494374397" w:history="1">
            <w:r w:rsidR="00E272CB">
              <w:rPr>
                <w:rStyle w:val="Hyperlink"/>
                <w:rFonts w:ascii="Calibri Light" w:eastAsia="PMingLiU" w:hAnsi="Calibri Light" w:cs="David" w:hint="default"/>
                <w:noProof/>
                <w:cs w:val="0"/>
              </w:rPr>
              <w:t>ב1.</w:t>
            </w:r>
            <w:r w:rsidR="00112C7C">
              <w:rPr>
                <w:rStyle w:val="Hyperlink"/>
                <w:rFonts w:ascii="Calibri Light" w:eastAsia="PMingLiU" w:hAnsi="Calibri Light" w:cs="David" w:hint="default"/>
                <w:noProof/>
                <w:cs w:val="0"/>
              </w:rPr>
              <w:t>השפעת פסק דין המר השלכותיו בכל הקשור לדיני ההתיישנת</w:t>
            </w:r>
            <w:r w:rsidR="00D71681">
              <w:rPr>
                <w:noProof/>
                <w:webHidden/>
                <w:rtl w:val="0"/>
                <w:cs w:val="0"/>
              </w:rPr>
              <w:tab/>
            </w:r>
            <w:r w:rsidR="00112C7C">
              <w:rPr>
                <w:rFonts w:hint="cs"/>
                <w:noProof/>
                <w:webHidden/>
                <w:cs w:val="0"/>
              </w:rPr>
              <w:t>11</w:t>
            </w:r>
            <w:r w:rsidR="00E272CB">
              <w:rPr>
                <w:rFonts w:hint="cs"/>
                <w:noProof/>
                <w:webHidden/>
                <w:cs w:val="0"/>
              </w:rPr>
              <w:t>-13</w:t>
            </w:r>
          </w:hyperlink>
        </w:p>
        <w:p w:rsidR="007330AD" w:rsidRDefault="00BE211D" w:rsidP="00E272CB">
          <w:pPr>
            <w:pStyle w:val="TOC2"/>
            <w:tabs>
              <w:tab w:val="right" w:leader="dot" w:pos="8296"/>
            </w:tabs>
            <w:rPr>
              <w:rFonts w:cstheme="minorBidi"/>
              <w:noProof/>
              <w:cs w:val="0"/>
            </w:rPr>
          </w:pPr>
          <w:hyperlink w:anchor="_Toc494374398" w:history="1">
            <w:r w:rsidR="00E272CB">
              <w:rPr>
                <w:rStyle w:val="Hyperlink"/>
                <w:rFonts w:ascii="Calibri Light" w:eastAsia="PMingLiU" w:hAnsi="Calibri Light" w:cs="David" w:hint="default"/>
                <w:noProof/>
                <w:cs w:val="0"/>
              </w:rPr>
              <w:t>ב2. סיווג עילת ההתיישנות – דין מהותי או דין דיוני?</w:t>
            </w:r>
            <w:r w:rsidR="00D71681">
              <w:rPr>
                <w:noProof/>
                <w:webHidden/>
                <w:rtl w:val="0"/>
                <w:cs w:val="0"/>
              </w:rPr>
              <w:tab/>
            </w:r>
            <w:r w:rsidR="00E272CB">
              <w:rPr>
                <w:rFonts w:hint="cs"/>
                <w:noProof/>
                <w:webHidden/>
                <w:cs w:val="0"/>
              </w:rPr>
              <w:t>13-14</w:t>
            </w:r>
          </w:hyperlink>
        </w:p>
        <w:p w:rsidR="00E272CB" w:rsidRPr="00E272CB" w:rsidRDefault="00BE211D" w:rsidP="00E272CB">
          <w:pPr>
            <w:pStyle w:val="TOC2"/>
            <w:tabs>
              <w:tab w:val="right" w:leader="dot" w:pos="8296"/>
            </w:tabs>
            <w:rPr>
              <w:rFonts w:cstheme="minorBidi"/>
              <w:noProof/>
              <w:cs w:val="0"/>
            </w:rPr>
          </w:pPr>
          <w:hyperlink w:anchor="_Toc494374398" w:history="1">
            <w:r w:rsidR="00D71681">
              <w:rPr>
                <w:rStyle w:val="Hyperlink"/>
                <w:rFonts w:ascii="Calibri Light" w:eastAsia="PMingLiU" w:hAnsi="Calibri Light" w:cs="David" w:hint="default"/>
                <w:noProof/>
                <w:cs w:val="0"/>
              </w:rPr>
              <w:t>ב3.חוק הנזקים האזרחיים (אחריות המדינה) התשי"ב - 1952</w:t>
            </w:r>
            <w:r w:rsidR="00D71681">
              <w:rPr>
                <w:noProof/>
                <w:webHidden/>
                <w:rtl w:val="0"/>
                <w:cs w:val="0"/>
              </w:rPr>
              <w:tab/>
            </w:r>
            <w:r w:rsidR="00D71681">
              <w:rPr>
                <w:rFonts w:hint="cs"/>
                <w:noProof/>
                <w:webHidden/>
                <w:cs w:val="0"/>
              </w:rPr>
              <w:t>14-15</w:t>
            </w:r>
          </w:hyperlink>
        </w:p>
        <w:p w:rsidR="007330AD" w:rsidRDefault="00BE211D" w:rsidP="00E44A57">
          <w:pPr>
            <w:pStyle w:val="TOC1"/>
            <w:tabs>
              <w:tab w:val="right" w:leader="dot" w:pos="8296"/>
            </w:tabs>
            <w:rPr>
              <w:rFonts w:cstheme="minorBidi"/>
              <w:noProof/>
              <w:cs w:val="0"/>
            </w:rPr>
          </w:pPr>
          <w:hyperlink w:anchor="_Toc494374399" w:history="1">
            <w:r w:rsidR="00D71681" w:rsidRPr="00A20076">
              <w:rPr>
                <w:rStyle w:val="Hyperlink"/>
                <w:rFonts w:ascii="David" w:eastAsia="PMingLiU" w:hAnsi="David" w:cs="David" w:hint="default"/>
                <w:noProof/>
                <w:cs w:val="0"/>
              </w:rPr>
              <w:t xml:space="preserve">פרק שלישי – </w:t>
            </w:r>
            <w:r w:rsidR="00E44A57">
              <w:rPr>
                <w:rStyle w:val="Hyperlink"/>
                <w:rFonts w:ascii="David" w:eastAsia="PMingLiU" w:hAnsi="David" w:cs="David" w:hint="default"/>
                <w:noProof/>
                <w:cs w:val="0"/>
              </w:rPr>
              <w:t>אחריות המדינה</w:t>
            </w:r>
            <w:r w:rsidR="00D71681">
              <w:rPr>
                <w:noProof/>
                <w:webHidden/>
                <w:rtl w:val="0"/>
                <w:cs w:val="0"/>
              </w:rPr>
              <w:tab/>
            </w:r>
            <w:r w:rsidR="00E44A57">
              <w:rPr>
                <w:rFonts w:hint="cs"/>
                <w:noProof/>
                <w:webHidden/>
                <w:cs w:val="0"/>
              </w:rPr>
              <w:t>15-16</w:t>
            </w:r>
          </w:hyperlink>
        </w:p>
        <w:p w:rsidR="007330AD" w:rsidRDefault="00BE211D" w:rsidP="008304FC">
          <w:pPr>
            <w:pStyle w:val="TOC2"/>
            <w:tabs>
              <w:tab w:val="right" w:leader="dot" w:pos="8296"/>
            </w:tabs>
            <w:rPr>
              <w:rFonts w:cstheme="minorBidi"/>
              <w:noProof/>
              <w:cs w:val="0"/>
            </w:rPr>
          </w:pPr>
          <w:hyperlink w:anchor="_Toc494374400" w:history="1">
            <w:r w:rsidR="00E44A57">
              <w:rPr>
                <w:rStyle w:val="Hyperlink"/>
                <w:rFonts w:ascii="Calibri Light" w:eastAsia="PMingLiU" w:hAnsi="Calibri Light" w:cs="David" w:hint="default"/>
                <w:noProof/>
                <w:cs w:val="0"/>
              </w:rPr>
              <w:t>ג1. זריקות הדפו - פרוברה</w:t>
            </w:r>
            <w:r w:rsidR="00D71681">
              <w:rPr>
                <w:noProof/>
                <w:webHidden/>
                <w:rtl w:val="0"/>
                <w:cs w:val="0"/>
              </w:rPr>
              <w:tab/>
            </w:r>
          </w:hyperlink>
          <w:r w:rsidR="008304FC">
            <w:rPr>
              <w:rFonts w:hint="cs"/>
              <w:noProof/>
              <w:cs w:val="0"/>
            </w:rPr>
            <w:t>17</w:t>
          </w:r>
        </w:p>
        <w:p w:rsidR="007330AD" w:rsidRDefault="00BE211D" w:rsidP="00E44A57">
          <w:pPr>
            <w:pStyle w:val="TOC2"/>
            <w:tabs>
              <w:tab w:val="right" w:leader="dot" w:pos="8296"/>
            </w:tabs>
            <w:rPr>
              <w:rFonts w:cstheme="minorBidi"/>
              <w:noProof/>
              <w:cs w:val="0"/>
            </w:rPr>
          </w:pPr>
          <w:hyperlink w:anchor="_Toc494374401" w:history="1">
            <w:r w:rsidR="00E44A57">
              <w:rPr>
                <w:rStyle w:val="Hyperlink"/>
                <w:rFonts w:ascii="Calibri Light" w:eastAsia="PMingLiU" w:hAnsi="Calibri Light" w:cs="David" w:hint="default"/>
                <w:noProof/>
                <w:cs w:val="0"/>
              </w:rPr>
              <w:t>ג2. פס"ד איבי – נפגעי הגזזת</w:t>
            </w:r>
            <w:r w:rsidR="00D71681">
              <w:rPr>
                <w:noProof/>
                <w:webHidden/>
                <w:rtl w:val="0"/>
                <w:cs w:val="0"/>
              </w:rPr>
              <w:tab/>
            </w:r>
            <w:r w:rsidR="00E44A57">
              <w:rPr>
                <w:rFonts w:hint="cs"/>
                <w:noProof/>
                <w:webHidden/>
                <w:cs w:val="0"/>
              </w:rPr>
              <w:t>17-18</w:t>
            </w:r>
          </w:hyperlink>
        </w:p>
        <w:p w:rsidR="007330AD" w:rsidRDefault="00BE211D" w:rsidP="00E44A57">
          <w:pPr>
            <w:pStyle w:val="TOC2"/>
            <w:tabs>
              <w:tab w:val="right" w:leader="dot" w:pos="8296"/>
            </w:tabs>
            <w:rPr>
              <w:rFonts w:cstheme="minorBidi"/>
              <w:noProof/>
              <w:cs w:val="0"/>
            </w:rPr>
          </w:pPr>
          <w:hyperlink w:anchor="_Toc494374402" w:history="1">
            <w:r w:rsidR="00E44A57">
              <w:rPr>
                <w:rStyle w:val="Hyperlink"/>
                <w:rFonts w:ascii="Calibri Light" w:eastAsia="PMingLiU" w:hAnsi="Calibri Light" w:cs="David" w:hint="default"/>
                <w:noProof/>
                <w:cs w:val="0"/>
              </w:rPr>
              <w:t>ג3. התנהלות המדינה לגביי אופן היידוע של ההורים</w:t>
            </w:r>
            <w:r w:rsidR="00D71681">
              <w:rPr>
                <w:noProof/>
                <w:webHidden/>
                <w:rtl w:val="0"/>
                <w:cs w:val="0"/>
              </w:rPr>
              <w:tab/>
            </w:r>
            <w:r w:rsidR="00E44A57">
              <w:rPr>
                <w:rFonts w:hint="cs"/>
                <w:noProof/>
                <w:webHidden/>
                <w:cs w:val="0"/>
              </w:rPr>
              <w:t>18</w:t>
            </w:r>
          </w:hyperlink>
        </w:p>
        <w:p w:rsidR="007330AD" w:rsidRDefault="00BE211D" w:rsidP="00E44A57">
          <w:pPr>
            <w:pStyle w:val="TOC2"/>
            <w:tabs>
              <w:tab w:val="right" w:leader="dot" w:pos="8296"/>
            </w:tabs>
            <w:rPr>
              <w:rFonts w:cstheme="minorBidi"/>
              <w:noProof/>
              <w:cs w:val="0"/>
            </w:rPr>
          </w:pPr>
          <w:r>
            <w:rPr>
              <w:rFonts w:hint="cs"/>
              <w:noProof/>
              <w:cs w:val="0"/>
            </w:rPr>
            <w:t xml:space="preserve">   </w:t>
          </w:r>
          <w:r w:rsidRPr="00E44A57">
            <w:rPr>
              <w:rFonts w:ascii="David" w:hAnsi="David" w:cs="David"/>
              <w:noProof/>
              <w:cs w:val="0"/>
            </w:rPr>
            <w:t xml:space="preserve">  ג1.3</w:t>
          </w:r>
          <w:hyperlink w:anchor="_Toc494374403" w:history="1">
            <w:r>
              <w:rPr>
                <w:rStyle w:val="Hyperlink"/>
                <w:rFonts w:ascii="Calibri Light" w:eastAsia="PMingLiU" w:hAnsi="Calibri Light" w:cs="David" w:hint="default"/>
                <w:noProof/>
                <w:cs w:val="0"/>
              </w:rPr>
              <w:t>עוולת הרשלנות בניקין</w:t>
            </w:r>
            <w:r>
              <w:rPr>
                <w:noProof/>
                <w:webHidden/>
                <w:rtl w:val="0"/>
                <w:cs w:val="0"/>
              </w:rPr>
              <w:tab/>
            </w:r>
            <w:r>
              <w:rPr>
                <w:rFonts w:hint="cs"/>
                <w:noProof/>
                <w:webHidden/>
                <w:cs w:val="0"/>
              </w:rPr>
              <w:t>19-23</w:t>
            </w:r>
          </w:hyperlink>
        </w:p>
        <w:p w:rsidR="00E44A57" w:rsidRPr="00E44A57" w:rsidRDefault="00BE211D" w:rsidP="00E44A57">
          <w:pPr>
            <w:pStyle w:val="TOC2"/>
            <w:tabs>
              <w:tab w:val="right" w:leader="dot" w:pos="8296"/>
            </w:tabs>
            <w:rPr>
              <w:rFonts w:cstheme="minorBidi"/>
              <w:noProof/>
              <w:cs w:val="0"/>
            </w:rPr>
          </w:pPr>
          <w:hyperlink w:anchor="_Toc494374398" w:history="1">
            <w:r w:rsidR="00D71681">
              <w:rPr>
                <w:rStyle w:val="Hyperlink"/>
                <w:rFonts w:ascii="Calibri Light" w:eastAsia="PMingLiU" w:hAnsi="Calibri Light" w:cs="David" w:hint="default"/>
                <w:noProof/>
                <w:cs w:val="0"/>
              </w:rPr>
              <w:t>ג4. משפט משווה – אחריות המדינה</w:t>
            </w:r>
            <w:r w:rsidR="00D71681">
              <w:rPr>
                <w:noProof/>
                <w:webHidden/>
                <w:rtl w:val="0"/>
                <w:cs w:val="0"/>
              </w:rPr>
              <w:tab/>
            </w:r>
            <w:r w:rsidR="00D71681">
              <w:rPr>
                <w:rFonts w:hint="cs"/>
                <w:noProof/>
                <w:webHidden/>
                <w:cs w:val="0"/>
              </w:rPr>
              <w:t>23-26</w:t>
            </w:r>
          </w:hyperlink>
        </w:p>
        <w:p w:rsidR="007330AD" w:rsidRDefault="00BE211D" w:rsidP="008304FC">
          <w:pPr>
            <w:pStyle w:val="TOC1"/>
            <w:tabs>
              <w:tab w:val="right" w:leader="dot" w:pos="8296"/>
            </w:tabs>
            <w:rPr>
              <w:rFonts w:cstheme="minorBidi"/>
              <w:noProof/>
              <w:cs w:val="0"/>
            </w:rPr>
          </w:pPr>
          <w:hyperlink w:anchor="_Toc494374404" w:history="1">
            <w:r w:rsidR="00D71681" w:rsidRPr="00A20076">
              <w:rPr>
                <w:rStyle w:val="Hyperlink"/>
                <w:rFonts w:ascii="David" w:eastAsia="PMingLiU" w:hAnsi="David" w:cs="David" w:hint="default"/>
                <w:noProof/>
                <w:cs w:val="0"/>
              </w:rPr>
              <w:t>פרק רביעי –</w:t>
            </w:r>
            <w:r w:rsidR="00E44A57">
              <w:rPr>
                <w:rStyle w:val="Hyperlink"/>
                <w:rFonts w:ascii="David" w:eastAsia="PMingLiU" w:hAnsi="David" w:cs="David" w:hint="default"/>
                <w:noProof/>
                <w:cs w:val="0"/>
              </w:rPr>
              <w:t>סעד הפיצויים</w:t>
            </w:r>
            <w:r w:rsidR="00D71681">
              <w:rPr>
                <w:noProof/>
                <w:webHidden/>
                <w:rtl w:val="0"/>
                <w:cs w:val="0"/>
              </w:rPr>
              <w:tab/>
            </w:r>
            <w:r w:rsidR="008304FC">
              <w:rPr>
                <w:rFonts w:hint="cs"/>
                <w:noProof/>
                <w:webHidden/>
                <w:cs w:val="0"/>
              </w:rPr>
              <w:t>26</w:t>
            </w:r>
          </w:hyperlink>
        </w:p>
        <w:p w:rsidR="007330AD" w:rsidRDefault="00BE211D" w:rsidP="008304FC">
          <w:pPr>
            <w:pStyle w:val="TOC2"/>
            <w:tabs>
              <w:tab w:val="right" w:leader="dot" w:pos="8296"/>
            </w:tabs>
            <w:rPr>
              <w:rFonts w:cstheme="minorBidi"/>
              <w:noProof/>
              <w:cs w:val="0"/>
            </w:rPr>
          </w:pPr>
          <w:hyperlink w:anchor="_Toc494374405" w:history="1">
            <w:r w:rsidR="00E44A57">
              <w:rPr>
                <w:rStyle w:val="Hyperlink"/>
                <w:rFonts w:ascii="Calibri Light" w:eastAsia="PMingLiU" w:hAnsi="Calibri Light" w:cs="David" w:hint="default"/>
                <w:noProof/>
                <w:cs w:val="0"/>
              </w:rPr>
              <w:t>ד1. פרשת חננשוילי – ראש נזק חדש</w:t>
            </w:r>
            <w:r w:rsidR="00D71681">
              <w:rPr>
                <w:noProof/>
                <w:webHidden/>
                <w:rtl w:val="0"/>
                <w:cs w:val="0"/>
              </w:rPr>
              <w:tab/>
            </w:r>
            <w:r w:rsidR="008304FC">
              <w:rPr>
                <w:noProof/>
                <w:webHidden/>
                <w:rtl w:val="0"/>
                <w:cs w:val="0"/>
              </w:rPr>
              <w:t>26-28</w:t>
            </w:r>
          </w:hyperlink>
        </w:p>
        <w:p w:rsidR="007330AD" w:rsidRDefault="00BE211D" w:rsidP="00E44A57">
          <w:pPr>
            <w:pStyle w:val="TOC2"/>
            <w:tabs>
              <w:tab w:val="right" w:leader="dot" w:pos="8296"/>
            </w:tabs>
            <w:rPr>
              <w:rFonts w:cstheme="minorBidi"/>
              <w:noProof/>
              <w:cs w:val="0"/>
            </w:rPr>
          </w:pPr>
          <w:hyperlink w:anchor="_Toc494374406" w:history="1">
            <w:r w:rsidR="00E44A57">
              <w:rPr>
                <w:rStyle w:val="Hyperlink"/>
                <w:rFonts w:ascii="Calibri Light" w:eastAsia="PMingLiU" w:hAnsi="Calibri Light" w:cs="David" w:hint="default"/>
                <w:noProof/>
                <w:cs w:val="0"/>
              </w:rPr>
              <w:t>ד2. נזק כלכלי טהור</w:t>
            </w:r>
            <w:r w:rsidR="00D71681">
              <w:rPr>
                <w:noProof/>
                <w:webHidden/>
                <w:rtl w:val="0"/>
                <w:cs w:val="0"/>
              </w:rPr>
              <w:tab/>
            </w:r>
            <w:r w:rsidR="00E44A57">
              <w:rPr>
                <w:rFonts w:hint="cs"/>
                <w:noProof/>
                <w:webHidden/>
                <w:cs w:val="0"/>
              </w:rPr>
              <w:t>28-29</w:t>
            </w:r>
          </w:hyperlink>
        </w:p>
        <w:p w:rsidR="007330AD" w:rsidRDefault="00BE211D" w:rsidP="00E44A57">
          <w:pPr>
            <w:pStyle w:val="TOC2"/>
            <w:tabs>
              <w:tab w:val="right" w:leader="dot" w:pos="8296"/>
            </w:tabs>
            <w:rPr>
              <w:rFonts w:cstheme="minorBidi"/>
              <w:noProof/>
              <w:cs w:val="0"/>
            </w:rPr>
          </w:pPr>
          <w:hyperlink w:anchor="_Toc494374407" w:history="1">
            <w:r w:rsidR="00E44A57">
              <w:rPr>
                <w:rStyle w:val="Hyperlink"/>
                <w:rFonts w:ascii="Calibri Light" w:eastAsia="PMingLiU" w:hAnsi="Calibri Light" w:cs="David" w:hint="default"/>
                <w:noProof/>
                <w:cs w:val="0"/>
              </w:rPr>
              <w:t xml:space="preserve">ד3. שיקולי מדיניות בעד צמצום אחריות </w:t>
            </w:r>
            <w:r w:rsidR="00D71681">
              <w:rPr>
                <w:noProof/>
                <w:webHidden/>
                <w:rtl w:val="0"/>
                <w:cs w:val="0"/>
              </w:rPr>
              <w:tab/>
            </w:r>
            <w:r w:rsidR="00E44A57">
              <w:rPr>
                <w:rFonts w:hint="cs"/>
                <w:noProof/>
                <w:webHidden/>
                <w:cs w:val="0"/>
              </w:rPr>
              <w:t>29-30</w:t>
            </w:r>
          </w:hyperlink>
        </w:p>
        <w:p w:rsidR="007330AD" w:rsidRDefault="00BE211D" w:rsidP="008304FC">
          <w:pPr>
            <w:pStyle w:val="TOC1"/>
            <w:tabs>
              <w:tab w:val="right" w:leader="dot" w:pos="8296"/>
            </w:tabs>
            <w:rPr>
              <w:rFonts w:cstheme="minorBidi"/>
              <w:noProof/>
              <w:cs w:val="0"/>
            </w:rPr>
          </w:pPr>
          <w:hyperlink w:anchor="_Toc494374408" w:history="1">
            <w:r w:rsidR="00E44A57">
              <w:rPr>
                <w:rStyle w:val="Hyperlink"/>
                <w:rFonts w:ascii="David" w:eastAsia="PMingLiU" w:hAnsi="David" w:cs="David" w:hint="default"/>
                <w:noProof/>
                <w:cs w:val="0"/>
              </w:rPr>
              <w:t>סיכום ומסקנות</w:t>
            </w:r>
            <w:r w:rsidR="00D71681">
              <w:rPr>
                <w:noProof/>
                <w:webHidden/>
                <w:rtl w:val="0"/>
                <w:cs w:val="0"/>
              </w:rPr>
              <w:tab/>
            </w:r>
          </w:hyperlink>
          <w:r w:rsidR="008304FC">
            <w:rPr>
              <w:rFonts w:hint="cs"/>
              <w:noProof/>
              <w:cs w:val="0"/>
            </w:rPr>
            <w:t>31-32</w:t>
          </w:r>
        </w:p>
        <w:p w:rsidR="007330AD" w:rsidRDefault="00BE211D" w:rsidP="00E44A57">
          <w:pPr>
            <w:pStyle w:val="TOC2"/>
            <w:tabs>
              <w:tab w:val="right" w:leader="dot" w:pos="8296"/>
            </w:tabs>
            <w:rPr>
              <w:rFonts w:cstheme="minorBidi"/>
              <w:noProof/>
              <w:cs w:val="0"/>
            </w:rPr>
          </w:pPr>
          <w:hyperlink w:anchor="_Toc494374409" w:history="1">
            <w:r w:rsidR="00E44A57">
              <w:rPr>
                <w:rStyle w:val="Hyperlink"/>
                <w:rFonts w:ascii="Calibri Light" w:eastAsia="PMingLiU" w:hAnsi="Calibri Light" w:cs="David" w:hint="default"/>
                <w:noProof/>
                <w:cs w:val="0"/>
              </w:rPr>
              <w:t>סוף דבר</w:t>
            </w:r>
            <w:r w:rsidR="00D71681">
              <w:rPr>
                <w:noProof/>
                <w:webHidden/>
                <w:rtl w:val="0"/>
                <w:cs w:val="0"/>
              </w:rPr>
              <w:tab/>
            </w:r>
            <w:r w:rsidR="00E44A57">
              <w:rPr>
                <w:rFonts w:hint="cs"/>
                <w:noProof/>
                <w:webHidden/>
                <w:cs w:val="0"/>
              </w:rPr>
              <w:t>32-33</w:t>
            </w:r>
          </w:hyperlink>
        </w:p>
        <w:p w:rsidR="00067061" w:rsidRDefault="00BE211D" w:rsidP="00067061">
          <w:pPr>
            <w:pStyle w:val="TOC1"/>
            <w:tabs>
              <w:tab w:val="right" w:leader="dot" w:pos="8296"/>
            </w:tabs>
            <w:rPr>
              <w:rFonts w:cstheme="minorBidi"/>
              <w:noProof/>
              <w:cs w:val="0"/>
            </w:rPr>
          </w:pPr>
          <w:hyperlink w:anchor="_Toc494374408" w:history="1">
            <w:r w:rsidR="00D71681">
              <w:rPr>
                <w:rStyle w:val="Hyperlink"/>
                <w:rFonts w:ascii="David" w:eastAsia="PMingLiU" w:hAnsi="David" w:cs="David" w:hint="default"/>
                <w:noProof/>
                <w:cs w:val="0"/>
              </w:rPr>
              <w:t>ביבליוגרפיה</w:t>
            </w:r>
            <w:r w:rsidR="00D71681">
              <w:rPr>
                <w:noProof/>
                <w:webHidden/>
                <w:rtl w:val="0"/>
                <w:cs w:val="0"/>
              </w:rPr>
              <w:tab/>
            </w:r>
            <w:r w:rsidR="00D71681">
              <w:rPr>
                <w:rFonts w:hint="cs"/>
                <w:noProof/>
                <w:webHidden/>
                <w:cs w:val="0"/>
              </w:rPr>
              <w:t>34</w:t>
            </w:r>
          </w:hyperlink>
          <w:r w:rsidR="00D71681">
            <w:rPr>
              <w:rFonts w:hint="cs"/>
              <w:noProof/>
              <w:cs w:val="0"/>
            </w:rPr>
            <w:t>-36</w:t>
          </w:r>
        </w:p>
        <w:p w:rsidR="00067061" w:rsidRPr="00067061" w:rsidRDefault="00067061" w:rsidP="00067061">
          <w:pPr>
            <w:rPr>
              <w:rFonts w:hint="default"/>
              <w:rtl/>
              <w:cs/>
            </w:rPr>
          </w:pPr>
        </w:p>
        <w:p w:rsidR="007330AD" w:rsidRDefault="00BE211D" w:rsidP="007330AD">
          <w:pPr>
            <w:jc w:val="both"/>
            <w:rPr>
              <w:rFonts w:hint="default"/>
              <w:b/>
              <w:bCs/>
              <w:rtl/>
              <w:lang w:val="he-IL"/>
            </w:rPr>
          </w:pPr>
          <w:r w:rsidRPr="00AE2BD1">
            <w:rPr>
              <w:b/>
              <w:bCs/>
              <w:lang w:val="he-IL"/>
            </w:rPr>
            <w:fldChar w:fldCharType="end"/>
          </w:r>
        </w:p>
      </w:sdtContent>
    </w:sdt>
    <w:p w:rsidR="00EC04DB" w:rsidRDefault="00EC04DB" w:rsidP="0043400A">
      <w:pPr>
        <w:rPr>
          <w:rFonts w:ascii="David" w:hAnsi="David" w:cs="David" w:hint="default"/>
          <w:sz w:val="40"/>
          <w:szCs w:val="40"/>
          <w:rtl/>
        </w:rPr>
      </w:pPr>
    </w:p>
    <w:p w:rsidR="0075162B" w:rsidRDefault="0075162B" w:rsidP="0043400A">
      <w:pPr>
        <w:rPr>
          <w:rFonts w:ascii="David" w:hAnsi="David" w:cs="David" w:hint="default"/>
          <w:sz w:val="40"/>
          <w:szCs w:val="40"/>
          <w:rtl/>
        </w:rPr>
      </w:pPr>
    </w:p>
    <w:p w:rsidR="00657E13" w:rsidRPr="007243D2" w:rsidRDefault="00BE211D" w:rsidP="0043400A">
      <w:pPr>
        <w:rPr>
          <w:rFonts w:ascii="David" w:hAnsi="David" w:cs="David" w:hint="default"/>
          <w:b/>
          <w:bCs/>
          <w:sz w:val="24"/>
          <w:szCs w:val="24"/>
          <w:rtl/>
        </w:rPr>
      </w:pPr>
      <w:r w:rsidRPr="007243D2">
        <w:rPr>
          <w:rFonts w:ascii="David" w:hAnsi="David" w:cs="David" w:hint="default"/>
          <w:b/>
          <w:bCs/>
          <w:sz w:val="24"/>
          <w:szCs w:val="24"/>
          <w:rtl/>
        </w:rPr>
        <w:t>מבוא:</w:t>
      </w:r>
    </w:p>
    <w:p w:rsidR="0043400A" w:rsidRPr="00D861CF" w:rsidRDefault="00BE211D" w:rsidP="0011330C">
      <w:pPr>
        <w:spacing w:line="360" w:lineRule="auto"/>
        <w:jc w:val="both"/>
        <w:rPr>
          <w:rFonts w:ascii="David" w:hAnsi="David" w:cs="David" w:hint="default"/>
          <w:i/>
          <w:iCs/>
          <w:sz w:val="24"/>
          <w:szCs w:val="24"/>
          <w:rtl/>
        </w:rPr>
      </w:pPr>
      <w:r w:rsidRPr="00D861CF">
        <w:rPr>
          <w:rFonts w:ascii="David" w:hAnsi="David" w:cs="David" w:hint="default"/>
          <w:i/>
          <w:iCs/>
          <w:sz w:val="24"/>
          <w:szCs w:val="24"/>
          <w:rtl/>
        </w:rPr>
        <w:t xml:space="preserve">"....אינני סבורה שראוי להכיר בקיומה של עילת תביעה לקטין, אם המום שממנו הוא סובל מאפשר לו הנאה מהחיים, ולו גם מוגבלת. למשל, כאשר המום מתבטא בחירשות, בעיוורון, בצליעה או במחלה המאפשרת חיים מהנים חרף קיומה (כגון סכרת נעורים). אכן, כאשר ההורה נועץ ברופא בשאלה </w:t>
      </w:r>
      <w:r w:rsidRPr="00D861CF">
        <w:rPr>
          <w:rFonts w:ascii="David" w:hAnsi="David" w:cs="David" w:hint="default"/>
          <w:i/>
          <w:iCs/>
          <w:sz w:val="24"/>
          <w:szCs w:val="24"/>
          <w:rtl/>
        </w:rPr>
        <w:t xml:space="preserve">אם קיים חשש </w:t>
      </w:r>
      <w:r w:rsidR="00FC79EF" w:rsidRPr="00D861CF">
        <w:rPr>
          <w:rFonts w:ascii="David" w:hAnsi="David" w:cs="David" w:hint="default"/>
          <w:i/>
          <w:iCs/>
          <w:sz w:val="24"/>
          <w:szCs w:val="24"/>
          <w:rtl/>
        </w:rPr>
        <w:t>שייוולד</w:t>
      </w:r>
      <w:r w:rsidRPr="00D861CF">
        <w:rPr>
          <w:rFonts w:ascii="David" w:hAnsi="David" w:cs="David" w:hint="default"/>
          <w:i/>
          <w:iCs/>
          <w:sz w:val="24"/>
          <w:szCs w:val="24"/>
          <w:rtl/>
        </w:rPr>
        <w:t xml:space="preserve"> ילד עם מום פלוני, ועקב רשלנותו של הרופא היועץ מביאים הוריו לעולם בן שלוקה באותו מום, יש לאותו הורה עילת תביעה נגד היועץ. אך האם גם לרך הנולד יש עילת תביעה עצמאית על סמך קיומו של המום? הרי טעותו של היועץ הרשלן היא ש"העניקה" לו חיים. אלמל</w:t>
      </w:r>
      <w:r w:rsidRPr="00D861CF">
        <w:rPr>
          <w:rFonts w:ascii="David" w:hAnsi="David" w:cs="David" w:hint="default"/>
          <w:i/>
          <w:iCs/>
          <w:sz w:val="24"/>
          <w:szCs w:val="24"/>
          <w:rtl/>
        </w:rPr>
        <w:t>א הרשלנות של היועץ היו ההורים (לפי הנחתנו) נמנעים מהבאתו לעולם. לכן, הוא מצדו זכה, עקב אותה רשלנות, במתנת חיים</w:t>
      </w:r>
      <w:r w:rsidR="00DE6497" w:rsidRPr="00D861CF">
        <w:rPr>
          <w:rFonts w:ascii="David" w:hAnsi="David" w:cs="David" w:hint="cs"/>
          <w:i/>
          <w:iCs/>
          <w:sz w:val="24"/>
          <w:szCs w:val="24"/>
          <w:rtl/>
        </w:rPr>
        <w:t>,</w:t>
      </w:r>
      <w:r w:rsidRPr="00D861CF">
        <w:rPr>
          <w:rFonts w:ascii="David" w:hAnsi="David" w:cs="David" w:hint="default"/>
          <w:i/>
          <w:iCs/>
          <w:sz w:val="24"/>
          <w:szCs w:val="24"/>
          <w:rtl/>
        </w:rPr>
        <w:t xml:space="preserve"> וחזקה (הניתנת לסתירה) היא שעדיף</w:t>
      </w:r>
      <w:r w:rsidR="0011330C" w:rsidRPr="00D861CF">
        <w:rPr>
          <w:rFonts w:ascii="David" w:hAnsi="David" w:cs="David" w:hint="default"/>
          <w:i/>
          <w:iCs/>
          <w:sz w:val="24"/>
          <w:szCs w:val="24"/>
          <w:rtl/>
        </w:rPr>
        <w:t xml:space="preserve"> קיום, אפילו עם מום, מאי קיום."</w:t>
      </w:r>
      <w:r>
        <w:rPr>
          <w:rStyle w:val="a7"/>
          <w:rFonts w:ascii="David" w:hAnsi="David" w:hint="default"/>
          <w:i/>
          <w:iCs/>
          <w:sz w:val="24"/>
          <w:szCs w:val="24"/>
          <w:rtl/>
        </w:rPr>
        <w:footnoteReference w:id="1"/>
      </w:r>
    </w:p>
    <w:p w:rsidR="0083642C" w:rsidRDefault="00BE211D" w:rsidP="0083642C">
      <w:pPr>
        <w:spacing w:line="360" w:lineRule="auto"/>
        <w:jc w:val="both"/>
        <w:rPr>
          <w:rFonts w:ascii="David" w:hAnsi="David" w:cs="David" w:hint="default"/>
          <w:sz w:val="24"/>
          <w:szCs w:val="24"/>
          <w:rtl/>
        </w:rPr>
      </w:pPr>
      <w:r>
        <w:rPr>
          <w:rFonts w:ascii="David" w:hAnsi="David" w:cs="David" w:hint="cs"/>
          <w:sz w:val="24"/>
          <w:szCs w:val="24"/>
          <w:rtl/>
        </w:rPr>
        <w:t xml:space="preserve">במסגרת סמינריון זה בחרתי לבחון </w:t>
      </w:r>
      <w:r w:rsidR="00F72D65">
        <w:rPr>
          <w:rFonts w:ascii="David" w:hAnsi="David" w:cs="David" w:hint="cs"/>
          <w:sz w:val="24"/>
          <w:szCs w:val="24"/>
          <w:rtl/>
        </w:rPr>
        <w:t xml:space="preserve">את </w:t>
      </w:r>
      <w:r w:rsidR="004905A8">
        <w:rPr>
          <w:rFonts w:ascii="David" w:hAnsi="David" w:cs="David" w:hint="cs"/>
          <w:sz w:val="24"/>
          <w:szCs w:val="24"/>
          <w:rtl/>
        </w:rPr>
        <w:t>הסוגיה</w:t>
      </w:r>
      <w:r>
        <w:rPr>
          <w:rFonts w:ascii="David" w:hAnsi="David" w:cs="David" w:hint="cs"/>
          <w:sz w:val="24"/>
          <w:szCs w:val="24"/>
          <w:rtl/>
        </w:rPr>
        <w:t xml:space="preserve"> "אחריות המדינה בגין הפרת חובת היידוע באשר להשלכותיו של פס"ד המר". לפיכך, שאלת המחקר שבה אדון בעבודה </w:t>
      </w:r>
      <w:r w:rsidR="002A6221">
        <w:rPr>
          <w:rFonts w:ascii="David" w:hAnsi="David" w:cs="David" w:hint="cs"/>
          <w:sz w:val="24"/>
          <w:szCs w:val="24"/>
          <w:rtl/>
        </w:rPr>
        <w:t xml:space="preserve">זו היא האם יש להטיל אחריות על המדינה בכך שהפרה את חובת היידוע וגרמה לאובדן עילת תביעה של </w:t>
      </w:r>
      <w:r w:rsidR="00415AA0">
        <w:rPr>
          <w:rFonts w:ascii="David" w:hAnsi="David" w:cs="David" w:hint="cs"/>
          <w:sz w:val="24"/>
          <w:szCs w:val="24"/>
          <w:rtl/>
        </w:rPr>
        <w:t>"</w:t>
      </w:r>
      <w:r w:rsidR="002A6221">
        <w:rPr>
          <w:rFonts w:ascii="David" w:hAnsi="David" w:cs="David" w:hint="cs"/>
          <w:sz w:val="24"/>
          <w:szCs w:val="24"/>
          <w:rtl/>
        </w:rPr>
        <w:t>חיים בעוולה</w:t>
      </w:r>
      <w:r w:rsidR="00415AA0">
        <w:rPr>
          <w:rFonts w:ascii="David" w:hAnsi="David" w:cs="David" w:hint="cs"/>
          <w:sz w:val="24"/>
          <w:szCs w:val="24"/>
          <w:rtl/>
        </w:rPr>
        <w:t>"</w:t>
      </w:r>
      <w:r w:rsidR="002A6221">
        <w:rPr>
          <w:rFonts w:ascii="David" w:hAnsi="David" w:cs="David" w:hint="cs"/>
          <w:sz w:val="24"/>
          <w:szCs w:val="24"/>
          <w:rtl/>
        </w:rPr>
        <w:t xml:space="preserve">? </w:t>
      </w:r>
      <w:r>
        <w:rPr>
          <w:rFonts w:ascii="David" w:hAnsi="David" w:cs="David" w:hint="cs"/>
          <w:sz w:val="24"/>
          <w:szCs w:val="24"/>
          <w:rtl/>
        </w:rPr>
        <w:t xml:space="preserve">פרשת המר ליוותה אותי רבות בעניין הסוגיה של </w:t>
      </w:r>
      <w:r w:rsidR="00415AA0">
        <w:rPr>
          <w:rFonts w:ascii="David" w:hAnsi="David" w:cs="David" w:hint="cs"/>
          <w:sz w:val="24"/>
          <w:szCs w:val="24"/>
          <w:rtl/>
        </w:rPr>
        <w:t>"</w:t>
      </w:r>
      <w:r>
        <w:rPr>
          <w:rFonts w:ascii="David" w:hAnsi="David" w:cs="David" w:hint="cs"/>
          <w:sz w:val="24"/>
          <w:szCs w:val="24"/>
          <w:rtl/>
        </w:rPr>
        <w:t xml:space="preserve">חיים </w:t>
      </w:r>
      <w:r w:rsidR="00834DA0">
        <w:rPr>
          <w:rFonts w:ascii="David" w:hAnsi="David" w:cs="David" w:hint="cs"/>
          <w:sz w:val="24"/>
          <w:szCs w:val="24"/>
          <w:rtl/>
        </w:rPr>
        <w:t>בעוולה</w:t>
      </w:r>
      <w:r w:rsidR="00415AA0">
        <w:rPr>
          <w:rFonts w:ascii="David" w:hAnsi="David" w:cs="David" w:hint="cs"/>
          <w:sz w:val="24"/>
          <w:szCs w:val="24"/>
          <w:rtl/>
        </w:rPr>
        <w:t>"</w:t>
      </w:r>
      <w:r w:rsidR="00834DA0">
        <w:rPr>
          <w:rFonts w:ascii="David" w:hAnsi="David" w:cs="David" w:hint="cs"/>
          <w:sz w:val="24"/>
          <w:szCs w:val="24"/>
          <w:rtl/>
        </w:rPr>
        <w:t xml:space="preserve">, האם ניתן להגדיר חיים של עולל שזה עתה מתחיל להבין את משמעות המילה </w:t>
      </w:r>
      <w:r w:rsidR="002E60DD">
        <w:rPr>
          <w:rFonts w:ascii="David" w:hAnsi="David" w:cs="David" w:hint="cs"/>
          <w:sz w:val="24"/>
          <w:szCs w:val="24"/>
          <w:rtl/>
        </w:rPr>
        <w:t>"</w:t>
      </w:r>
      <w:r w:rsidR="00834DA0">
        <w:rPr>
          <w:rFonts w:ascii="David" w:hAnsi="David" w:cs="David" w:hint="cs"/>
          <w:sz w:val="24"/>
          <w:szCs w:val="24"/>
          <w:rtl/>
        </w:rPr>
        <w:t>חיים</w:t>
      </w:r>
      <w:r w:rsidR="002E60DD">
        <w:rPr>
          <w:rFonts w:ascii="David" w:hAnsi="David" w:cs="David" w:hint="cs"/>
          <w:sz w:val="24"/>
          <w:szCs w:val="24"/>
          <w:rtl/>
        </w:rPr>
        <w:t>"</w:t>
      </w:r>
      <w:r w:rsidR="00834DA0">
        <w:rPr>
          <w:rFonts w:ascii="David" w:hAnsi="David" w:cs="David" w:hint="cs"/>
          <w:sz w:val="24"/>
          <w:szCs w:val="24"/>
          <w:rtl/>
        </w:rPr>
        <w:t xml:space="preserve"> כנזק? האם </w:t>
      </w:r>
      <w:r w:rsidR="00637063">
        <w:rPr>
          <w:rFonts w:ascii="David" w:hAnsi="David" w:cs="David" w:hint="cs"/>
          <w:sz w:val="24"/>
          <w:szCs w:val="24"/>
          <w:rtl/>
        </w:rPr>
        <w:t xml:space="preserve">במצב של </w:t>
      </w:r>
      <w:r w:rsidR="00834DA0">
        <w:rPr>
          <w:rFonts w:ascii="David" w:hAnsi="David" w:cs="David" w:hint="cs"/>
          <w:sz w:val="24"/>
          <w:szCs w:val="24"/>
          <w:rtl/>
        </w:rPr>
        <w:t xml:space="preserve">חיים עם מומים כה חמורים מוטב היה לאדם שלא היה נברא משנברא? </w:t>
      </w:r>
      <w:r w:rsidR="0080006A">
        <w:rPr>
          <w:rFonts w:ascii="David" w:hAnsi="David" w:cs="David" w:hint="cs"/>
          <w:sz w:val="24"/>
          <w:szCs w:val="24"/>
          <w:rtl/>
        </w:rPr>
        <w:t xml:space="preserve">האם אנחנו בכלל יכולים להכריע בשאלה כל כך קשה, פילוסופית ומוסרית </w:t>
      </w:r>
      <w:r w:rsidR="00637063">
        <w:rPr>
          <w:rFonts w:ascii="David" w:hAnsi="David" w:cs="David" w:hint="cs"/>
          <w:sz w:val="24"/>
          <w:szCs w:val="24"/>
          <w:rtl/>
        </w:rPr>
        <w:t>ממין</w:t>
      </w:r>
      <w:r w:rsidR="0080006A">
        <w:rPr>
          <w:rFonts w:ascii="David" w:hAnsi="David" w:cs="David" w:hint="cs"/>
          <w:sz w:val="24"/>
          <w:szCs w:val="24"/>
          <w:rtl/>
        </w:rPr>
        <w:t xml:space="preserve"> </w:t>
      </w:r>
      <w:r w:rsidR="00637063">
        <w:rPr>
          <w:rFonts w:ascii="David" w:hAnsi="David" w:cs="David" w:hint="cs"/>
          <w:sz w:val="24"/>
          <w:szCs w:val="24"/>
          <w:rtl/>
        </w:rPr>
        <w:t>זה</w:t>
      </w:r>
      <w:r w:rsidR="0080006A">
        <w:rPr>
          <w:rFonts w:ascii="David" w:hAnsi="David" w:cs="David" w:hint="cs"/>
          <w:sz w:val="24"/>
          <w:szCs w:val="24"/>
          <w:rtl/>
        </w:rPr>
        <w:t>? האם השופטים בכלל יכולים לענות</w:t>
      </w:r>
      <w:r w:rsidR="00637063">
        <w:rPr>
          <w:rFonts w:ascii="David" w:hAnsi="David" w:cs="David" w:hint="cs"/>
          <w:sz w:val="24"/>
          <w:szCs w:val="24"/>
          <w:rtl/>
        </w:rPr>
        <w:t xml:space="preserve"> על</w:t>
      </w:r>
      <w:r w:rsidR="0080006A">
        <w:rPr>
          <w:rFonts w:ascii="David" w:hAnsi="David" w:cs="David" w:hint="cs"/>
          <w:sz w:val="24"/>
          <w:szCs w:val="24"/>
          <w:rtl/>
        </w:rPr>
        <w:t xml:space="preserve">יה? הרי זאת שאלה </w:t>
      </w:r>
      <w:r w:rsidR="00A222A7">
        <w:rPr>
          <w:rFonts w:ascii="David" w:hAnsi="David" w:cs="David" w:hint="cs"/>
          <w:sz w:val="24"/>
          <w:szCs w:val="24"/>
          <w:rtl/>
        </w:rPr>
        <w:t>אינדיבידואלי</w:t>
      </w:r>
      <w:r w:rsidR="00A222A7">
        <w:rPr>
          <w:rFonts w:ascii="David" w:hAnsi="David" w:cs="David"/>
          <w:sz w:val="24"/>
          <w:szCs w:val="24"/>
          <w:rtl/>
        </w:rPr>
        <w:t>ת</w:t>
      </w:r>
      <w:r w:rsidR="0080006A">
        <w:rPr>
          <w:rFonts w:ascii="David" w:hAnsi="David" w:cs="David" w:hint="cs"/>
          <w:sz w:val="24"/>
          <w:szCs w:val="24"/>
          <w:rtl/>
        </w:rPr>
        <w:t xml:space="preserve"> שכל אדם חווה אותה בדרך כזו או אחרת. </w:t>
      </w:r>
      <w:r>
        <w:rPr>
          <w:rFonts w:ascii="David" w:hAnsi="David" w:cs="David" w:hint="cs"/>
          <w:sz w:val="24"/>
          <w:szCs w:val="24"/>
          <w:rtl/>
        </w:rPr>
        <w:t>בשיחתי עם אחת העו"ד</w:t>
      </w:r>
      <w:r w:rsidR="00AB2DFD">
        <w:rPr>
          <w:rFonts w:ascii="David" w:hAnsi="David" w:cs="David" w:hint="cs"/>
          <w:sz w:val="24"/>
          <w:szCs w:val="24"/>
          <w:rtl/>
        </w:rPr>
        <w:t xml:space="preserve"> ב</w:t>
      </w:r>
      <w:r w:rsidR="00637063">
        <w:rPr>
          <w:rFonts w:ascii="David" w:hAnsi="David" w:cs="David" w:hint="cs"/>
          <w:sz w:val="24"/>
          <w:szCs w:val="24"/>
          <w:rtl/>
        </w:rPr>
        <w:t xml:space="preserve">משרד </w:t>
      </w:r>
      <w:r w:rsidR="00AB2DFD">
        <w:rPr>
          <w:rFonts w:ascii="David" w:hAnsi="David" w:cs="David" w:hint="cs"/>
          <w:sz w:val="24"/>
          <w:szCs w:val="24"/>
          <w:rtl/>
        </w:rPr>
        <w:t>מבקר המדינה על המום שנגרם לה כתוצאה מטיפול רשלני בהיותה פגה וגרם לה לאבד את מאור עיניה</w:t>
      </w:r>
      <w:r w:rsidR="00637063">
        <w:rPr>
          <w:rFonts w:ascii="David" w:hAnsi="David" w:cs="David" w:hint="cs"/>
          <w:sz w:val="24"/>
          <w:szCs w:val="24"/>
          <w:rtl/>
        </w:rPr>
        <w:t>,</w:t>
      </w:r>
      <w:r w:rsidR="00AB2DFD">
        <w:rPr>
          <w:rFonts w:ascii="David" w:hAnsi="David" w:cs="David" w:hint="cs"/>
          <w:sz w:val="24"/>
          <w:szCs w:val="24"/>
          <w:rtl/>
        </w:rPr>
        <w:t xml:space="preserve"> </w:t>
      </w:r>
      <w:r w:rsidR="00A222A7">
        <w:rPr>
          <w:rFonts w:ascii="David" w:hAnsi="David" w:cs="David" w:hint="cs"/>
          <w:sz w:val="24"/>
          <w:szCs w:val="24"/>
          <w:rtl/>
        </w:rPr>
        <w:t>על החיים לצד העיוורון, היא השיבה לי כי טוב לה בחיים הללו, טוב לה עם מוג</w:t>
      </w:r>
      <w:r w:rsidR="00546E43">
        <w:rPr>
          <w:rFonts w:ascii="David" w:hAnsi="David" w:cs="David" w:hint="cs"/>
          <w:sz w:val="24"/>
          <w:szCs w:val="24"/>
          <w:rtl/>
        </w:rPr>
        <w:t xml:space="preserve">בלותה והיא חייה חיים עצמאיים </w:t>
      </w:r>
      <w:r w:rsidR="00637063">
        <w:rPr>
          <w:rFonts w:ascii="David" w:hAnsi="David" w:cs="David" w:hint="cs"/>
          <w:sz w:val="24"/>
          <w:szCs w:val="24"/>
          <w:rtl/>
        </w:rPr>
        <w:t>ו</w:t>
      </w:r>
      <w:r w:rsidR="00546E43">
        <w:rPr>
          <w:rFonts w:ascii="David" w:hAnsi="David" w:cs="David" w:hint="cs"/>
          <w:sz w:val="24"/>
          <w:szCs w:val="24"/>
          <w:rtl/>
        </w:rPr>
        <w:t xml:space="preserve">הישגיים אם זה </w:t>
      </w:r>
      <w:r w:rsidR="00637063">
        <w:rPr>
          <w:rFonts w:ascii="David" w:hAnsi="David" w:cs="David" w:hint="cs"/>
          <w:sz w:val="24"/>
          <w:szCs w:val="24"/>
          <w:rtl/>
        </w:rPr>
        <w:t>בפן האקדמאי</w:t>
      </w:r>
      <w:r w:rsidR="00546E43">
        <w:rPr>
          <w:rFonts w:ascii="David" w:hAnsi="David" w:cs="David" w:hint="cs"/>
          <w:sz w:val="24"/>
          <w:szCs w:val="24"/>
          <w:rtl/>
        </w:rPr>
        <w:t xml:space="preserve"> </w:t>
      </w:r>
      <w:r w:rsidR="00637063">
        <w:rPr>
          <w:rFonts w:ascii="David" w:hAnsi="David" w:cs="David" w:hint="cs"/>
          <w:sz w:val="24"/>
          <w:szCs w:val="24"/>
          <w:rtl/>
        </w:rPr>
        <w:t>ואם בפן</w:t>
      </w:r>
      <w:r w:rsidR="00546E43">
        <w:rPr>
          <w:rFonts w:ascii="David" w:hAnsi="David" w:cs="David" w:hint="cs"/>
          <w:sz w:val="24"/>
          <w:szCs w:val="24"/>
          <w:rtl/>
        </w:rPr>
        <w:t xml:space="preserve"> </w:t>
      </w:r>
      <w:r w:rsidR="00637063">
        <w:rPr>
          <w:rFonts w:ascii="David" w:hAnsi="David" w:cs="David" w:hint="cs"/>
          <w:sz w:val="24"/>
          <w:szCs w:val="24"/>
          <w:rtl/>
        </w:rPr>
        <w:t>האישי</w:t>
      </w:r>
      <w:r w:rsidR="00546E43">
        <w:rPr>
          <w:rFonts w:ascii="David" w:hAnsi="David" w:cs="David" w:hint="cs"/>
          <w:sz w:val="24"/>
          <w:szCs w:val="24"/>
          <w:rtl/>
        </w:rPr>
        <w:t xml:space="preserve"> </w:t>
      </w:r>
      <w:r w:rsidR="00637063">
        <w:rPr>
          <w:rFonts w:ascii="David" w:hAnsi="David" w:cs="David" w:hint="cs"/>
          <w:sz w:val="24"/>
          <w:szCs w:val="24"/>
          <w:rtl/>
        </w:rPr>
        <w:t>והנאתה</w:t>
      </w:r>
      <w:r w:rsidR="00A222A7">
        <w:rPr>
          <w:rFonts w:ascii="David" w:hAnsi="David" w:cs="David" w:hint="cs"/>
          <w:sz w:val="24"/>
          <w:szCs w:val="24"/>
          <w:rtl/>
        </w:rPr>
        <w:t xml:space="preserve"> גדולה. </w:t>
      </w:r>
      <w:r>
        <w:rPr>
          <w:rFonts w:ascii="David" w:hAnsi="David" w:cs="David" w:hint="cs"/>
          <w:sz w:val="24"/>
          <w:szCs w:val="24"/>
          <w:rtl/>
        </w:rPr>
        <w:t>בעוד היא ממהרת להשיב שלא כל אחד ישיב כך</w:t>
      </w:r>
      <w:r w:rsidR="00440860">
        <w:rPr>
          <w:rFonts w:ascii="David" w:hAnsi="David" w:cs="David" w:hint="cs"/>
          <w:sz w:val="24"/>
          <w:szCs w:val="24"/>
          <w:rtl/>
        </w:rPr>
        <w:t xml:space="preserve">. </w:t>
      </w:r>
      <w:r w:rsidR="00447423">
        <w:rPr>
          <w:rFonts w:ascii="David" w:hAnsi="David" w:cs="David" w:hint="cs"/>
          <w:sz w:val="24"/>
          <w:szCs w:val="24"/>
          <w:rtl/>
        </w:rPr>
        <w:t xml:space="preserve">דבר זה </w:t>
      </w:r>
      <w:r w:rsidR="00102EA5">
        <w:rPr>
          <w:rFonts w:ascii="David" w:hAnsi="David" w:cs="David" w:hint="cs"/>
          <w:sz w:val="24"/>
          <w:szCs w:val="24"/>
          <w:rtl/>
        </w:rPr>
        <w:t xml:space="preserve">הביא אותי לכתיבת סמינריון זה. </w:t>
      </w:r>
    </w:p>
    <w:p w:rsidR="00297FD5" w:rsidRDefault="00BE211D" w:rsidP="0083642C">
      <w:pPr>
        <w:pStyle w:val="a3"/>
        <w:spacing w:line="360" w:lineRule="auto"/>
        <w:jc w:val="both"/>
        <w:rPr>
          <w:rFonts w:ascii="David" w:hAnsi="David" w:cs="David" w:hint="default"/>
          <w:sz w:val="24"/>
          <w:szCs w:val="24"/>
          <w:rtl/>
        </w:rPr>
      </w:pPr>
      <w:r>
        <w:rPr>
          <w:rFonts w:ascii="David" w:hAnsi="David" w:cs="David" w:hint="cs"/>
          <w:sz w:val="24"/>
          <w:szCs w:val="24"/>
          <w:rtl/>
        </w:rPr>
        <w:t>א</w:t>
      </w:r>
      <w:r w:rsidR="00447423">
        <w:rPr>
          <w:rFonts w:ascii="David" w:hAnsi="David" w:cs="David" w:hint="cs"/>
          <w:sz w:val="24"/>
          <w:szCs w:val="24"/>
          <w:rtl/>
        </w:rPr>
        <w:t>מנם השאלות שציינתי מעלה לא היוו חלק ניכר בעבו</w:t>
      </w:r>
      <w:r>
        <w:rPr>
          <w:rFonts w:ascii="David" w:hAnsi="David" w:cs="David" w:hint="cs"/>
          <w:sz w:val="24"/>
          <w:szCs w:val="24"/>
          <w:rtl/>
        </w:rPr>
        <w:t>דה זו משום שיש ספרות רחבה בנושא,</w:t>
      </w:r>
      <w:r w:rsidR="00447423">
        <w:rPr>
          <w:rFonts w:ascii="David" w:hAnsi="David" w:cs="David" w:hint="cs"/>
          <w:sz w:val="24"/>
          <w:szCs w:val="24"/>
          <w:rtl/>
        </w:rPr>
        <w:t xml:space="preserve"> אך השאלה המשפטית אותה טרם סק</w:t>
      </w:r>
      <w:r>
        <w:rPr>
          <w:rFonts w:ascii="David" w:hAnsi="David" w:cs="David" w:hint="cs"/>
          <w:sz w:val="24"/>
          <w:szCs w:val="24"/>
          <w:rtl/>
        </w:rPr>
        <w:t>רו היא האם ניתן לפצות את ההורים</w:t>
      </w:r>
      <w:r w:rsidR="00447423">
        <w:rPr>
          <w:rFonts w:ascii="David" w:hAnsi="David" w:cs="David" w:hint="cs"/>
          <w:sz w:val="24"/>
          <w:szCs w:val="24"/>
          <w:rtl/>
        </w:rPr>
        <w:t xml:space="preserve"> ובעצם, על מה ניתן לפצות אותם?</w:t>
      </w:r>
      <w:r w:rsidR="0083642C">
        <w:rPr>
          <w:rFonts w:ascii="David" w:hAnsi="David" w:cs="David" w:hint="cs"/>
          <w:sz w:val="24"/>
          <w:szCs w:val="24"/>
          <w:rtl/>
        </w:rPr>
        <w:t xml:space="preserve"> </w:t>
      </w:r>
      <w:r w:rsidR="0083642C" w:rsidRPr="0083642C">
        <w:rPr>
          <w:rFonts w:ascii="David" w:hAnsi="David" w:cs="David" w:hint="cs"/>
          <w:sz w:val="24"/>
          <w:szCs w:val="24"/>
          <w:rtl/>
        </w:rPr>
        <w:t xml:space="preserve">במצב של לידה בעוולה היו שתי עילות תביעה, של ההורה ושל הילד. להורה היו </w:t>
      </w:r>
      <w:r w:rsidR="0083642C">
        <w:rPr>
          <w:rFonts w:ascii="David" w:hAnsi="David" w:cs="David" w:hint="cs"/>
          <w:sz w:val="24"/>
          <w:szCs w:val="24"/>
          <w:rtl/>
        </w:rPr>
        <w:t>שבע</w:t>
      </w:r>
      <w:r w:rsidR="0083642C" w:rsidRPr="0083642C">
        <w:rPr>
          <w:rFonts w:ascii="David" w:hAnsi="David" w:cs="David" w:hint="cs"/>
          <w:sz w:val="24"/>
          <w:szCs w:val="24"/>
          <w:rtl/>
        </w:rPr>
        <w:t xml:space="preserve"> שנים לתבוע ואילו לילד היו 25 שנים. מצב זה השתנה לאחר פס"ד המר וכעת יש עילת תביעה אחת בלבד, של ההורים ורק ל-7 שנים, מצב שיוצר בעייתיות רבה והשאלה שתיבחן לאורך כל העבודה היא האם על המדינה היה ליידע את התובעים הפוטנציאלים על השינוי שנוצר בעקבות פס"ד המר ובמידה ולא עשתה כן, האם ניתן לדרוש ממנה לפצות את ההורים</w:t>
      </w:r>
      <w:r w:rsidR="0083642C">
        <w:rPr>
          <w:rFonts w:ascii="David" w:hAnsi="David" w:cs="David" w:hint="cs"/>
          <w:sz w:val="24"/>
          <w:szCs w:val="24"/>
          <w:rtl/>
        </w:rPr>
        <w:t xml:space="preserve">. </w:t>
      </w:r>
      <w:r w:rsidR="0033784A">
        <w:rPr>
          <w:rFonts w:ascii="David" w:hAnsi="David" w:cs="David" w:hint="cs"/>
          <w:sz w:val="24"/>
          <w:szCs w:val="24"/>
          <w:rtl/>
        </w:rPr>
        <w:t xml:space="preserve">לא רק זאת, בעבודה זו אראה כי חוק ההתיישנות והוראות המעבר שניתנו בפס"ד המר היוו כשל רב בפסיקות עתידיות בכך שלא יצרו הלכה אחת ברורה לעניין </w:t>
      </w:r>
      <w:r>
        <w:rPr>
          <w:rFonts w:ascii="David" w:hAnsi="David" w:cs="David" w:hint="cs"/>
          <w:sz w:val="24"/>
          <w:szCs w:val="24"/>
          <w:rtl/>
        </w:rPr>
        <w:t>משך ה</w:t>
      </w:r>
      <w:r w:rsidR="0033784A">
        <w:rPr>
          <w:rFonts w:ascii="David" w:hAnsi="David" w:cs="David" w:hint="cs"/>
          <w:sz w:val="24"/>
          <w:szCs w:val="24"/>
          <w:rtl/>
        </w:rPr>
        <w:t xml:space="preserve">זמן שניתן יהא לתבוע. </w:t>
      </w:r>
    </w:p>
    <w:p w:rsidR="00297FD5" w:rsidRDefault="00BE211D" w:rsidP="0083642C">
      <w:pPr>
        <w:spacing w:after="0" w:line="360" w:lineRule="auto"/>
        <w:jc w:val="both"/>
        <w:rPr>
          <w:rFonts w:ascii="David" w:eastAsia="Calibri" w:hAnsi="David" w:cs="David" w:hint="default"/>
          <w:sz w:val="24"/>
          <w:szCs w:val="24"/>
          <w:rtl/>
          <w:lang w:val="en-GB"/>
        </w:rPr>
      </w:pPr>
      <w:r w:rsidRPr="00930B93">
        <w:rPr>
          <w:rFonts w:ascii="David" w:eastAsia="Calibri" w:hAnsi="David" w:cs="David"/>
          <w:sz w:val="24"/>
          <w:szCs w:val="24"/>
          <w:rtl/>
          <w:lang w:val="en-GB"/>
        </w:rPr>
        <w:t>העבודה הינה עבודה תיאורטית הבוחנת בעין ב</w:t>
      </w:r>
      <w:r>
        <w:rPr>
          <w:rFonts w:ascii="David" w:eastAsia="Calibri" w:hAnsi="David" w:cs="David"/>
          <w:sz w:val="24"/>
          <w:szCs w:val="24"/>
          <w:rtl/>
          <w:lang w:val="en-GB"/>
        </w:rPr>
        <w:t>יקורתית את המצב הסטטוטורי הקיים</w:t>
      </w:r>
      <w:r>
        <w:rPr>
          <w:rFonts w:ascii="David" w:eastAsia="Calibri" w:hAnsi="David" w:cs="David" w:hint="cs"/>
          <w:sz w:val="24"/>
          <w:szCs w:val="24"/>
          <w:rtl/>
          <w:lang w:val="en-GB"/>
        </w:rPr>
        <w:t>, את</w:t>
      </w:r>
      <w:r w:rsidR="00102EA5">
        <w:rPr>
          <w:rFonts w:ascii="David" w:eastAsia="Calibri" w:hAnsi="David" w:cs="David" w:hint="cs"/>
          <w:sz w:val="24"/>
          <w:szCs w:val="24"/>
          <w:rtl/>
          <w:lang w:val="en-GB"/>
        </w:rPr>
        <w:t xml:space="preserve"> הסעד </w:t>
      </w:r>
      <w:r w:rsidR="0083642C">
        <w:rPr>
          <w:rFonts w:ascii="David" w:eastAsia="Calibri" w:hAnsi="David" w:cs="David" w:hint="cs"/>
          <w:sz w:val="24"/>
          <w:szCs w:val="24"/>
          <w:rtl/>
          <w:lang w:val="en-GB"/>
        </w:rPr>
        <w:t>שעלולות</w:t>
      </w:r>
      <w:r w:rsidR="00102EA5">
        <w:rPr>
          <w:rFonts w:ascii="David" w:eastAsia="Calibri" w:hAnsi="David" w:cs="David" w:hint="cs"/>
          <w:sz w:val="24"/>
          <w:szCs w:val="24"/>
          <w:rtl/>
          <w:lang w:val="en-GB"/>
        </w:rPr>
        <w:t xml:space="preserve"> המשפחות לאבד ואת </w:t>
      </w:r>
      <w:r>
        <w:rPr>
          <w:rFonts w:ascii="David" w:eastAsia="Calibri" w:hAnsi="David" w:cs="David" w:hint="cs"/>
          <w:sz w:val="24"/>
          <w:szCs w:val="24"/>
          <w:rtl/>
          <w:lang w:val="en-GB"/>
        </w:rPr>
        <w:t xml:space="preserve">אי </w:t>
      </w:r>
      <w:r w:rsidR="00102EA5">
        <w:rPr>
          <w:rFonts w:ascii="David" w:eastAsia="Calibri" w:hAnsi="David" w:cs="David" w:hint="cs"/>
          <w:sz w:val="24"/>
          <w:szCs w:val="24"/>
          <w:rtl/>
          <w:lang w:val="en-GB"/>
        </w:rPr>
        <w:t>ה</w:t>
      </w:r>
      <w:r>
        <w:rPr>
          <w:rFonts w:ascii="David" w:eastAsia="Calibri" w:hAnsi="David" w:cs="David" w:hint="cs"/>
          <w:sz w:val="24"/>
          <w:szCs w:val="24"/>
          <w:rtl/>
          <w:lang w:val="en-GB"/>
        </w:rPr>
        <w:t xml:space="preserve">צדק המוחשי. במסגרת העבודה שזרתי </w:t>
      </w:r>
      <w:r w:rsidR="00102EA5">
        <w:rPr>
          <w:rFonts w:ascii="David" w:eastAsia="Calibri" w:hAnsi="David" w:cs="David" w:hint="cs"/>
          <w:sz w:val="24"/>
          <w:szCs w:val="24"/>
          <w:rtl/>
          <w:lang w:val="en-GB"/>
        </w:rPr>
        <w:t>פסיקה</w:t>
      </w:r>
      <w:r w:rsidR="0083642C">
        <w:rPr>
          <w:rFonts w:ascii="David" w:eastAsia="Calibri" w:hAnsi="David" w:cs="David" w:hint="cs"/>
          <w:sz w:val="24"/>
          <w:szCs w:val="24"/>
          <w:rtl/>
          <w:lang w:val="en-GB"/>
        </w:rPr>
        <w:t xml:space="preserve"> וספרות וכן משפט משווה </w:t>
      </w:r>
      <w:r>
        <w:rPr>
          <w:rFonts w:ascii="David" w:eastAsia="Calibri" w:hAnsi="David" w:cs="David" w:hint="cs"/>
          <w:sz w:val="24"/>
          <w:szCs w:val="24"/>
          <w:rtl/>
          <w:lang w:val="en-GB"/>
        </w:rPr>
        <w:t xml:space="preserve">אנגליה. </w:t>
      </w:r>
    </w:p>
    <w:p w:rsidR="00AD32EC" w:rsidRDefault="00AD32EC" w:rsidP="00297FD5">
      <w:pPr>
        <w:spacing w:after="0" w:line="360" w:lineRule="auto"/>
        <w:jc w:val="both"/>
        <w:rPr>
          <w:rFonts w:ascii="David" w:eastAsia="Calibri" w:hAnsi="David" w:cs="David" w:hint="default"/>
          <w:sz w:val="24"/>
          <w:szCs w:val="24"/>
          <w:rtl/>
          <w:lang w:val="en-GB"/>
        </w:rPr>
      </w:pPr>
    </w:p>
    <w:p w:rsidR="00AD32EC" w:rsidRDefault="00BE211D" w:rsidP="008573D8">
      <w:pPr>
        <w:spacing w:after="0" w:line="360" w:lineRule="auto"/>
        <w:jc w:val="both"/>
        <w:rPr>
          <w:rFonts w:ascii="David" w:eastAsia="Calibri" w:hAnsi="David" w:cs="David" w:hint="default"/>
          <w:sz w:val="24"/>
          <w:szCs w:val="24"/>
          <w:rtl/>
          <w:lang w:val="en-GB"/>
        </w:rPr>
      </w:pPr>
      <w:r w:rsidRPr="00930B93">
        <w:rPr>
          <w:rFonts w:ascii="David" w:eastAsia="Calibri" w:hAnsi="David" w:cs="David"/>
          <w:b/>
          <w:bCs/>
          <w:sz w:val="24"/>
          <w:szCs w:val="24"/>
          <w:rtl/>
          <w:lang w:val="en-GB"/>
        </w:rPr>
        <w:lastRenderedPageBreak/>
        <w:t>הפרק הראשון</w:t>
      </w:r>
      <w:r w:rsidRPr="00930B93">
        <w:rPr>
          <w:rFonts w:ascii="David" w:eastAsia="Calibri" w:hAnsi="David" w:cs="David"/>
          <w:sz w:val="24"/>
          <w:szCs w:val="24"/>
          <w:rtl/>
          <w:lang w:val="en-GB"/>
        </w:rPr>
        <w:t xml:space="preserve"> בעבודה זו </w:t>
      </w:r>
      <w:r w:rsidR="00585215">
        <w:rPr>
          <w:rFonts w:ascii="David" w:eastAsia="Calibri" w:hAnsi="David" w:cs="David" w:hint="cs"/>
          <w:sz w:val="24"/>
          <w:szCs w:val="24"/>
          <w:rtl/>
          <w:lang w:val="en-GB"/>
        </w:rPr>
        <w:t>מתאר</w:t>
      </w:r>
      <w:r w:rsidRPr="00930B93">
        <w:rPr>
          <w:rFonts w:ascii="David" w:eastAsia="Calibri" w:hAnsi="David" w:cs="David"/>
          <w:sz w:val="24"/>
          <w:szCs w:val="24"/>
          <w:rtl/>
          <w:lang w:val="en-GB"/>
        </w:rPr>
        <w:t xml:space="preserve"> </w:t>
      </w:r>
      <w:r w:rsidR="00585215">
        <w:rPr>
          <w:rFonts w:ascii="David" w:eastAsia="Calibri" w:hAnsi="David" w:cs="David" w:hint="cs"/>
          <w:sz w:val="24"/>
          <w:szCs w:val="24"/>
          <w:rtl/>
          <w:lang w:val="en-GB"/>
        </w:rPr>
        <w:t>את</w:t>
      </w:r>
      <w:r w:rsidR="00DF16F7">
        <w:rPr>
          <w:rFonts w:ascii="David" w:eastAsia="Calibri" w:hAnsi="David" w:cs="David" w:hint="cs"/>
          <w:sz w:val="24"/>
          <w:szCs w:val="24"/>
          <w:rtl/>
          <w:lang w:val="en-GB"/>
        </w:rPr>
        <w:t xml:space="preserve"> עילת "החיים בעוולה" </w:t>
      </w:r>
      <w:r w:rsidR="00585215">
        <w:rPr>
          <w:rFonts w:ascii="David" w:eastAsia="Calibri" w:hAnsi="David" w:cs="David" w:hint="default"/>
          <w:sz w:val="24"/>
          <w:szCs w:val="24"/>
          <w:rtl/>
          <w:lang w:val="en-GB"/>
        </w:rPr>
        <w:t>–</w:t>
      </w:r>
      <w:r w:rsidR="00585215">
        <w:rPr>
          <w:rFonts w:ascii="David" w:eastAsia="Calibri" w:hAnsi="David" w:cs="David" w:hint="cs"/>
          <w:sz w:val="24"/>
          <w:szCs w:val="24"/>
          <w:rtl/>
          <w:lang w:val="en-GB"/>
        </w:rPr>
        <w:t xml:space="preserve"> </w:t>
      </w:r>
      <w:r w:rsidR="00585215">
        <w:rPr>
          <w:rFonts w:ascii="David" w:eastAsia="Calibri" w:hAnsi="David" w:cs="David" w:hint="default"/>
          <w:sz w:val="24"/>
          <w:szCs w:val="24"/>
        </w:rPr>
        <w:t>wrongful life</w:t>
      </w:r>
      <w:r w:rsidR="00585215">
        <w:rPr>
          <w:rFonts w:ascii="David" w:eastAsia="Calibri" w:hAnsi="David" w:cs="David" w:hint="cs"/>
          <w:sz w:val="24"/>
          <w:szCs w:val="24"/>
          <w:rtl/>
        </w:rPr>
        <w:t>, מסביר מהי העילה והיכן היא נדונה לראשונה במדינת ישראל, את לידתה וצמחיתה של העילה ואת מותה.</w:t>
      </w:r>
      <w:r w:rsidR="005827FC">
        <w:rPr>
          <w:rFonts w:ascii="David" w:eastAsia="Calibri" w:hAnsi="David" w:cs="David" w:hint="cs"/>
          <w:sz w:val="24"/>
          <w:szCs w:val="24"/>
          <w:rtl/>
        </w:rPr>
        <w:t xml:space="preserve"> לאחר מכן אערוך סקירה</w:t>
      </w:r>
      <w:r w:rsidR="00677B06">
        <w:rPr>
          <w:rFonts w:ascii="David" w:eastAsia="Calibri" w:hAnsi="David" w:cs="David" w:hint="cs"/>
          <w:sz w:val="24"/>
          <w:szCs w:val="24"/>
          <w:rtl/>
        </w:rPr>
        <w:t xml:space="preserve"> </w:t>
      </w:r>
      <w:r w:rsidR="005827FC">
        <w:rPr>
          <w:rFonts w:ascii="David" w:eastAsia="Calibri" w:hAnsi="David" w:cs="David" w:hint="cs"/>
          <w:sz w:val="24"/>
          <w:szCs w:val="24"/>
          <w:rtl/>
          <w:lang w:val="en-GB"/>
        </w:rPr>
        <w:t>פסיקתית</w:t>
      </w:r>
      <w:r>
        <w:rPr>
          <w:rFonts w:ascii="David" w:eastAsia="Calibri" w:hAnsi="David" w:cs="David" w:hint="cs"/>
          <w:sz w:val="24"/>
          <w:szCs w:val="24"/>
          <w:rtl/>
          <w:lang w:val="en-GB"/>
        </w:rPr>
        <w:t xml:space="preserve">, </w:t>
      </w:r>
      <w:r w:rsidR="005827FC">
        <w:rPr>
          <w:rFonts w:ascii="David" w:eastAsia="Calibri" w:hAnsi="David" w:cs="David" w:hint="cs"/>
          <w:sz w:val="24"/>
          <w:szCs w:val="24"/>
          <w:rtl/>
          <w:lang w:val="en-GB"/>
        </w:rPr>
        <w:t>אתחיל</w:t>
      </w:r>
      <w:r>
        <w:rPr>
          <w:rFonts w:ascii="David" w:eastAsia="Calibri" w:hAnsi="David" w:cs="David" w:hint="cs"/>
          <w:sz w:val="24"/>
          <w:szCs w:val="24"/>
          <w:rtl/>
          <w:lang w:val="en-GB"/>
        </w:rPr>
        <w:t xml:space="preserve"> מהלכת זיי</w:t>
      </w:r>
      <w:r w:rsidR="00585215">
        <w:rPr>
          <w:rFonts w:ascii="David" w:eastAsia="Calibri" w:hAnsi="David" w:cs="David" w:hint="cs"/>
          <w:sz w:val="24"/>
          <w:szCs w:val="24"/>
          <w:rtl/>
          <w:lang w:val="en-GB"/>
        </w:rPr>
        <w:t>צוב בהובלתה ומפי השופטת מרים בן-</w:t>
      </w:r>
      <w:r>
        <w:rPr>
          <w:rFonts w:ascii="David" w:eastAsia="Calibri" w:hAnsi="David" w:cs="David" w:hint="cs"/>
          <w:sz w:val="24"/>
          <w:szCs w:val="24"/>
          <w:rtl/>
          <w:lang w:val="en-GB"/>
        </w:rPr>
        <w:t>פורת</w:t>
      </w:r>
      <w:r w:rsidR="00121398">
        <w:rPr>
          <w:rFonts w:ascii="David" w:eastAsia="Calibri" w:hAnsi="David" w:cs="David" w:hint="cs"/>
          <w:sz w:val="24"/>
          <w:szCs w:val="24"/>
          <w:rtl/>
          <w:lang w:val="en-GB"/>
        </w:rPr>
        <w:t xml:space="preserve"> ומה </w:t>
      </w:r>
      <w:r w:rsidR="008573D8">
        <w:rPr>
          <w:rFonts w:ascii="David" w:eastAsia="Calibri" w:hAnsi="David" w:cs="David" w:hint="cs"/>
          <w:sz w:val="24"/>
          <w:szCs w:val="24"/>
          <w:rtl/>
          <w:lang w:val="en-GB"/>
        </w:rPr>
        <w:t>ביהמ"ש</w:t>
      </w:r>
      <w:r w:rsidR="00121398">
        <w:rPr>
          <w:rFonts w:ascii="David" w:eastAsia="Calibri" w:hAnsi="David" w:cs="David" w:hint="cs"/>
          <w:sz w:val="24"/>
          <w:szCs w:val="24"/>
          <w:rtl/>
          <w:lang w:val="en-GB"/>
        </w:rPr>
        <w:t xml:space="preserve"> הכריע </w:t>
      </w:r>
      <w:r w:rsidR="00585215">
        <w:rPr>
          <w:rFonts w:ascii="David" w:eastAsia="Calibri" w:hAnsi="David" w:cs="David" w:hint="cs"/>
          <w:sz w:val="24"/>
          <w:szCs w:val="24"/>
          <w:rtl/>
          <w:lang w:val="en-GB"/>
        </w:rPr>
        <w:t>בסופה, אציין את דעותיהם</w:t>
      </w:r>
      <w:r w:rsidR="00121398">
        <w:rPr>
          <w:rFonts w:ascii="David" w:eastAsia="Calibri" w:hAnsi="David" w:cs="David" w:hint="cs"/>
          <w:sz w:val="24"/>
          <w:szCs w:val="24"/>
          <w:rtl/>
          <w:lang w:val="en-GB"/>
        </w:rPr>
        <w:t xml:space="preserve"> החלוקות של השופטים שהביאו ותרמו להבנה של הפסיקה כמי שלא היו בדעה אחת</w:t>
      </w:r>
      <w:r>
        <w:rPr>
          <w:rFonts w:ascii="David" w:eastAsia="Calibri" w:hAnsi="David" w:cs="David" w:hint="cs"/>
          <w:sz w:val="24"/>
          <w:szCs w:val="24"/>
          <w:rtl/>
          <w:lang w:val="en-GB"/>
        </w:rPr>
        <w:t xml:space="preserve">, </w:t>
      </w:r>
      <w:r w:rsidR="00121398">
        <w:rPr>
          <w:rFonts w:ascii="David" w:eastAsia="Calibri" w:hAnsi="David" w:cs="David" w:hint="cs"/>
          <w:sz w:val="24"/>
          <w:szCs w:val="24"/>
          <w:rtl/>
          <w:lang w:val="en-GB"/>
        </w:rPr>
        <w:t xml:space="preserve">לאחר מכן אציג </w:t>
      </w:r>
      <w:r>
        <w:rPr>
          <w:rFonts w:ascii="David" w:eastAsia="Calibri" w:hAnsi="David" w:cs="David" w:hint="cs"/>
          <w:sz w:val="24"/>
          <w:szCs w:val="24"/>
          <w:rtl/>
          <w:lang w:val="en-GB"/>
        </w:rPr>
        <w:t xml:space="preserve">את הדרך הארוכה עד </w:t>
      </w:r>
      <w:r w:rsidR="00585215">
        <w:rPr>
          <w:rFonts w:ascii="David" w:eastAsia="Calibri" w:hAnsi="David" w:cs="David" w:hint="cs"/>
          <w:sz w:val="24"/>
          <w:szCs w:val="24"/>
          <w:rtl/>
          <w:lang w:val="en-GB"/>
        </w:rPr>
        <w:t>להכרעה</w:t>
      </w:r>
      <w:r>
        <w:rPr>
          <w:rFonts w:ascii="David" w:eastAsia="Calibri" w:hAnsi="David" w:cs="David" w:hint="cs"/>
          <w:sz w:val="24"/>
          <w:szCs w:val="24"/>
          <w:rtl/>
          <w:lang w:val="en-GB"/>
        </w:rPr>
        <w:t xml:space="preserve"> </w:t>
      </w:r>
      <w:r w:rsidR="00585215">
        <w:rPr>
          <w:rFonts w:ascii="David" w:eastAsia="Calibri" w:hAnsi="David" w:cs="David" w:hint="cs"/>
          <w:sz w:val="24"/>
          <w:szCs w:val="24"/>
          <w:rtl/>
          <w:lang w:val="en-GB"/>
        </w:rPr>
        <w:t>ה</w:t>
      </w:r>
      <w:r>
        <w:rPr>
          <w:rFonts w:ascii="David" w:eastAsia="Calibri" w:hAnsi="David" w:cs="David" w:hint="cs"/>
          <w:sz w:val="24"/>
          <w:szCs w:val="24"/>
          <w:rtl/>
          <w:lang w:val="en-GB"/>
        </w:rPr>
        <w:t>מוחצת בפס"ד המר</w:t>
      </w:r>
      <w:r w:rsidR="00585215">
        <w:rPr>
          <w:rFonts w:ascii="David" w:eastAsia="Calibri" w:hAnsi="David" w:cs="David" w:hint="cs"/>
          <w:sz w:val="24"/>
          <w:szCs w:val="24"/>
          <w:rtl/>
          <w:lang w:val="en-GB"/>
        </w:rPr>
        <w:t>,</w:t>
      </w:r>
      <w:r>
        <w:rPr>
          <w:rFonts w:ascii="David" w:eastAsia="Calibri" w:hAnsi="David" w:cs="David" w:hint="cs"/>
          <w:sz w:val="24"/>
          <w:szCs w:val="24"/>
          <w:rtl/>
          <w:lang w:val="en-GB"/>
        </w:rPr>
        <w:t xml:space="preserve"> אותו אסקור בקצרה. </w:t>
      </w:r>
      <w:r w:rsidR="00B2589E">
        <w:rPr>
          <w:rFonts w:ascii="David" w:eastAsia="Calibri" w:hAnsi="David" w:cs="David" w:hint="cs"/>
          <w:sz w:val="24"/>
          <w:szCs w:val="24"/>
          <w:rtl/>
          <w:lang w:val="en-GB"/>
        </w:rPr>
        <w:t xml:space="preserve">אסיים במצב המשפטי </w:t>
      </w:r>
      <w:r w:rsidR="00585215">
        <w:rPr>
          <w:rFonts w:ascii="David" w:eastAsia="Calibri" w:hAnsi="David" w:cs="David" w:hint="cs"/>
          <w:sz w:val="24"/>
          <w:szCs w:val="24"/>
          <w:rtl/>
          <w:lang w:val="en-GB"/>
        </w:rPr>
        <w:t>כ</w:t>
      </w:r>
      <w:r w:rsidR="00B2589E">
        <w:rPr>
          <w:rFonts w:ascii="David" w:eastAsia="Calibri" w:hAnsi="David" w:cs="David" w:hint="cs"/>
          <w:sz w:val="24"/>
          <w:szCs w:val="24"/>
          <w:rtl/>
          <w:lang w:val="en-GB"/>
        </w:rPr>
        <w:t xml:space="preserve">יום. </w:t>
      </w:r>
    </w:p>
    <w:p w:rsidR="008C0A95" w:rsidRDefault="008C0A95" w:rsidP="005827FC">
      <w:pPr>
        <w:spacing w:after="0" w:line="360" w:lineRule="auto"/>
        <w:jc w:val="both"/>
        <w:rPr>
          <w:rFonts w:ascii="David" w:eastAsia="Calibri" w:hAnsi="David" w:cs="David" w:hint="default"/>
          <w:sz w:val="24"/>
          <w:szCs w:val="24"/>
          <w:rtl/>
          <w:lang w:val="en-GB"/>
        </w:rPr>
      </w:pPr>
    </w:p>
    <w:p w:rsidR="008C0A95" w:rsidRDefault="0029242C" w:rsidP="00376A8E">
      <w:pPr>
        <w:spacing w:after="0" w:line="360" w:lineRule="auto"/>
        <w:jc w:val="both"/>
        <w:rPr>
          <w:rFonts w:ascii="David" w:eastAsia="Calibri" w:hAnsi="David" w:cs="David" w:hint="default"/>
          <w:sz w:val="24"/>
          <w:szCs w:val="24"/>
          <w:rtl/>
          <w:lang w:val="en-GB"/>
        </w:rPr>
      </w:pPr>
      <w:r>
        <w:rPr>
          <w:rFonts w:ascii="David" w:eastAsia="Calibri" w:hAnsi="David" w:cs="David" w:hint="cs"/>
          <w:b/>
          <w:bCs/>
          <w:sz w:val="24"/>
          <w:szCs w:val="24"/>
          <w:rtl/>
          <w:lang w:val="en-GB"/>
        </w:rPr>
        <w:t>ה</w:t>
      </w:r>
      <w:r w:rsidR="00BE211D" w:rsidRPr="00930B93">
        <w:rPr>
          <w:rFonts w:ascii="David" w:eastAsia="Calibri" w:hAnsi="David" w:cs="David"/>
          <w:b/>
          <w:bCs/>
          <w:sz w:val="24"/>
          <w:szCs w:val="24"/>
          <w:rtl/>
          <w:lang w:val="en-GB"/>
        </w:rPr>
        <w:t>פרק השני</w:t>
      </w:r>
      <w:r w:rsidR="00BE211D" w:rsidRPr="00930B93">
        <w:rPr>
          <w:rFonts w:ascii="David" w:eastAsia="Calibri" w:hAnsi="David" w:cs="David"/>
          <w:sz w:val="24"/>
          <w:szCs w:val="24"/>
          <w:rtl/>
          <w:lang w:val="en-GB"/>
        </w:rPr>
        <w:t xml:space="preserve"> </w:t>
      </w:r>
      <w:r w:rsidR="00B9259F">
        <w:rPr>
          <w:rFonts w:ascii="David" w:eastAsia="Calibri" w:hAnsi="David" w:cs="David" w:hint="cs"/>
          <w:sz w:val="24"/>
          <w:szCs w:val="24"/>
          <w:rtl/>
          <w:lang w:val="en-GB"/>
        </w:rPr>
        <w:t>תחילה אסביר מהי התיישנות</w:t>
      </w:r>
      <w:r w:rsidR="00376A8E">
        <w:rPr>
          <w:rFonts w:ascii="David" w:eastAsia="Calibri" w:hAnsi="David" w:cs="David" w:hint="cs"/>
          <w:sz w:val="24"/>
          <w:szCs w:val="24"/>
          <w:rtl/>
          <w:lang w:val="en-GB"/>
        </w:rPr>
        <w:t>. לאחר מכן</w:t>
      </w:r>
      <w:r w:rsidR="00B9259F">
        <w:rPr>
          <w:rFonts w:ascii="David" w:eastAsia="Calibri" w:hAnsi="David" w:cs="David" w:hint="cs"/>
          <w:sz w:val="24"/>
          <w:szCs w:val="24"/>
          <w:rtl/>
          <w:lang w:val="en-GB"/>
        </w:rPr>
        <w:t xml:space="preserve"> אראה</w:t>
      </w:r>
      <w:r w:rsidR="00BE211D">
        <w:rPr>
          <w:rFonts w:ascii="David" w:eastAsia="Calibri" w:hAnsi="David" w:cs="David" w:hint="cs"/>
          <w:sz w:val="24"/>
          <w:szCs w:val="24"/>
          <w:rtl/>
          <w:lang w:val="en-GB"/>
        </w:rPr>
        <w:t xml:space="preserve"> השפעת </w:t>
      </w:r>
      <w:r w:rsidR="008369F4">
        <w:rPr>
          <w:rFonts w:ascii="David" w:eastAsia="Calibri" w:hAnsi="David" w:cs="David" w:hint="cs"/>
          <w:sz w:val="24"/>
          <w:szCs w:val="24"/>
          <w:rtl/>
          <w:lang w:val="en-GB"/>
        </w:rPr>
        <w:t>פס"ד</w:t>
      </w:r>
      <w:r w:rsidR="00BE211D">
        <w:rPr>
          <w:rFonts w:ascii="David" w:eastAsia="Calibri" w:hAnsi="David" w:cs="David" w:hint="cs"/>
          <w:sz w:val="24"/>
          <w:szCs w:val="24"/>
          <w:rtl/>
          <w:lang w:val="en-GB"/>
        </w:rPr>
        <w:t xml:space="preserve"> המר והשלכותיו בנוגע</w:t>
      </w:r>
      <w:r w:rsidR="00376A8E">
        <w:rPr>
          <w:rFonts w:ascii="David" w:eastAsia="Calibri" w:hAnsi="David" w:cs="David" w:hint="cs"/>
          <w:sz w:val="24"/>
          <w:szCs w:val="24"/>
          <w:rtl/>
          <w:lang w:val="en-GB"/>
        </w:rPr>
        <w:t xml:space="preserve"> לבעיה המתעוררת בדין ההתיישנות. </w:t>
      </w:r>
      <w:r w:rsidR="008369F4">
        <w:rPr>
          <w:rFonts w:ascii="David" w:eastAsia="Calibri" w:hAnsi="David" w:cs="David" w:hint="cs"/>
          <w:sz w:val="24"/>
          <w:szCs w:val="24"/>
          <w:rtl/>
          <w:lang w:val="en-GB"/>
        </w:rPr>
        <w:t xml:space="preserve">אראה את הקשיים שפס"ד המר יצר </w:t>
      </w:r>
      <w:r w:rsidR="00376A8E">
        <w:rPr>
          <w:rFonts w:ascii="David" w:eastAsia="Calibri" w:hAnsi="David" w:cs="David" w:hint="cs"/>
          <w:sz w:val="24"/>
          <w:szCs w:val="24"/>
          <w:rtl/>
          <w:lang w:val="en-GB"/>
        </w:rPr>
        <w:t>בהשאירו</w:t>
      </w:r>
      <w:r w:rsidR="008369F4">
        <w:rPr>
          <w:rFonts w:ascii="David" w:eastAsia="Calibri" w:hAnsi="David" w:cs="David" w:hint="cs"/>
          <w:sz w:val="24"/>
          <w:szCs w:val="24"/>
          <w:rtl/>
          <w:lang w:val="en-GB"/>
        </w:rPr>
        <w:t xml:space="preserve"> את שאלת הוראות המעבר בצריך עיון. אציג את הבעיה שקמה בגין ביטול עילת </w:t>
      </w:r>
      <w:r w:rsidR="00415AA0">
        <w:rPr>
          <w:rFonts w:ascii="David" w:eastAsia="Calibri" w:hAnsi="David" w:cs="David" w:hint="cs"/>
          <w:sz w:val="24"/>
          <w:szCs w:val="24"/>
          <w:rtl/>
          <w:lang w:val="en-GB"/>
        </w:rPr>
        <w:t>"</w:t>
      </w:r>
      <w:r w:rsidR="008369F4">
        <w:rPr>
          <w:rFonts w:ascii="David" w:eastAsia="Calibri" w:hAnsi="David" w:cs="David" w:hint="cs"/>
          <w:sz w:val="24"/>
          <w:szCs w:val="24"/>
          <w:rtl/>
          <w:lang w:val="en-GB"/>
        </w:rPr>
        <w:t>חיים בעוולה</w:t>
      </w:r>
      <w:r w:rsidR="00415AA0">
        <w:rPr>
          <w:rFonts w:ascii="David" w:eastAsia="Calibri" w:hAnsi="David" w:cs="David" w:hint="cs"/>
          <w:sz w:val="24"/>
          <w:szCs w:val="24"/>
          <w:rtl/>
          <w:lang w:val="en-GB"/>
        </w:rPr>
        <w:t>"</w:t>
      </w:r>
      <w:r w:rsidR="008369F4">
        <w:rPr>
          <w:rFonts w:ascii="David" w:eastAsia="Calibri" w:hAnsi="David" w:cs="David" w:hint="cs"/>
          <w:sz w:val="24"/>
          <w:szCs w:val="24"/>
          <w:rtl/>
          <w:lang w:val="en-GB"/>
        </w:rPr>
        <w:t xml:space="preserve">, ההבדל בין שתי עילות התביעה, כלומר לתביעת ההורים יש שבע שנים לתבוע לעומת הקטין שהיו לו 25 שנה. כמו כן, אציג מקרה בהם השופטים התחבטו ולא ידעו איך להכריע בפסיקות שלאחר פס"ד המר. </w:t>
      </w:r>
      <w:r w:rsidR="00376A8E">
        <w:rPr>
          <w:rFonts w:ascii="David" w:eastAsia="Calibri" w:hAnsi="David" w:cs="David" w:hint="cs"/>
          <w:sz w:val="24"/>
          <w:szCs w:val="24"/>
          <w:rtl/>
          <w:lang w:val="en-GB"/>
        </w:rPr>
        <w:t xml:space="preserve">בנוסף, </w:t>
      </w:r>
      <w:r w:rsidR="006260B6">
        <w:rPr>
          <w:rFonts w:ascii="David" w:eastAsia="Calibri" w:hAnsi="David" w:cs="David" w:hint="cs"/>
          <w:sz w:val="24"/>
          <w:szCs w:val="24"/>
          <w:rtl/>
          <w:lang w:val="en-GB"/>
        </w:rPr>
        <w:t>אתייחס לעניין סיווג</w:t>
      </w:r>
      <w:r w:rsidR="008369F4">
        <w:rPr>
          <w:rFonts w:ascii="David" w:eastAsia="Calibri" w:hAnsi="David" w:cs="David" w:hint="cs"/>
          <w:sz w:val="24"/>
          <w:szCs w:val="24"/>
          <w:rtl/>
          <w:lang w:val="en-GB"/>
        </w:rPr>
        <w:t xml:space="preserve"> עילת ההתיישנות</w:t>
      </w:r>
      <w:r w:rsidR="00AF0842">
        <w:rPr>
          <w:rFonts w:ascii="David" w:eastAsia="Calibri" w:hAnsi="David" w:cs="David" w:hint="cs"/>
          <w:sz w:val="24"/>
          <w:szCs w:val="24"/>
          <w:rtl/>
          <w:lang w:val="en-GB"/>
        </w:rPr>
        <w:t xml:space="preserve"> בענייננו - האם דין מהותי או דין דיוני. </w:t>
      </w:r>
      <w:r w:rsidR="00193D29">
        <w:rPr>
          <w:rFonts w:ascii="David" w:eastAsia="Calibri" w:hAnsi="David" w:cs="David" w:hint="cs"/>
          <w:sz w:val="24"/>
          <w:szCs w:val="24"/>
          <w:rtl/>
          <w:lang w:val="en-GB"/>
        </w:rPr>
        <w:t xml:space="preserve">ולבסוף, אסקור את חוק הנזקים האזרחיים (אחריות המדינה). </w:t>
      </w:r>
    </w:p>
    <w:p w:rsidR="008B62CC" w:rsidRDefault="008B62CC" w:rsidP="006260B6">
      <w:pPr>
        <w:spacing w:after="0" w:line="360" w:lineRule="auto"/>
        <w:jc w:val="both"/>
        <w:rPr>
          <w:rFonts w:ascii="David" w:eastAsia="Calibri" w:hAnsi="David" w:cs="David" w:hint="default"/>
          <w:sz w:val="24"/>
          <w:szCs w:val="24"/>
          <w:rtl/>
          <w:lang w:val="en-GB"/>
        </w:rPr>
      </w:pPr>
    </w:p>
    <w:p w:rsidR="008B62CC" w:rsidRDefault="00BE211D" w:rsidP="00B746CC">
      <w:pPr>
        <w:spacing w:after="0" w:line="360" w:lineRule="auto"/>
        <w:jc w:val="both"/>
        <w:rPr>
          <w:rFonts w:ascii="David" w:eastAsia="Calibri" w:hAnsi="David" w:cs="David" w:hint="default"/>
          <w:sz w:val="24"/>
          <w:szCs w:val="24"/>
          <w:rtl/>
          <w:lang w:val="en-GB"/>
        </w:rPr>
      </w:pPr>
      <w:r>
        <w:rPr>
          <w:rFonts w:ascii="David" w:eastAsia="Calibri" w:hAnsi="David" w:cs="David" w:hint="cs"/>
          <w:b/>
          <w:bCs/>
          <w:sz w:val="24"/>
          <w:szCs w:val="24"/>
          <w:rtl/>
          <w:lang w:val="en-GB"/>
        </w:rPr>
        <w:t xml:space="preserve">הפרק השלישי </w:t>
      </w:r>
      <w:r>
        <w:rPr>
          <w:rFonts w:ascii="David" w:eastAsia="Calibri" w:hAnsi="David" w:cs="David" w:hint="cs"/>
          <w:sz w:val="24"/>
          <w:szCs w:val="24"/>
          <w:rtl/>
          <w:lang w:val="en-GB"/>
        </w:rPr>
        <w:t xml:space="preserve">בעבודה זו </w:t>
      </w:r>
      <w:r w:rsidR="00376A8E">
        <w:rPr>
          <w:rFonts w:ascii="David" w:eastAsia="Calibri" w:hAnsi="David" w:cs="David" w:hint="cs"/>
          <w:sz w:val="24"/>
          <w:szCs w:val="24"/>
          <w:rtl/>
          <w:lang w:val="en-GB"/>
        </w:rPr>
        <w:t>אסקור</w:t>
      </w:r>
      <w:r>
        <w:rPr>
          <w:rFonts w:ascii="David" w:eastAsia="Calibri" w:hAnsi="David" w:cs="David" w:hint="cs"/>
          <w:sz w:val="24"/>
          <w:szCs w:val="24"/>
          <w:rtl/>
          <w:lang w:val="en-GB"/>
        </w:rPr>
        <w:t xml:space="preserve"> את עניין אחריות המדינה. אמחיש את עניין אחריות המדינה לפי דוגמאות: זריקות הדפו-פרוברה ופס"ד איבי, קרי נפגעי הטיפול בגזזת. דוגמאות אלו נועדו להמחיש לצורך עבודה זו את התמונה המלאה </w:t>
      </w:r>
      <w:r w:rsidR="00376A8E">
        <w:rPr>
          <w:rFonts w:ascii="David" w:eastAsia="Calibri" w:hAnsi="David" w:cs="David" w:hint="cs"/>
          <w:sz w:val="24"/>
          <w:szCs w:val="24"/>
          <w:rtl/>
          <w:lang w:val="en-GB"/>
        </w:rPr>
        <w:t>והנסיבות בהן</w:t>
      </w:r>
      <w:r>
        <w:rPr>
          <w:rFonts w:ascii="David" w:eastAsia="Calibri" w:hAnsi="David" w:cs="David" w:hint="cs"/>
          <w:sz w:val="24"/>
          <w:szCs w:val="24"/>
          <w:rtl/>
          <w:lang w:val="en-GB"/>
        </w:rPr>
        <w:t xml:space="preserve"> חבה המדינה באחריות </w:t>
      </w:r>
      <w:r w:rsidR="00376A8E">
        <w:rPr>
          <w:rFonts w:ascii="David" w:eastAsia="Calibri" w:hAnsi="David" w:cs="David" w:hint="cs"/>
          <w:sz w:val="24"/>
          <w:szCs w:val="24"/>
          <w:rtl/>
          <w:lang w:val="en-GB"/>
        </w:rPr>
        <w:t>כלפי נפגעים כאשר היא</w:t>
      </w:r>
      <w:r>
        <w:rPr>
          <w:rFonts w:ascii="David" w:eastAsia="Calibri" w:hAnsi="David" w:cs="David" w:hint="cs"/>
          <w:sz w:val="24"/>
          <w:szCs w:val="24"/>
          <w:rtl/>
          <w:lang w:val="en-GB"/>
        </w:rPr>
        <w:t xml:space="preserve"> יצרה </w:t>
      </w:r>
      <w:r w:rsidR="00376A8E">
        <w:rPr>
          <w:rFonts w:ascii="David" w:eastAsia="Calibri" w:hAnsi="David" w:cs="David" w:hint="cs"/>
          <w:sz w:val="24"/>
          <w:szCs w:val="24"/>
          <w:rtl/>
          <w:lang w:val="en-GB"/>
        </w:rPr>
        <w:t>את ה</w:t>
      </w:r>
      <w:r>
        <w:rPr>
          <w:rFonts w:ascii="David" w:eastAsia="Calibri" w:hAnsi="David" w:cs="David" w:hint="cs"/>
          <w:sz w:val="24"/>
          <w:szCs w:val="24"/>
          <w:rtl/>
          <w:lang w:val="en-GB"/>
        </w:rPr>
        <w:t xml:space="preserve">סיכון. את </w:t>
      </w:r>
      <w:r w:rsidR="00376A8E">
        <w:rPr>
          <w:rFonts w:ascii="David" w:eastAsia="Calibri" w:hAnsi="David" w:cs="David" w:hint="cs"/>
          <w:sz w:val="24"/>
          <w:szCs w:val="24"/>
          <w:rtl/>
          <w:lang w:val="en-GB"/>
        </w:rPr>
        <w:t>ה</w:t>
      </w:r>
      <w:r>
        <w:rPr>
          <w:rFonts w:ascii="David" w:eastAsia="Calibri" w:hAnsi="David" w:cs="David" w:hint="cs"/>
          <w:sz w:val="24"/>
          <w:szCs w:val="24"/>
          <w:rtl/>
          <w:lang w:val="en-GB"/>
        </w:rPr>
        <w:t>דוגמא</w:t>
      </w:r>
      <w:r>
        <w:rPr>
          <w:rFonts w:ascii="David" w:eastAsia="Calibri" w:hAnsi="David" w:cs="David" w:hint="cs"/>
          <w:sz w:val="24"/>
          <w:szCs w:val="24"/>
          <w:rtl/>
          <w:lang w:val="en-GB"/>
        </w:rPr>
        <w:t xml:space="preserve">ות </w:t>
      </w:r>
      <w:r w:rsidR="00376A8E">
        <w:rPr>
          <w:rFonts w:ascii="David" w:eastAsia="Calibri" w:hAnsi="David" w:cs="David" w:hint="cs"/>
          <w:sz w:val="24"/>
          <w:szCs w:val="24"/>
          <w:rtl/>
          <w:lang w:val="en-GB"/>
        </w:rPr>
        <w:t>האלה</w:t>
      </w:r>
      <w:r>
        <w:rPr>
          <w:rFonts w:ascii="David" w:eastAsia="Calibri" w:hAnsi="David" w:cs="David" w:hint="cs"/>
          <w:sz w:val="24"/>
          <w:szCs w:val="24"/>
          <w:rtl/>
          <w:lang w:val="en-GB"/>
        </w:rPr>
        <w:t xml:space="preserve"> </w:t>
      </w:r>
      <w:r w:rsidR="00376A8E">
        <w:rPr>
          <w:rFonts w:ascii="David" w:eastAsia="Calibri" w:hAnsi="David" w:cs="David" w:hint="cs"/>
          <w:sz w:val="24"/>
          <w:szCs w:val="24"/>
          <w:rtl/>
          <w:lang w:val="en-GB"/>
        </w:rPr>
        <w:t>אסביר</w:t>
      </w:r>
      <w:r>
        <w:rPr>
          <w:rFonts w:ascii="David" w:eastAsia="Calibri" w:hAnsi="David" w:cs="David" w:hint="cs"/>
          <w:sz w:val="24"/>
          <w:szCs w:val="24"/>
          <w:rtl/>
          <w:lang w:val="en-GB"/>
        </w:rPr>
        <w:t xml:space="preserve"> במהלך העבודה. לאחר מכן </w:t>
      </w:r>
      <w:r w:rsidR="00376A8E">
        <w:rPr>
          <w:rFonts w:ascii="David" w:eastAsia="Calibri" w:hAnsi="David" w:cs="David" w:hint="cs"/>
          <w:sz w:val="24"/>
          <w:szCs w:val="24"/>
          <w:rtl/>
          <w:lang w:val="en-GB"/>
        </w:rPr>
        <w:t>אדון בסוגיה של התנהלות המדינה לגב</w:t>
      </w:r>
      <w:r>
        <w:rPr>
          <w:rFonts w:ascii="David" w:eastAsia="Calibri" w:hAnsi="David" w:cs="David" w:hint="cs"/>
          <w:sz w:val="24"/>
          <w:szCs w:val="24"/>
          <w:rtl/>
          <w:lang w:val="en-GB"/>
        </w:rPr>
        <w:t>י אופן היידוע של ההורים</w:t>
      </w:r>
      <w:r w:rsidR="00B746CC">
        <w:rPr>
          <w:rFonts w:ascii="David" w:eastAsia="Calibri" w:hAnsi="David" w:cs="David" w:hint="cs"/>
          <w:sz w:val="24"/>
          <w:szCs w:val="24"/>
          <w:rtl/>
          <w:lang w:val="en-GB"/>
        </w:rPr>
        <w:t xml:space="preserve"> בעקבות פסק דין המר,</w:t>
      </w:r>
      <w:r>
        <w:rPr>
          <w:rFonts w:ascii="David" w:eastAsia="Calibri" w:hAnsi="David" w:cs="David" w:hint="cs"/>
          <w:sz w:val="24"/>
          <w:szCs w:val="24"/>
          <w:rtl/>
          <w:lang w:val="en-GB"/>
        </w:rPr>
        <w:t xml:space="preserve"> שם </w:t>
      </w:r>
      <w:r w:rsidR="00B746CC">
        <w:rPr>
          <w:rFonts w:ascii="David" w:eastAsia="Calibri" w:hAnsi="David" w:cs="David" w:hint="cs"/>
          <w:sz w:val="24"/>
          <w:szCs w:val="24"/>
          <w:rtl/>
          <w:lang w:val="en-GB"/>
        </w:rPr>
        <w:t>אבחון</w:t>
      </w:r>
      <w:r>
        <w:rPr>
          <w:rFonts w:ascii="David" w:eastAsia="Calibri" w:hAnsi="David" w:cs="David" w:hint="cs"/>
          <w:sz w:val="24"/>
          <w:szCs w:val="24"/>
          <w:rtl/>
          <w:lang w:val="en-GB"/>
        </w:rPr>
        <w:t xml:space="preserve"> את עוולת הרשלנות בנזיקין. </w:t>
      </w:r>
      <w:r w:rsidR="00E978CA">
        <w:rPr>
          <w:rFonts w:ascii="David" w:eastAsia="Calibri" w:hAnsi="David" w:cs="David" w:hint="cs"/>
          <w:sz w:val="24"/>
          <w:szCs w:val="24"/>
          <w:rtl/>
          <w:lang w:val="en-GB"/>
        </w:rPr>
        <w:t xml:space="preserve">לבסוף, </w:t>
      </w:r>
      <w:r w:rsidR="00B746CC">
        <w:rPr>
          <w:rFonts w:ascii="David" w:eastAsia="Calibri" w:hAnsi="David" w:cs="David" w:hint="cs"/>
          <w:sz w:val="24"/>
          <w:szCs w:val="24"/>
          <w:rtl/>
          <w:lang w:val="en-GB"/>
        </w:rPr>
        <w:t>אסקור</w:t>
      </w:r>
      <w:r w:rsidR="00E978CA">
        <w:rPr>
          <w:rFonts w:ascii="David" w:eastAsia="Calibri" w:hAnsi="David" w:cs="David" w:hint="cs"/>
          <w:sz w:val="24"/>
          <w:szCs w:val="24"/>
          <w:rtl/>
          <w:lang w:val="en-GB"/>
        </w:rPr>
        <w:t xml:space="preserve"> </w:t>
      </w:r>
      <w:r w:rsidR="00B746CC">
        <w:rPr>
          <w:rFonts w:ascii="David" w:eastAsia="Calibri" w:hAnsi="David" w:cs="David" w:hint="cs"/>
          <w:sz w:val="24"/>
          <w:szCs w:val="24"/>
          <w:rtl/>
          <w:lang w:val="en-GB"/>
        </w:rPr>
        <w:t>ב</w:t>
      </w:r>
      <w:r w:rsidR="00E978CA">
        <w:rPr>
          <w:rFonts w:ascii="David" w:eastAsia="Calibri" w:hAnsi="David" w:cs="David" w:hint="cs"/>
          <w:sz w:val="24"/>
          <w:szCs w:val="24"/>
          <w:rtl/>
          <w:lang w:val="en-GB"/>
        </w:rPr>
        <w:t xml:space="preserve">משפט משווה לפי המשפט האנגלי. </w:t>
      </w:r>
    </w:p>
    <w:p w:rsidR="00E978CA" w:rsidRDefault="00E978CA" w:rsidP="006260B6">
      <w:pPr>
        <w:spacing w:after="0" w:line="360" w:lineRule="auto"/>
        <w:jc w:val="both"/>
        <w:rPr>
          <w:rFonts w:ascii="David" w:eastAsia="Calibri" w:hAnsi="David" w:cs="David" w:hint="default"/>
          <w:sz w:val="24"/>
          <w:szCs w:val="24"/>
          <w:rtl/>
          <w:lang w:val="en-GB"/>
        </w:rPr>
      </w:pPr>
    </w:p>
    <w:p w:rsidR="00E978CA" w:rsidRDefault="00BE211D" w:rsidP="00B746CC">
      <w:pPr>
        <w:spacing w:after="0" w:line="360" w:lineRule="auto"/>
        <w:jc w:val="both"/>
        <w:rPr>
          <w:rFonts w:ascii="David" w:eastAsia="Calibri" w:hAnsi="David" w:cs="David" w:hint="default"/>
          <w:sz w:val="24"/>
          <w:szCs w:val="24"/>
          <w:rtl/>
          <w:lang w:val="en-GB"/>
        </w:rPr>
      </w:pPr>
      <w:r>
        <w:rPr>
          <w:rFonts w:ascii="David" w:eastAsia="Calibri" w:hAnsi="David" w:cs="David" w:hint="cs"/>
          <w:b/>
          <w:bCs/>
          <w:sz w:val="24"/>
          <w:szCs w:val="24"/>
          <w:rtl/>
          <w:lang w:val="en-GB"/>
        </w:rPr>
        <w:t xml:space="preserve">הפרק הרביעי </w:t>
      </w:r>
      <w:r>
        <w:rPr>
          <w:rFonts w:ascii="David" w:eastAsia="Calibri" w:hAnsi="David" w:cs="David" w:hint="cs"/>
          <w:sz w:val="24"/>
          <w:szCs w:val="24"/>
          <w:rtl/>
          <w:lang w:val="en-GB"/>
        </w:rPr>
        <w:t>בעבודה זו דן בסעד הפיצויים</w:t>
      </w:r>
      <w:r w:rsidR="00B746CC">
        <w:rPr>
          <w:rFonts w:ascii="David" w:eastAsia="Calibri" w:hAnsi="David" w:cs="David" w:hint="cs"/>
          <w:sz w:val="24"/>
          <w:szCs w:val="24"/>
          <w:rtl/>
          <w:lang w:val="en-GB"/>
        </w:rPr>
        <w:t>,</w:t>
      </w:r>
      <w:r>
        <w:rPr>
          <w:rFonts w:ascii="David" w:eastAsia="Calibri" w:hAnsi="David" w:cs="David" w:hint="cs"/>
          <w:sz w:val="24"/>
          <w:szCs w:val="24"/>
          <w:rtl/>
          <w:lang w:val="en-GB"/>
        </w:rPr>
        <w:t xml:space="preserve"> כאשר השאלה שמועלת בפרק זה היא: האם ניתן לפצות את ההורים על אובדן עילת תביעה? לאחר מכן, </w:t>
      </w:r>
      <w:r w:rsidR="00B746CC">
        <w:rPr>
          <w:rFonts w:ascii="David" w:eastAsia="Calibri" w:hAnsi="David" w:cs="David" w:hint="cs"/>
          <w:sz w:val="24"/>
          <w:szCs w:val="24"/>
          <w:rtl/>
          <w:lang w:val="en-GB"/>
        </w:rPr>
        <w:t>אמחיש</w:t>
      </w:r>
      <w:r>
        <w:rPr>
          <w:rFonts w:ascii="David" w:eastAsia="Calibri" w:hAnsi="David" w:cs="David" w:hint="cs"/>
          <w:sz w:val="24"/>
          <w:szCs w:val="24"/>
          <w:rtl/>
          <w:lang w:val="en-GB"/>
        </w:rPr>
        <w:t xml:space="preserve"> את עניין חננשוילי כיציר פסיקה של השופטת </w:t>
      </w:r>
      <w:r w:rsidR="00B746CC">
        <w:rPr>
          <w:rFonts w:ascii="David" w:eastAsia="Calibri" w:hAnsi="David" w:cs="David" w:hint="cs"/>
          <w:sz w:val="24"/>
          <w:szCs w:val="24"/>
          <w:rtl/>
          <w:lang w:val="en-GB"/>
        </w:rPr>
        <w:t>נתניהו שהכירה בראש נזק חדש,</w:t>
      </w:r>
      <w:r>
        <w:rPr>
          <w:rFonts w:ascii="David" w:eastAsia="Calibri" w:hAnsi="David" w:cs="David" w:hint="cs"/>
          <w:sz w:val="24"/>
          <w:szCs w:val="24"/>
          <w:rtl/>
          <w:lang w:val="en-GB"/>
        </w:rPr>
        <w:t xml:space="preserve"> מה </w:t>
      </w:r>
      <w:r w:rsidR="00B746CC">
        <w:rPr>
          <w:rFonts w:ascii="David" w:eastAsia="Calibri" w:hAnsi="David" w:cs="David" w:hint="cs"/>
          <w:sz w:val="24"/>
          <w:szCs w:val="24"/>
          <w:rtl/>
          <w:lang w:val="en-GB"/>
        </w:rPr>
        <w:t>שיוביל</w:t>
      </w:r>
      <w:r>
        <w:rPr>
          <w:rFonts w:ascii="David" w:eastAsia="Calibri" w:hAnsi="David" w:cs="David" w:hint="cs"/>
          <w:sz w:val="24"/>
          <w:szCs w:val="24"/>
          <w:rtl/>
          <w:lang w:val="en-GB"/>
        </w:rPr>
        <w:t xml:space="preserve"> אותי לכתיבה של ייסוד הנזק </w:t>
      </w:r>
      <w:r w:rsidR="00B746CC">
        <w:rPr>
          <w:rFonts w:ascii="David" w:eastAsia="Calibri" w:hAnsi="David" w:cs="David" w:hint="cs"/>
          <w:sz w:val="24"/>
          <w:szCs w:val="24"/>
          <w:rtl/>
          <w:lang w:val="en-GB"/>
        </w:rPr>
        <w:t>כ</w:t>
      </w:r>
      <w:r>
        <w:rPr>
          <w:rFonts w:ascii="David" w:eastAsia="Calibri" w:hAnsi="David" w:cs="David" w:hint="cs"/>
          <w:sz w:val="24"/>
          <w:szCs w:val="24"/>
          <w:rtl/>
          <w:lang w:val="en-GB"/>
        </w:rPr>
        <w:t>נזק כלכלי טהור ולאחריו</w:t>
      </w:r>
      <w:r w:rsidR="00B746CC">
        <w:rPr>
          <w:rFonts w:ascii="David" w:eastAsia="Calibri" w:hAnsi="David" w:cs="David" w:hint="cs"/>
          <w:sz w:val="24"/>
          <w:szCs w:val="24"/>
          <w:rtl/>
          <w:lang w:val="en-GB"/>
        </w:rPr>
        <w:t xml:space="preserve"> אתייחס</w:t>
      </w:r>
      <w:r>
        <w:rPr>
          <w:rFonts w:ascii="David" w:eastAsia="Calibri" w:hAnsi="David" w:cs="David" w:hint="cs"/>
          <w:sz w:val="24"/>
          <w:szCs w:val="24"/>
          <w:rtl/>
          <w:lang w:val="en-GB"/>
        </w:rPr>
        <w:t xml:space="preserve"> </w:t>
      </w:r>
      <w:r w:rsidR="00B746CC">
        <w:rPr>
          <w:rFonts w:ascii="David" w:eastAsia="Calibri" w:hAnsi="David" w:cs="David" w:hint="cs"/>
          <w:sz w:val="24"/>
          <w:szCs w:val="24"/>
          <w:rtl/>
          <w:lang w:val="en-GB"/>
        </w:rPr>
        <w:t>לשיקולי</w:t>
      </w:r>
      <w:r>
        <w:rPr>
          <w:rFonts w:ascii="David" w:eastAsia="Calibri" w:hAnsi="David" w:cs="David" w:hint="cs"/>
          <w:sz w:val="24"/>
          <w:szCs w:val="24"/>
          <w:rtl/>
          <w:lang w:val="en-GB"/>
        </w:rPr>
        <w:t xml:space="preserve"> </w:t>
      </w:r>
      <w:r w:rsidR="004E3DC4">
        <w:rPr>
          <w:rFonts w:ascii="David" w:eastAsia="Calibri" w:hAnsi="David" w:cs="David" w:hint="cs"/>
          <w:sz w:val="24"/>
          <w:szCs w:val="24"/>
          <w:rtl/>
          <w:lang w:val="en-GB"/>
        </w:rPr>
        <w:t>מדיניות</w:t>
      </w:r>
      <w:r>
        <w:rPr>
          <w:rFonts w:ascii="David" w:eastAsia="Calibri" w:hAnsi="David" w:cs="David" w:hint="cs"/>
          <w:sz w:val="24"/>
          <w:szCs w:val="24"/>
          <w:rtl/>
          <w:lang w:val="en-GB"/>
        </w:rPr>
        <w:t xml:space="preserve"> בעד צמצום א</w:t>
      </w:r>
      <w:r>
        <w:rPr>
          <w:rFonts w:ascii="David" w:eastAsia="Calibri" w:hAnsi="David" w:cs="David" w:hint="cs"/>
          <w:sz w:val="24"/>
          <w:szCs w:val="24"/>
          <w:rtl/>
          <w:lang w:val="en-GB"/>
        </w:rPr>
        <w:t xml:space="preserve">חריות המדינה. בפרק זה </w:t>
      </w:r>
      <w:r w:rsidR="00B746CC">
        <w:rPr>
          <w:rFonts w:ascii="David" w:eastAsia="Calibri" w:hAnsi="David" w:cs="David" w:hint="cs"/>
          <w:sz w:val="24"/>
          <w:szCs w:val="24"/>
          <w:rtl/>
          <w:lang w:val="en-GB"/>
        </w:rPr>
        <w:t>אוסיף</w:t>
      </w:r>
      <w:r>
        <w:rPr>
          <w:rFonts w:ascii="David" w:eastAsia="Calibri" w:hAnsi="David" w:cs="David" w:hint="cs"/>
          <w:sz w:val="24"/>
          <w:szCs w:val="24"/>
          <w:rtl/>
          <w:lang w:val="en-GB"/>
        </w:rPr>
        <w:t xml:space="preserve"> את דעתי לגביי פרק זה והפרק השלישי. </w:t>
      </w:r>
    </w:p>
    <w:p w:rsidR="00D6277F" w:rsidRDefault="00D6277F" w:rsidP="006260B6">
      <w:pPr>
        <w:spacing w:after="0" w:line="360" w:lineRule="auto"/>
        <w:jc w:val="both"/>
        <w:rPr>
          <w:rFonts w:ascii="David" w:eastAsia="Calibri" w:hAnsi="David" w:cs="David" w:hint="default"/>
          <w:sz w:val="24"/>
          <w:szCs w:val="24"/>
          <w:rtl/>
          <w:lang w:val="en-GB"/>
        </w:rPr>
      </w:pPr>
    </w:p>
    <w:p w:rsidR="006D6DD2" w:rsidRDefault="00BE211D" w:rsidP="0083642C">
      <w:pPr>
        <w:spacing w:after="0" w:line="360" w:lineRule="auto"/>
        <w:jc w:val="both"/>
        <w:rPr>
          <w:rFonts w:ascii="David" w:eastAsia="Calibri" w:hAnsi="David" w:cs="David" w:hint="default"/>
          <w:sz w:val="24"/>
          <w:szCs w:val="24"/>
          <w:rtl/>
          <w:lang w:val="en-GB"/>
        </w:rPr>
      </w:pPr>
      <w:r w:rsidRPr="00930B93">
        <w:rPr>
          <w:rFonts w:ascii="David" w:eastAsia="Calibri" w:hAnsi="David" w:cs="David"/>
          <w:b/>
          <w:bCs/>
          <w:sz w:val="24"/>
          <w:szCs w:val="24"/>
          <w:rtl/>
          <w:lang w:val="en-GB"/>
        </w:rPr>
        <w:t>לבסוף</w:t>
      </w:r>
      <w:r w:rsidRPr="00930B93">
        <w:rPr>
          <w:rFonts w:ascii="David" w:eastAsia="Calibri" w:hAnsi="David" w:cs="David"/>
          <w:sz w:val="24"/>
          <w:szCs w:val="24"/>
          <w:rtl/>
          <w:lang w:val="en-GB"/>
        </w:rPr>
        <w:t xml:space="preserve">, אסכם ואעלה את שלל הפתרונות הקיימים בארץ, </w:t>
      </w:r>
      <w:r w:rsidR="00750DF5">
        <w:rPr>
          <w:rFonts w:ascii="David" w:eastAsia="Calibri" w:hAnsi="David" w:cs="David" w:hint="cs"/>
          <w:sz w:val="24"/>
          <w:szCs w:val="24"/>
          <w:rtl/>
          <w:lang w:val="en-GB"/>
        </w:rPr>
        <w:t>אשר יסקרו</w:t>
      </w:r>
      <w:r w:rsidRPr="00930B93">
        <w:rPr>
          <w:rFonts w:ascii="David" w:eastAsia="Calibri" w:hAnsi="David" w:cs="David"/>
          <w:sz w:val="24"/>
          <w:szCs w:val="24"/>
          <w:rtl/>
          <w:lang w:val="en-GB"/>
        </w:rPr>
        <w:t xml:space="preserve"> לאורך העבודה כולה. כמו כן, אביע את דעתי האישית ואנסה ליצור מעין מודל אופטימאלי בו </w:t>
      </w:r>
      <w:r>
        <w:rPr>
          <w:rFonts w:ascii="David" w:eastAsia="Calibri" w:hAnsi="David" w:cs="David" w:hint="cs"/>
          <w:sz w:val="24"/>
          <w:szCs w:val="24"/>
          <w:rtl/>
          <w:lang w:val="en-GB"/>
        </w:rPr>
        <w:t xml:space="preserve">הורי הקטין, הקטין </w:t>
      </w:r>
      <w:r w:rsidR="004E3DC4">
        <w:rPr>
          <w:rFonts w:ascii="David" w:eastAsia="Calibri" w:hAnsi="David" w:cs="David" w:hint="cs"/>
          <w:sz w:val="24"/>
          <w:szCs w:val="24"/>
          <w:rtl/>
          <w:lang w:val="en-GB"/>
        </w:rPr>
        <w:t xml:space="preserve">ומשפחתו יוכלו </w:t>
      </w:r>
      <w:r w:rsidR="0083642C">
        <w:rPr>
          <w:rFonts w:ascii="David" w:eastAsia="Calibri" w:hAnsi="David" w:cs="David" w:hint="cs"/>
          <w:sz w:val="24"/>
          <w:szCs w:val="24"/>
          <w:rtl/>
          <w:lang w:val="en-GB"/>
        </w:rPr>
        <w:t>למצות</w:t>
      </w:r>
      <w:r w:rsidR="004E3DC4">
        <w:rPr>
          <w:rFonts w:ascii="David" w:eastAsia="Calibri" w:hAnsi="David" w:cs="David" w:hint="cs"/>
          <w:sz w:val="24"/>
          <w:szCs w:val="24"/>
          <w:rtl/>
          <w:lang w:val="en-GB"/>
        </w:rPr>
        <w:t xml:space="preserve"> את זכויותיהם</w:t>
      </w:r>
      <w:r>
        <w:rPr>
          <w:rFonts w:ascii="David" w:eastAsia="Calibri" w:hAnsi="David" w:cs="David" w:hint="cs"/>
          <w:sz w:val="24"/>
          <w:szCs w:val="24"/>
          <w:rtl/>
          <w:lang w:val="en-GB"/>
        </w:rPr>
        <w:t xml:space="preserve"> ובכך לצמצם</w:t>
      </w:r>
      <w:r w:rsidR="00750DF5">
        <w:rPr>
          <w:rFonts w:ascii="David" w:eastAsia="Calibri" w:hAnsi="David" w:cs="David" w:hint="cs"/>
          <w:sz w:val="24"/>
          <w:szCs w:val="24"/>
          <w:rtl/>
          <w:lang w:val="en-GB"/>
        </w:rPr>
        <w:t>,</w:t>
      </w:r>
      <w:r>
        <w:rPr>
          <w:rFonts w:ascii="David" w:eastAsia="Calibri" w:hAnsi="David" w:cs="David" w:hint="cs"/>
          <w:sz w:val="24"/>
          <w:szCs w:val="24"/>
          <w:rtl/>
          <w:lang w:val="en-GB"/>
        </w:rPr>
        <w:t xml:space="preserve"> ככל שאפשר</w:t>
      </w:r>
      <w:r w:rsidR="00750DF5">
        <w:rPr>
          <w:rFonts w:ascii="David" w:eastAsia="Calibri" w:hAnsi="David" w:cs="David" w:hint="cs"/>
          <w:sz w:val="24"/>
          <w:szCs w:val="24"/>
          <w:rtl/>
          <w:lang w:val="en-GB"/>
        </w:rPr>
        <w:t>, את הפער</w:t>
      </w:r>
      <w:r>
        <w:rPr>
          <w:rFonts w:ascii="David" w:eastAsia="Calibri" w:hAnsi="David" w:cs="David" w:hint="cs"/>
          <w:sz w:val="24"/>
          <w:szCs w:val="24"/>
          <w:rtl/>
          <w:lang w:val="en-GB"/>
        </w:rPr>
        <w:t xml:space="preserve"> על העוול שנגרם להם. כולי תקווה כי הקורא יביע ענין בעבודה זו ונזכה לחיות בעולם מכיל ומקבל יותר את השונות תוך רגישות ואמונה.</w:t>
      </w:r>
    </w:p>
    <w:p w:rsidR="00F53756" w:rsidRDefault="00F53756" w:rsidP="0083642C">
      <w:pPr>
        <w:spacing w:after="0" w:line="360" w:lineRule="auto"/>
        <w:jc w:val="both"/>
        <w:rPr>
          <w:rFonts w:ascii="David" w:eastAsia="Calibri" w:hAnsi="David" w:cs="David" w:hint="default"/>
          <w:sz w:val="24"/>
          <w:szCs w:val="24"/>
          <w:rtl/>
          <w:lang w:val="en-GB"/>
        </w:rPr>
      </w:pPr>
    </w:p>
    <w:p w:rsidR="00F53756" w:rsidRDefault="00F53756" w:rsidP="0083642C">
      <w:pPr>
        <w:spacing w:after="0" w:line="360" w:lineRule="auto"/>
        <w:jc w:val="both"/>
        <w:rPr>
          <w:rFonts w:ascii="David" w:eastAsia="Calibri" w:hAnsi="David" w:cs="David" w:hint="default"/>
          <w:sz w:val="24"/>
          <w:szCs w:val="24"/>
          <w:rtl/>
          <w:lang w:val="en-GB"/>
        </w:rPr>
      </w:pPr>
    </w:p>
    <w:p w:rsidR="00F53756" w:rsidRDefault="00F53756" w:rsidP="0083642C">
      <w:pPr>
        <w:spacing w:after="0" w:line="360" w:lineRule="auto"/>
        <w:jc w:val="both"/>
        <w:rPr>
          <w:rFonts w:ascii="David" w:eastAsia="Calibri" w:hAnsi="David" w:cs="David" w:hint="default"/>
          <w:sz w:val="24"/>
          <w:szCs w:val="24"/>
          <w:rtl/>
          <w:lang w:val="en-GB"/>
        </w:rPr>
      </w:pPr>
    </w:p>
    <w:p w:rsidR="0029242C" w:rsidRDefault="0029242C" w:rsidP="0083642C">
      <w:pPr>
        <w:spacing w:after="0" w:line="360" w:lineRule="auto"/>
        <w:jc w:val="both"/>
        <w:rPr>
          <w:rFonts w:ascii="David" w:eastAsia="Calibri" w:hAnsi="David" w:cs="David" w:hint="default"/>
          <w:sz w:val="24"/>
          <w:szCs w:val="24"/>
          <w:rtl/>
          <w:lang w:val="en-GB"/>
        </w:rPr>
      </w:pPr>
    </w:p>
    <w:p w:rsidR="00F53756" w:rsidRDefault="00F53756" w:rsidP="0083642C">
      <w:pPr>
        <w:spacing w:after="0" w:line="360" w:lineRule="auto"/>
        <w:jc w:val="both"/>
        <w:rPr>
          <w:rFonts w:ascii="David" w:eastAsia="Calibri" w:hAnsi="David" w:cs="David" w:hint="default"/>
          <w:sz w:val="24"/>
          <w:szCs w:val="24"/>
          <w:rtl/>
          <w:lang w:val="en-GB"/>
        </w:rPr>
      </w:pPr>
    </w:p>
    <w:p w:rsidR="00F53756" w:rsidRDefault="00F53756" w:rsidP="0083642C">
      <w:pPr>
        <w:spacing w:after="0" w:line="360" w:lineRule="auto"/>
        <w:jc w:val="both"/>
        <w:rPr>
          <w:rFonts w:ascii="David" w:eastAsia="Calibri" w:hAnsi="David" w:cs="David" w:hint="default"/>
          <w:sz w:val="24"/>
          <w:szCs w:val="24"/>
          <w:rtl/>
          <w:lang w:val="en-GB"/>
        </w:rPr>
      </w:pPr>
    </w:p>
    <w:p w:rsidR="0075162B" w:rsidRDefault="0075162B" w:rsidP="00750DF5">
      <w:pPr>
        <w:spacing w:after="0" w:line="360" w:lineRule="auto"/>
        <w:jc w:val="both"/>
        <w:rPr>
          <w:rFonts w:ascii="David" w:eastAsia="Calibri" w:hAnsi="David" w:cs="David" w:hint="default"/>
          <w:sz w:val="24"/>
          <w:szCs w:val="24"/>
          <w:rtl/>
          <w:lang w:val="en-GB"/>
        </w:rPr>
      </w:pPr>
    </w:p>
    <w:p w:rsidR="004A66F9" w:rsidRDefault="00BE211D" w:rsidP="006D6DD2">
      <w:pPr>
        <w:spacing w:after="0" w:line="360" w:lineRule="auto"/>
        <w:jc w:val="both"/>
        <w:rPr>
          <w:rFonts w:ascii="David" w:eastAsia="Calibri" w:hAnsi="David" w:cs="David" w:hint="default"/>
          <w:sz w:val="24"/>
          <w:szCs w:val="24"/>
          <w:rtl/>
          <w:lang w:val="en-GB"/>
        </w:rPr>
      </w:pPr>
      <w:r w:rsidRPr="00B57A8F">
        <w:rPr>
          <w:rFonts w:ascii="David" w:hAnsi="David" w:cs="David" w:hint="cs"/>
          <w:b/>
          <w:bCs/>
          <w:sz w:val="24"/>
          <w:szCs w:val="24"/>
          <w:u w:val="single"/>
          <w:rtl/>
        </w:rPr>
        <w:lastRenderedPageBreak/>
        <w:t xml:space="preserve">פרק א' </w:t>
      </w:r>
      <w:r w:rsidRPr="00B57A8F">
        <w:rPr>
          <w:rFonts w:ascii="David" w:hAnsi="David" w:cs="David" w:hint="default"/>
          <w:b/>
          <w:bCs/>
          <w:sz w:val="24"/>
          <w:szCs w:val="24"/>
          <w:u w:val="single"/>
          <w:rtl/>
        </w:rPr>
        <w:t>–</w:t>
      </w:r>
      <w:r w:rsidRPr="00B57A8F">
        <w:rPr>
          <w:rFonts w:ascii="David" w:hAnsi="David" w:cs="David" w:hint="cs"/>
          <w:b/>
          <w:bCs/>
          <w:sz w:val="24"/>
          <w:szCs w:val="24"/>
          <w:u w:val="single"/>
          <w:rtl/>
        </w:rPr>
        <w:t xml:space="preserve"> "על לידתה ומותה של עילת ה"חיים בעוולה"</w:t>
      </w:r>
    </w:p>
    <w:p w:rsidR="00483DDF" w:rsidRPr="00B57A8F" w:rsidRDefault="00483DDF" w:rsidP="006D6DD2">
      <w:pPr>
        <w:spacing w:after="0" w:line="360" w:lineRule="auto"/>
        <w:jc w:val="both"/>
        <w:rPr>
          <w:rFonts w:ascii="David" w:eastAsia="Calibri" w:hAnsi="David" w:cs="David" w:hint="default"/>
          <w:sz w:val="24"/>
          <w:szCs w:val="24"/>
          <w:rtl/>
          <w:lang w:val="en-GB"/>
        </w:rPr>
      </w:pPr>
    </w:p>
    <w:p w:rsidR="00657E13" w:rsidRPr="00B57A8F" w:rsidRDefault="00BE211D" w:rsidP="004643C2">
      <w:pPr>
        <w:spacing w:line="360" w:lineRule="auto"/>
        <w:jc w:val="both"/>
        <w:rPr>
          <w:rFonts w:ascii="David" w:hAnsi="David" w:cs="David" w:hint="default"/>
          <w:sz w:val="24"/>
          <w:szCs w:val="24"/>
          <w:rtl/>
        </w:rPr>
      </w:pPr>
      <w:r w:rsidRPr="00B57A8F">
        <w:rPr>
          <w:rFonts w:ascii="David" w:hAnsi="David" w:cs="David" w:hint="default"/>
          <w:sz w:val="24"/>
          <w:szCs w:val="24"/>
          <w:rtl/>
        </w:rPr>
        <w:t>"</w:t>
      </w:r>
      <w:r w:rsidR="008465AF" w:rsidRPr="00B57A8F">
        <w:rPr>
          <w:rFonts w:ascii="David" w:hAnsi="David" w:cs="David" w:hint="default"/>
          <w:sz w:val="24"/>
          <w:szCs w:val="24"/>
          <w:rtl/>
        </w:rPr>
        <w:t>נושא אדם מוגבלות מולדת כלשהי, ונטען כי התנהגות זהירה של הנתבעים שהם בדרך כלל הגורמים הרפואיים שטיפלו באם ההרה הייתה מונעת כליל את הולדתו, ובכך היה נמנע הסבל הכרוך בחייו עם מום.</w:t>
      </w:r>
      <w:r w:rsidRPr="00B57A8F">
        <w:rPr>
          <w:rFonts w:ascii="David" w:hAnsi="David" w:cs="David" w:hint="default"/>
          <w:sz w:val="24"/>
          <w:szCs w:val="24"/>
          <w:rtl/>
        </w:rPr>
        <w:t>"</w:t>
      </w:r>
      <w:r>
        <w:rPr>
          <w:rStyle w:val="a7"/>
          <w:rFonts w:ascii="David" w:hAnsi="David" w:cs="David" w:hint="default"/>
          <w:sz w:val="24"/>
          <w:szCs w:val="24"/>
        </w:rPr>
        <w:footnoteReference w:id="2"/>
      </w:r>
      <w:r w:rsidR="008465AF" w:rsidRPr="00B57A8F">
        <w:rPr>
          <w:rFonts w:ascii="David" w:hAnsi="David" w:cs="David" w:hint="default"/>
          <w:sz w:val="24"/>
          <w:szCs w:val="24"/>
          <w:rtl/>
        </w:rPr>
        <w:t xml:space="preserve"> </w:t>
      </w:r>
      <w:r w:rsidR="00B73CB7" w:rsidRPr="00B57A8F">
        <w:rPr>
          <w:rFonts w:ascii="David" w:hAnsi="David" w:cs="David" w:hint="default"/>
          <w:sz w:val="24"/>
          <w:szCs w:val="24"/>
          <w:rtl/>
        </w:rPr>
        <w:t xml:space="preserve">לפנינו עומדות שתי עילות תביעה </w:t>
      </w:r>
      <w:r w:rsidR="00AA5251" w:rsidRPr="00B57A8F">
        <w:rPr>
          <w:rFonts w:ascii="David" w:hAnsi="David" w:cs="David" w:hint="default"/>
          <w:sz w:val="24"/>
          <w:szCs w:val="24"/>
          <w:rtl/>
        </w:rPr>
        <w:t>אפשריות</w:t>
      </w:r>
      <w:r w:rsidR="00096518" w:rsidRPr="00B57A8F">
        <w:rPr>
          <w:rFonts w:ascii="David" w:hAnsi="David" w:cs="David" w:hint="default"/>
          <w:sz w:val="24"/>
          <w:szCs w:val="24"/>
          <w:rtl/>
        </w:rPr>
        <w:t xml:space="preserve"> האחת, עילת "הולדה בעוולה" (</w:t>
      </w:r>
      <w:r w:rsidR="00096518" w:rsidRPr="00B57A8F">
        <w:rPr>
          <w:rFonts w:ascii="David" w:hAnsi="David" w:cs="David" w:hint="default"/>
          <w:sz w:val="24"/>
          <w:szCs w:val="24"/>
        </w:rPr>
        <w:t>(wrongful birth</w:t>
      </w:r>
      <w:r w:rsidR="00096518" w:rsidRPr="00B57A8F">
        <w:rPr>
          <w:rFonts w:ascii="David" w:hAnsi="David" w:cs="David" w:hint="default"/>
          <w:sz w:val="24"/>
          <w:szCs w:val="24"/>
          <w:rtl/>
        </w:rPr>
        <w:t xml:space="preserve"> </w:t>
      </w:r>
      <w:r w:rsidR="00B73CB7" w:rsidRPr="00B57A8F">
        <w:rPr>
          <w:rFonts w:ascii="David" w:hAnsi="David" w:cs="David" w:hint="default"/>
          <w:sz w:val="24"/>
          <w:szCs w:val="24"/>
          <w:rtl/>
        </w:rPr>
        <w:t>שזוהי תביעתם של ההורים. השנייה, עילת "חיים בעוולה"</w:t>
      </w:r>
      <w:r w:rsidR="00096518" w:rsidRPr="00B57A8F">
        <w:rPr>
          <w:rFonts w:ascii="David" w:hAnsi="David" w:cs="David" w:hint="default"/>
          <w:sz w:val="24"/>
          <w:szCs w:val="24"/>
          <w:rtl/>
        </w:rPr>
        <w:t xml:space="preserve"> (</w:t>
      </w:r>
      <w:r w:rsidR="00096518" w:rsidRPr="00B57A8F">
        <w:rPr>
          <w:rFonts w:ascii="David" w:hAnsi="David" w:cs="David" w:hint="default"/>
          <w:sz w:val="24"/>
          <w:szCs w:val="24"/>
        </w:rPr>
        <w:t>wrongful life</w:t>
      </w:r>
      <w:r w:rsidR="00096518" w:rsidRPr="00B57A8F">
        <w:rPr>
          <w:rFonts w:ascii="David" w:hAnsi="David" w:cs="David" w:hint="default"/>
          <w:sz w:val="24"/>
          <w:szCs w:val="24"/>
          <w:rtl/>
        </w:rPr>
        <w:t>)</w:t>
      </w:r>
      <w:r w:rsidR="00B73CB7" w:rsidRPr="00B57A8F">
        <w:rPr>
          <w:rFonts w:ascii="David" w:hAnsi="David" w:cs="David" w:hint="default"/>
          <w:sz w:val="24"/>
          <w:szCs w:val="24"/>
          <w:rtl/>
        </w:rPr>
        <w:t xml:space="preserve"> שזו עילתו של הילד.</w:t>
      </w:r>
      <w:r>
        <w:rPr>
          <w:rStyle w:val="a7"/>
          <w:rFonts w:ascii="David" w:hAnsi="David" w:cs="David" w:hint="default"/>
          <w:sz w:val="24"/>
          <w:szCs w:val="24"/>
        </w:rPr>
        <w:footnoteReference w:id="3"/>
      </w:r>
      <w:r w:rsidR="00B73CB7" w:rsidRPr="00B57A8F">
        <w:rPr>
          <w:rFonts w:ascii="David" w:hAnsi="David" w:cs="David" w:hint="default"/>
          <w:sz w:val="24"/>
          <w:szCs w:val="24"/>
          <w:rtl/>
        </w:rPr>
        <w:t xml:space="preserve"> </w:t>
      </w:r>
      <w:r w:rsidR="0036330B" w:rsidRPr="00B57A8F">
        <w:rPr>
          <w:rFonts w:ascii="David" w:hAnsi="David" w:cs="David" w:hint="default"/>
          <w:sz w:val="24"/>
          <w:szCs w:val="24"/>
          <w:rtl/>
        </w:rPr>
        <w:t>באמצע שנות השמונים הגיע</w:t>
      </w:r>
      <w:r w:rsidR="005179C2" w:rsidRPr="00B57A8F">
        <w:rPr>
          <w:rFonts w:ascii="David" w:hAnsi="David" w:cs="David" w:hint="default"/>
          <w:sz w:val="24"/>
          <w:szCs w:val="24"/>
          <w:rtl/>
        </w:rPr>
        <w:t>ה</w:t>
      </w:r>
      <w:r w:rsidR="0036330B" w:rsidRPr="00B57A8F">
        <w:rPr>
          <w:rFonts w:ascii="David" w:hAnsi="David" w:cs="David" w:hint="default"/>
          <w:sz w:val="24"/>
          <w:szCs w:val="24"/>
          <w:rtl/>
        </w:rPr>
        <w:t xml:space="preserve"> לפתחו של </w:t>
      </w:r>
      <w:r w:rsidR="004643C2">
        <w:rPr>
          <w:rFonts w:ascii="David" w:hAnsi="David" w:cs="David" w:hint="cs"/>
          <w:sz w:val="24"/>
          <w:szCs w:val="24"/>
          <w:rtl/>
        </w:rPr>
        <w:t>ביהמ"ש</w:t>
      </w:r>
      <w:r w:rsidR="0036330B" w:rsidRPr="00B57A8F">
        <w:rPr>
          <w:rFonts w:ascii="David" w:hAnsi="David" w:cs="David" w:hint="default"/>
          <w:sz w:val="24"/>
          <w:szCs w:val="24"/>
          <w:rtl/>
        </w:rPr>
        <w:t xml:space="preserve"> העליון פרשת זייצוב,</w:t>
      </w:r>
      <w:r>
        <w:rPr>
          <w:rStyle w:val="a7"/>
          <w:rFonts w:ascii="David" w:hAnsi="David" w:cs="David" w:hint="default"/>
          <w:sz w:val="24"/>
          <w:szCs w:val="24"/>
        </w:rPr>
        <w:footnoteReference w:id="4"/>
      </w:r>
      <w:r w:rsidR="0036330B" w:rsidRPr="00B57A8F">
        <w:rPr>
          <w:rFonts w:ascii="David" w:hAnsi="David" w:cs="David" w:hint="default"/>
          <w:sz w:val="24"/>
          <w:szCs w:val="24"/>
          <w:rtl/>
        </w:rPr>
        <w:t xml:space="preserve"> </w:t>
      </w:r>
      <w:r w:rsidR="00630447" w:rsidRPr="00B57A8F">
        <w:rPr>
          <w:rFonts w:ascii="David" w:hAnsi="David" w:cs="David" w:hint="cs"/>
          <w:sz w:val="24"/>
          <w:szCs w:val="24"/>
          <w:rtl/>
        </w:rPr>
        <w:t xml:space="preserve">שבה </w:t>
      </w:r>
      <w:r w:rsidR="0036330B" w:rsidRPr="00B57A8F">
        <w:rPr>
          <w:rFonts w:ascii="David" w:hAnsi="David" w:cs="David" w:hint="default"/>
          <w:sz w:val="24"/>
          <w:szCs w:val="24"/>
          <w:rtl/>
        </w:rPr>
        <w:t xml:space="preserve">ברוב של ארבעה שופטים מתוך חמישה </w:t>
      </w:r>
      <w:r w:rsidR="00630447" w:rsidRPr="00B57A8F">
        <w:rPr>
          <w:rFonts w:ascii="David" w:hAnsi="David" w:cs="David" w:hint="cs"/>
          <w:sz w:val="24"/>
          <w:szCs w:val="24"/>
          <w:rtl/>
        </w:rPr>
        <w:t>נקבע</w:t>
      </w:r>
      <w:r w:rsidR="0036330B" w:rsidRPr="00B57A8F">
        <w:rPr>
          <w:rFonts w:ascii="David" w:hAnsi="David" w:cs="David" w:hint="default"/>
          <w:sz w:val="24"/>
          <w:szCs w:val="24"/>
          <w:rtl/>
        </w:rPr>
        <w:t xml:space="preserve"> כי יש לקטין עילת תביעה נגד מי שבהתרשלותו </w:t>
      </w:r>
      <w:r w:rsidR="00F53756">
        <w:rPr>
          <w:rFonts w:ascii="David" w:hAnsi="David" w:cs="David" w:hint="cs"/>
          <w:sz w:val="24"/>
          <w:szCs w:val="24"/>
          <w:rtl/>
        </w:rPr>
        <w:t xml:space="preserve">גרם </w:t>
      </w:r>
      <w:r w:rsidR="00630447" w:rsidRPr="00B57A8F">
        <w:rPr>
          <w:rFonts w:ascii="David" w:hAnsi="David" w:cs="David" w:hint="cs"/>
          <w:sz w:val="24"/>
          <w:szCs w:val="24"/>
          <w:rtl/>
        </w:rPr>
        <w:t>להיוולדו</w:t>
      </w:r>
      <w:r w:rsidR="00C95C57" w:rsidRPr="00B57A8F">
        <w:rPr>
          <w:rFonts w:ascii="David" w:hAnsi="David" w:cs="David" w:hint="default"/>
          <w:sz w:val="24"/>
          <w:szCs w:val="24"/>
          <w:rtl/>
        </w:rPr>
        <w:t>.</w:t>
      </w:r>
      <w:r>
        <w:rPr>
          <w:rStyle w:val="a7"/>
          <w:rFonts w:ascii="David" w:hAnsi="David" w:cs="David" w:hint="default"/>
          <w:sz w:val="24"/>
          <w:szCs w:val="24"/>
        </w:rPr>
        <w:footnoteReference w:id="5"/>
      </w:r>
      <w:r w:rsidR="00DC0680" w:rsidRPr="00B57A8F">
        <w:rPr>
          <w:rFonts w:ascii="David" w:hAnsi="David" w:cs="David" w:hint="default"/>
          <w:sz w:val="24"/>
          <w:szCs w:val="24"/>
          <w:rtl/>
        </w:rPr>
        <w:t xml:space="preserve"> </w:t>
      </w:r>
      <w:r w:rsidR="005214EA" w:rsidRPr="00B57A8F">
        <w:rPr>
          <w:rFonts w:ascii="David" w:hAnsi="David" w:cs="David" w:hint="default"/>
          <w:sz w:val="24"/>
          <w:szCs w:val="24"/>
          <w:rtl/>
        </w:rPr>
        <w:t>זאת, על אף שנפלה מחלוקת בין השופטים באשר לנס</w:t>
      </w:r>
      <w:r w:rsidR="00CD33F2" w:rsidRPr="00B57A8F">
        <w:rPr>
          <w:rFonts w:ascii="David" w:hAnsi="David" w:cs="David" w:hint="default"/>
          <w:sz w:val="24"/>
          <w:szCs w:val="24"/>
          <w:rtl/>
        </w:rPr>
        <w:t>יבות בה</w:t>
      </w:r>
      <w:r w:rsidR="00CD33F2" w:rsidRPr="00B57A8F">
        <w:rPr>
          <w:rFonts w:ascii="David" w:hAnsi="David" w:cs="David" w:hint="cs"/>
          <w:sz w:val="24"/>
          <w:szCs w:val="24"/>
          <w:rtl/>
        </w:rPr>
        <w:t>ן</w:t>
      </w:r>
      <w:r w:rsidR="005214EA" w:rsidRPr="00B57A8F">
        <w:rPr>
          <w:rFonts w:ascii="David" w:hAnsi="David" w:cs="David" w:hint="default"/>
          <w:sz w:val="24"/>
          <w:szCs w:val="24"/>
          <w:rtl/>
        </w:rPr>
        <w:t xml:space="preserve"> יתאפשר לתבוע. בפסק דין </w:t>
      </w:r>
      <w:r w:rsidR="005179C2" w:rsidRPr="00B57A8F">
        <w:rPr>
          <w:rFonts w:ascii="David" w:hAnsi="David" w:cs="David" w:hint="default"/>
          <w:sz w:val="24"/>
          <w:szCs w:val="24"/>
          <w:rtl/>
        </w:rPr>
        <w:t xml:space="preserve">המר </w:t>
      </w:r>
      <w:r w:rsidR="005214EA" w:rsidRPr="00B57A8F">
        <w:rPr>
          <w:rFonts w:ascii="David" w:hAnsi="David" w:cs="David" w:hint="default"/>
          <w:sz w:val="24"/>
          <w:szCs w:val="24"/>
          <w:rtl/>
        </w:rPr>
        <w:t>שניתן 26 שנים לאחר מכן</w:t>
      </w:r>
      <w:r w:rsidR="00DC0680" w:rsidRPr="00B57A8F">
        <w:rPr>
          <w:rFonts w:ascii="David" w:hAnsi="David" w:cs="David" w:hint="default"/>
          <w:sz w:val="24"/>
          <w:szCs w:val="24"/>
          <w:rtl/>
        </w:rPr>
        <w:t>, בשנת 2012</w:t>
      </w:r>
      <w:r w:rsidR="00CD33F2" w:rsidRPr="00B57A8F">
        <w:rPr>
          <w:rFonts w:ascii="David" w:hAnsi="David" w:cs="David" w:hint="cs"/>
          <w:sz w:val="24"/>
          <w:szCs w:val="24"/>
          <w:rtl/>
        </w:rPr>
        <w:t>,</w:t>
      </w:r>
      <w:r w:rsidR="00DC0680" w:rsidRPr="00B57A8F">
        <w:rPr>
          <w:rFonts w:ascii="David" w:hAnsi="David" w:cs="David" w:hint="default"/>
          <w:sz w:val="24"/>
          <w:szCs w:val="24"/>
          <w:rtl/>
        </w:rPr>
        <w:t xml:space="preserve"> </w:t>
      </w:r>
      <w:r w:rsidR="005179C2" w:rsidRPr="00B57A8F">
        <w:rPr>
          <w:rFonts w:ascii="David" w:hAnsi="David" w:cs="David" w:hint="default"/>
          <w:sz w:val="24"/>
          <w:szCs w:val="24"/>
          <w:rtl/>
        </w:rPr>
        <w:t xml:space="preserve">הפך </w:t>
      </w:r>
      <w:r w:rsidR="004643C2">
        <w:rPr>
          <w:rFonts w:ascii="David" w:hAnsi="David" w:cs="David" w:hint="cs"/>
          <w:sz w:val="24"/>
          <w:szCs w:val="24"/>
          <w:rtl/>
        </w:rPr>
        <w:t>ביהמ"ש</w:t>
      </w:r>
      <w:r w:rsidR="005179C2" w:rsidRPr="00B57A8F">
        <w:rPr>
          <w:rFonts w:ascii="David" w:hAnsi="David" w:cs="David" w:hint="default"/>
          <w:sz w:val="24"/>
          <w:szCs w:val="24"/>
          <w:rtl/>
        </w:rPr>
        <w:t xml:space="preserve"> העליון את </w:t>
      </w:r>
      <w:r w:rsidR="00DC0680" w:rsidRPr="00B57A8F">
        <w:rPr>
          <w:rFonts w:ascii="David" w:hAnsi="David" w:cs="David" w:hint="default"/>
          <w:sz w:val="24"/>
          <w:szCs w:val="24"/>
          <w:rtl/>
        </w:rPr>
        <w:t>ההלכה</w:t>
      </w:r>
      <w:r w:rsidR="005179C2" w:rsidRPr="00B57A8F">
        <w:rPr>
          <w:rFonts w:ascii="David" w:hAnsi="David" w:cs="David" w:hint="default"/>
          <w:sz w:val="24"/>
          <w:szCs w:val="24"/>
          <w:rtl/>
        </w:rPr>
        <w:t xml:space="preserve"> </w:t>
      </w:r>
      <w:r w:rsidR="005214EA" w:rsidRPr="00B57A8F">
        <w:rPr>
          <w:rFonts w:ascii="David" w:hAnsi="David" w:cs="David" w:hint="default"/>
          <w:sz w:val="24"/>
          <w:szCs w:val="24"/>
          <w:rtl/>
        </w:rPr>
        <w:t>בהרכב של שבעה שופטים</w:t>
      </w:r>
      <w:r w:rsidR="00CD33F2" w:rsidRPr="00B57A8F">
        <w:rPr>
          <w:rFonts w:ascii="David" w:hAnsi="David" w:cs="David" w:hint="cs"/>
          <w:sz w:val="24"/>
          <w:szCs w:val="24"/>
          <w:rtl/>
        </w:rPr>
        <w:t>. בפסק דין זה</w:t>
      </w:r>
      <w:r w:rsidR="005214EA" w:rsidRPr="00B57A8F">
        <w:rPr>
          <w:rFonts w:ascii="David" w:hAnsi="David" w:cs="David" w:hint="default"/>
          <w:sz w:val="24"/>
          <w:szCs w:val="24"/>
          <w:rtl/>
        </w:rPr>
        <w:t xml:space="preserve"> הוחלט לחרוג מהלכת זייצוב, </w:t>
      </w:r>
      <w:r w:rsidR="00CD33F2" w:rsidRPr="00B57A8F">
        <w:rPr>
          <w:rFonts w:ascii="David" w:hAnsi="David" w:cs="David" w:hint="cs"/>
          <w:sz w:val="24"/>
          <w:szCs w:val="24"/>
          <w:rtl/>
        </w:rPr>
        <w:t>ו</w:t>
      </w:r>
      <w:r w:rsidR="005214EA" w:rsidRPr="00B57A8F">
        <w:rPr>
          <w:rFonts w:ascii="David" w:hAnsi="David" w:cs="David" w:hint="default"/>
          <w:sz w:val="24"/>
          <w:szCs w:val="24"/>
          <w:rtl/>
        </w:rPr>
        <w:t xml:space="preserve">בכך </w:t>
      </w:r>
      <w:r w:rsidR="00DC0680" w:rsidRPr="00B57A8F">
        <w:rPr>
          <w:rFonts w:ascii="David" w:hAnsi="David" w:cs="David" w:hint="default"/>
          <w:sz w:val="24"/>
          <w:szCs w:val="24"/>
          <w:rtl/>
        </w:rPr>
        <w:t>בוטלה עילת תביעתו של הילד.</w:t>
      </w:r>
      <w:r>
        <w:rPr>
          <w:rStyle w:val="a7"/>
          <w:rFonts w:ascii="David" w:hAnsi="David" w:cs="David" w:hint="default"/>
          <w:sz w:val="24"/>
          <w:szCs w:val="24"/>
        </w:rPr>
        <w:footnoteReference w:id="6"/>
      </w:r>
      <w:r w:rsidR="00DC0680" w:rsidRPr="00B57A8F">
        <w:rPr>
          <w:rFonts w:ascii="David" w:hAnsi="David" w:cs="David" w:hint="default"/>
          <w:sz w:val="24"/>
          <w:szCs w:val="24"/>
          <w:rtl/>
        </w:rPr>
        <w:t xml:space="preserve"> </w:t>
      </w:r>
      <w:r w:rsidR="004643C2">
        <w:rPr>
          <w:rFonts w:ascii="David" w:hAnsi="David" w:cs="David" w:hint="cs"/>
          <w:sz w:val="24"/>
          <w:szCs w:val="24"/>
          <w:rtl/>
        </w:rPr>
        <w:t>ביהמ"ש</w:t>
      </w:r>
      <w:r w:rsidR="00C96A54" w:rsidRPr="00B57A8F">
        <w:rPr>
          <w:rFonts w:ascii="David" w:hAnsi="David" w:cs="David" w:hint="default"/>
          <w:sz w:val="24"/>
          <w:szCs w:val="24"/>
          <w:rtl/>
        </w:rPr>
        <w:t xml:space="preserve"> העליון היה מודע לעובדה שיש לשמור על האינטרס של היילוד ועל ההוצאות הכרוכות בגידולו ובבגרותו, אך הוסיף נזקים </w:t>
      </w:r>
      <w:r w:rsidR="00CD33F2" w:rsidRPr="00B57A8F">
        <w:rPr>
          <w:rFonts w:ascii="David" w:hAnsi="David" w:cs="David" w:hint="cs"/>
          <w:sz w:val="24"/>
          <w:szCs w:val="24"/>
          <w:rtl/>
        </w:rPr>
        <w:t>אלה</w:t>
      </w:r>
      <w:r w:rsidR="00C96A54" w:rsidRPr="00B57A8F">
        <w:rPr>
          <w:rFonts w:ascii="David" w:hAnsi="David" w:cs="David" w:hint="default"/>
          <w:sz w:val="24"/>
          <w:szCs w:val="24"/>
          <w:rtl/>
        </w:rPr>
        <w:t xml:space="preserve"> לתביעתם של ההורים, </w:t>
      </w:r>
      <w:r w:rsidR="005E04CB" w:rsidRPr="00B57A8F">
        <w:rPr>
          <w:rFonts w:ascii="David" w:hAnsi="David" w:cs="David" w:hint="default"/>
          <w:sz w:val="24"/>
          <w:szCs w:val="24"/>
          <w:rtl/>
        </w:rPr>
        <w:t>ל</w:t>
      </w:r>
      <w:r w:rsidR="00CD33F2" w:rsidRPr="00B57A8F">
        <w:rPr>
          <w:rFonts w:ascii="David" w:hAnsi="David" w:cs="David" w:hint="default"/>
          <w:sz w:val="24"/>
          <w:szCs w:val="24"/>
          <w:rtl/>
        </w:rPr>
        <w:t>עיל</w:t>
      </w:r>
      <w:r w:rsidR="00CD33F2" w:rsidRPr="00B57A8F">
        <w:rPr>
          <w:rFonts w:ascii="David" w:hAnsi="David" w:cs="David" w:hint="cs"/>
          <w:sz w:val="24"/>
          <w:szCs w:val="24"/>
          <w:rtl/>
        </w:rPr>
        <w:t>ה האמורה של</w:t>
      </w:r>
      <w:r w:rsidR="00C96A54" w:rsidRPr="00B57A8F">
        <w:rPr>
          <w:rFonts w:ascii="David" w:hAnsi="David" w:cs="David" w:hint="default"/>
          <w:sz w:val="24"/>
          <w:szCs w:val="24"/>
          <w:rtl/>
        </w:rPr>
        <w:t xml:space="preserve"> "ההולדה בעוולה".</w:t>
      </w:r>
      <w:r>
        <w:rPr>
          <w:rStyle w:val="a7"/>
          <w:rFonts w:ascii="David" w:hAnsi="David" w:cs="David" w:hint="default"/>
          <w:sz w:val="24"/>
          <w:szCs w:val="24"/>
        </w:rPr>
        <w:footnoteReference w:id="7"/>
      </w:r>
      <w:r w:rsidR="00C96A54" w:rsidRPr="00B57A8F">
        <w:rPr>
          <w:rFonts w:ascii="David" w:hAnsi="David" w:cs="David" w:hint="default"/>
          <w:sz w:val="24"/>
          <w:szCs w:val="24"/>
          <w:rtl/>
        </w:rPr>
        <w:t xml:space="preserve"> </w:t>
      </w:r>
      <w:r w:rsidR="00DC0680" w:rsidRPr="00B57A8F">
        <w:rPr>
          <w:rFonts w:ascii="David" w:hAnsi="David" w:cs="David" w:hint="default"/>
          <w:sz w:val="24"/>
          <w:szCs w:val="24"/>
          <w:rtl/>
        </w:rPr>
        <w:t xml:space="preserve">יש לומר כי שאלות </w:t>
      </w:r>
      <w:r w:rsidR="00CA5369" w:rsidRPr="00B57A8F">
        <w:rPr>
          <w:rFonts w:ascii="David" w:hAnsi="David" w:cs="David" w:hint="cs"/>
          <w:sz w:val="24"/>
          <w:szCs w:val="24"/>
          <w:rtl/>
        </w:rPr>
        <w:t>מעין</w:t>
      </w:r>
      <w:r w:rsidR="00CA5369" w:rsidRPr="00B57A8F">
        <w:rPr>
          <w:rFonts w:ascii="David" w:hAnsi="David" w:cs="David" w:hint="default"/>
          <w:sz w:val="24"/>
          <w:szCs w:val="24"/>
          <w:rtl/>
        </w:rPr>
        <w:t xml:space="preserve"> אל</w:t>
      </w:r>
      <w:r w:rsidR="00CA5369" w:rsidRPr="00B57A8F">
        <w:rPr>
          <w:rFonts w:ascii="David" w:hAnsi="David" w:cs="David" w:hint="cs"/>
          <w:sz w:val="24"/>
          <w:szCs w:val="24"/>
          <w:rtl/>
        </w:rPr>
        <w:t>ה</w:t>
      </w:r>
      <w:r w:rsidR="00DC0680" w:rsidRPr="00B57A8F">
        <w:rPr>
          <w:rFonts w:ascii="David" w:hAnsi="David" w:cs="David" w:hint="default"/>
          <w:sz w:val="24"/>
          <w:szCs w:val="24"/>
          <w:rtl/>
        </w:rPr>
        <w:t xml:space="preserve"> </w:t>
      </w:r>
      <w:r w:rsidR="002A5C67" w:rsidRPr="00B57A8F">
        <w:rPr>
          <w:rFonts w:ascii="David" w:hAnsi="David" w:cs="David" w:hint="default"/>
          <w:sz w:val="24"/>
          <w:szCs w:val="24"/>
          <w:rtl/>
        </w:rPr>
        <w:t xml:space="preserve">אשר </w:t>
      </w:r>
      <w:r w:rsidR="00DC0680" w:rsidRPr="00B57A8F">
        <w:rPr>
          <w:rFonts w:ascii="David" w:hAnsi="David" w:cs="David" w:hint="default"/>
          <w:sz w:val="24"/>
          <w:szCs w:val="24"/>
          <w:rtl/>
        </w:rPr>
        <w:t xml:space="preserve">הגיעו לפתחו של </w:t>
      </w:r>
      <w:r w:rsidR="004643C2">
        <w:rPr>
          <w:rFonts w:ascii="David" w:hAnsi="David" w:cs="David" w:hint="cs"/>
          <w:sz w:val="24"/>
          <w:szCs w:val="24"/>
          <w:rtl/>
        </w:rPr>
        <w:t xml:space="preserve">ביהמ"ש </w:t>
      </w:r>
      <w:r w:rsidR="00DC0680" w:rsidRPr="00B57A8F">
        <w:rPr>
          <w:rFonts w:ascii="David" w:hAnsi="David" w:cs="David" w:hint="default"/>
          <w:sz w:val="24"/>
          <w:szCs w:val="24"/>
          <w:rtl/>
        </w:rPr>
        <w:t xml:space="preserve">העליון היו שאלות פילוסופיות – </w:t>
      </w:r>
      <w:r w:rsidR="00CA5369" w:rsidRPr="00B57A8F">
        <w:rPr>
          <w:rFonts w:ascii="David" w:hAnsi="David" w:cs="David" w:hint="cs"/>
          <w:sz w:val="24"/>
          <w:szCs w:val="24"/>
          <w:rtl/>
        </w:rPr>
        <w:t xml:space="preserve">שאלת </w:t>
      </w:r>
      <w:r w:rsidR="00DC0680" w:rsidRPr="00B57A8F">
        <w:rPr>
          <w:rFonts w:ascii="David" w:hAnsi="David" w:cs="David" w:hint="default"/>
          <w:sz w:val="24"/>
          <w:szCs w:val="24"/>
          <w:rtl/>
        </w:rPr>
        <w:t xml:space="preserve">מוסריות </w:t>
      </w:r>
      <w:r w:rsidR="002A5C67" w:rsidRPr="00B57A8F">
        <w:rPr>
          <w:rFonts w:ascii="David" w:hAnsi="David" w:cs="David" w:hint="default"/>
          <w:sz w:val="24"/>
          <w:szCs w:val="24"/>
          <w:rtl/>
        </w:rPr>
        <w:t>לצד</w:t>
      </w:r>
      <w:r w:rsidR="00DC0680" w:rsidRPr="00B57A8F">
        <w:rPr>
          <w:rFonts w:ascii="David" w:hAnsi="David" w:cs="David" w:hint="default"/>
          <w:sz w:val="24"/>
          <w:szCs w:val="24"/>
          <w:rtl/>
        </w:rPr>
        <w:t xml:space="preserve"> </w:t>
      </w:r>
      <w:r w:rsidR="002A5C67" w:rsidRPr="00B57A8F">
        <w:rPr>
          <w:rFonts w:ascii="David" w:hAnsi="David" w:cs="David" w:hint="default"/>
          <w:sz w:val="24"/>
          <w:szCs w:val="24"/>
          <w:rtl/>
        </w:rPr>
        <w:t>שאלות</w:t>
      </w:r>
      <w:r w:rsidR="00DC0680" w:rsidRPr="00B57A8F">
        <w:rPr>
          <w:rFonts w:ascii="David" w:hAnsi="David" w:cs="David" w:hint="default"/>
          <w:sz w:val="24"/>
          <w:szCs w:val="24"/>
          <w:rtl/>
        </w:rPr>
        <w:t xml:space="preserve"> משפטיו</w:t>
      </w:r>
      <w:r w:rsidR="00CA5369" w:rsidRPr="00B57A8F">
        <w:rPr>
          <w:rFonts w:ascii="David" w:hAnsi="David" w:cs="David" w:hint="default"/>
          <w:sz w:val="24"/>
          <w:szCs w:val="24"/>
          <w:rtl/>
        </w:rPr>
        <w:t>ת</w:t>
      </w:r>
      <w:r w:rsidR="00CA5369" w:rsidRPr="00B57A8F">
        <w:rPr>
          <w:rFonts w:ascii="David" w:hAnsi="David" w:cs="David" w:hint="cs"/>
          <w:sz w:val="24"/>
          <w:szCs w:val="24"/>
          <w:rtl/>
        </w:rPr>
        <w:t>.</w:t>
      </w:r>
      <w:r w:rsidR="005179C2" w:rsidRPr="00B57A8F">
        <w:rPr>
          <w:rFonts w:ascii="David" w:hAnsi="David" w:cs="David" w:hint="default"/>
          <w:sz w:val="24"/>
          <w:szCs w:val="24"/>
          <w:rtl/>
        </w:rPr>
        <w:t xml:space="preserve"> </w:t>
      </w:r>
      <w:r w:rsidR="004643C2">
        <w:rPr>
          <w:rFonts w:ascii="David" w:hAnsi="David" w:cs="David" w:hint="cs"/>
          <w:sz w:val="24"/>
          <w:szCs w:val="24"/>
          <w:rtl/>
        </w:rPr>
        <w:t>ביהמ"ש</w:t>
      </w:r>
      <w:r w:rsidR="001917DD" w:rsidRPr="00B57A8F">
        <w:rPr>
          <w:rFonts w:ascii="David" w:hAnsi="David" w:cs="David" w:hint="default"/>
          <w:sz w:val="24"/>
          <w:szCs w:val="24"/>
          <w:rtl/>
        </w:rPr>
        <w:t xml:space="preserve"> נדרש להכרי</w:t>
      </w:r>
      <w:r w:rsidR="0092278D" w:rsidRPr="00B57A8F">
        <w:rPr>
          <w:rFonts w:ascii="David" w:hAnsi="David" w:cs="David" w:hint="default"/>
          <w:sz w:val="24"/>
          <w:szCs w:val="24"/>
          <w:rtl/>
        </w:rPr>
        <w:t xml:space="preserve">ע בשאלות סבוכות, בשיקולי תועלת אל מול </w:t>
      </w:r>
      <w:r w:rsidR="001917DD" w:rsidRPr="00B57A8F">
        <w:rPr>
          <w:rFonts w:ascii="David" w:hAnsi="David" w:cs="David" w:hint="default"/>
          <w:sz w:val="24"/>
          <w:szCs w:val="24"/>
          <w:rtl/>
        </w:rPr>
        <w:t xml:space="preserve">נזק וכיו"ב. שאלות </w:t>
      </w:r>
      <w:r w:rsidR="00011C60" w:rsidRPr="00B57A8F">
        <w:rPr>
          <w:rFonts w:ascii="David" w:hAnsi="David" w:cs="David" w:hint="default"/>
          <w:sz w:val="24"/>
          <w:szCs w:val="24"/>
          <w:rtl/>
        </w:rPr>
        <w:t>מסוג:</w:t>
      </w:r>
      <w:r w:rsidR="001917DD" w:rsidRPr="00B57A8F">
        <w:rPr>
          <w:rFonts w:ascii="David" w:hAnsi="David" w:cs="David" w:hint="default"/>
          <w:sz w:val="24"/>
          <w:szCs w:val="24"/>
          <w:rtl/>
        </w:rPr>
        <w:t xml:space="preserve"> האם נכון לשלול מהילד פיצוי משום שלא ניתן להחזיר את ה</w:t>
      </w:r>
      <w:r w:rsidR="0092278D" w:rsidRPr="00B57A8F">
        <w:rPr>
          <w:rFonts w:ascii="David" w:hAnsi="David" w:cs="David" w:hint="default"/>
          <w:sz w:val="24"/>
          <w:szCs w:val="24"/>
          <w:rtl/>
        </w:rPr>
        <w:t xml:space="preserve">מצב לקדמותו? האם הפגיעה בעילתו </w:t>
      </w:r>
      <w:r w:rsidR="001917DD" w:rsidRPr="00B57A8F">
        <w:rPr>
          <w:rFonts w:ascii="David" w:hAnsi="David" w:cs="David" w:hint="default"/>
          <w:sz w:val="24"/>
          <w:szCs w:val="24"/>
          <w:rtl/>
        </w:rPr>
        <w:t>"חיים בעוולה" פוגעת בכבוד הנכים ובחוק יסוד: כבוד האדם וחירותו?</w:t>
      </w:r>
      <w:r w:rsidR="00CA5369" w:rsidRPr="00B57A8F">
        <w:rPr>
          <w:rFonts w:ascii="David" w:hAnsi="David" w:cs="David" w:hint="default"/>
          <w:sz w:val="24"/>
          <w:szCs w:val="24"/>
          <w:rtl/>
        </w:rPr>
        <w:t xml:space="preserve"> שאלות אל</w:t>
      </w:r>
      <w:r w:rsidR="00CA5369" w:rsidRPr="00B57A8F">
        <w:rPr>
          <w:rFonts w:ascii="David" w:hAnsi="David" w:cs="David" w:hint="cs"/>
          <w:sz w:val="24"/>
          <w:szCs w:val="24"/>
          <w:rtl/>
        </w:rPr>
        <w:t xml:space="preserve">ה </w:t>
      </w:r>
      <w:r w:rsidR="0074441C" w:rsidRPr="00B57A8F">
        <w:rPr>
          <w:rFonts w:ascii="David" w:hAnsi="David" w:cs="David" w:hint="default"/>
          <w:sz w:val="24"/>
          <w:szCs w:val="24"/>
          <w:rtl/>
        </w:rPr>
        <w:t xml:space="preserve">הועלו לא פעם בפסיקה ובספרות, אולם אינני מתכוונת להשיב עליהן </w:t>
      </w:r>
      <w:r w:rsidR="00D24B39" w:rsidRPr="00B57A8F">
        <w:rPr>
          <w:rFonts w:ascii="David" w:hAnsi="David" w:cs="David" w:hint="cs"/>
          <w:sz w:val="24"/>
          <w:szCs w:val="24"/>
          <w:rtl/>
        </w:rPr>
        <w:t>הגם ש</w:t>
      </w:r>
      <w:r w:rsidR="0074441C" w:rsidRPr="00B57A8F">
        <w:rPr>
          <w:rFonts w:ascii="David" w:hAnsi="David" w:cs="David" w:hint="default"/>
          <w:sz w:val="24"/>
          <w:szCs w:val="24"/>
          <w:rtl/>
        </w:rPr>
        <w:t xml:space="preserve">מדובר בשאלות מעניינות. </w:t>
      </w:r>
      <w:r w:rsidR="001917DD" w:rsidRPr="00B57A8F">
        <w:rPr>
          <w:rFonts w:ascii="David" w:hAnsi="David" w:cs="David" w:hint="default"/>
          <w:sz w:val="24"/>
          <w:szCs w:val="24"/>
          <w:rtl/>
        </w:rPr>
        <w:t xml:space="preserve">בפרק זה </w:t>
      </w:r>
      <w:r w:rsidR="0074441C" w:rsidRPr="00B57A8F">
        <w:rPr>
          <w:rFonts w:ascii="David" w:hAnsi="David" w:cs="David" w:hint="default"/>
          <w:sz w:val="24"/>
          <w:szCs w:val="24"/>
          <w:rtl/>
        </w:rPr>
        <w:t>אדון</w:t>
      </w:r>
      <w:r w:rsidR="001917DD" w:rsidRPr="00B57A8F">
        <w:rPr>
          <w:rFonts w:ascii="David" w:hAnsi="David" w:cs="David" w:hint="default"/>
          <w:sz w:val="24"/>
          <w:szCs w:val="24"/>
          <w:rtl/>
        </w:rPr>
        <w:t xml:space="preserve"> בפרשות</w:t>
      </w:r>
      <w:r w:rsidR="0074441C" w:rsidRPr="00B57A8F">
        <w:rPr>
          <w:rFonts w:ascii="David" w:hAnsi="David" w:cs="David" w:hint="default"/>
          <w:sz w:val="24"/>
          <w:szCs w:val="24"/>
          <w:rtl/>
        </w:rPr>
        <w:t xml:space="preserve"> זייצוב והמר</w:t>
      </w:r>
      <w:r w:rsidR="00D24B39" w:rsidRPr="00B57A8F">
        <w:rPr>
          <w:rFonts w:ascii="David" w:hAnsi="David" w:cs="David" w:hint="default"/>
          <w:sz w:val="24"/>
          <w:szCs w:val="24"/>
          <w:rtl/>
        </w:rPr>
        <w:t>, השתלשלות</w:t>
      </w:r>
      <w:r w:rsidR="00D24B39" w:rsidRPr="00B57A8F">
        <w:rPr>
          <w:rFonts w:ascii="David" w:hAnsi="David" w:cs="David" w:hint="cs"/>
          <w:sz w:val="24"/>
          <w:szCs w:val="24"/>
          <w:rtl/>
        </w:rPr>
        <w:t>ן</w:t>
      </w:r>
      <w:r w:rsidR="001917DD" w:rsidRPr="00B57A8F">
        <w:rPr>
          <w:rFonts w:ascii="David" w:hAnsi="David" w:cs="David" w:hint="default"/>
          <w:sz w:val="24"/>
          <w:szCs w:val="24"/>
          <w:rtl/>
        </w:rPr>
        <w:t xml:space="preserve"> והמצב </w:t>
      </w:r>
      <w:r w:rsidR="00011C60" w:rsidRPr="00B57A8F">
        <w:rPr>
          <w:rFonts w:ascii="David" w:hAnsi="David" w:cs="David" w:hint="default"/>
          <w:sz w:val="24"/>
          <w:szCs w:val="24"/>
          <w:rtl/>
        </w:rPr>
        <w:t>המשפטי הקיים</w:t>
      </w:r>
      <w:r w:rsidR="001917DD" w:rsidRPr="00B57A8F">
        <w:rPr>
          <w:rFonts w:ascii="David" w:hAnsi="David" w:cs="David" w:hint="default"/>
          <w:sz w:val="24"/>
          <w:szCs w:val="24"/>
          <w:rtl/>
        </w:rPr>
        <w:t xml:space="preserve"> </w:t>
      </w:r>
      <w:r w:rsidR="00011C60" w:rsidRPr="00B57A8F">
        <w:rPr>
          <w:rFonts w:ascii="David" w:hAnsi="David" w:cs="David" w:hint="default"/>
          <w:sz w:val="24"/>
          <w:szCs w:val="24"/>
          <w:rtl/>
        </w:rPr>
        <w:t>היום</w:t>
      </w:r>
      <w:r w:rsidR="001917DD" w:rsidRPr="00B57A8F">
        <w:rPr>
          <w:rFonts w:ascii="David" w:hAnsi="David" w:cs="David" w:hint="default"/>
          <w:sz w:val="24"/>
          <w:szCs w:val="24"/>
          <w:rtl/>
        </w:rPr>
        <w:t xml:space="preserve">. </w:t>
      </w:r>
    </w:p>
    <w:p w:rsidR="00DD34E9" w:rsidRPr="00B57A8F" w:rsidRDefault="00BE211D" w:rsidP="002A5C67">
      <w:pPr>
        <w:spacing w:line="360" w:lineRule="auto"/>
        <w:jc w:val="both"/>
        <w:rPr>
          <w:rFonts w:ascii="David" w:hAnsi="David" w:cs="David" w:hint="default"/>
          <w:b/>
          <w:bCs/>
          <w:sz w:val="24"/>
          <w:szCs w:val="24"/>
          <w:u w:val="single"/>
        </w:rPr>
      </w:pPr>
      <w:r w:rsidRPr="00B57A8F">
        <w:rPr>
          <w:rFonts w:ascii="David" w:hAnsi="David" w:cs="David" w:hint="cs"/>
          <w:b/>
          <w:bCs/>
          <w:sz w:val="24"/>
          <w:szCs w:val="24"/>
          <w:u w:val="single"/>
          <w:rtl/>
        </w:rPr>
        <w:t xml:space="preserve">א1. </w:t>
      </w:r>
      <w:r w:rsidR="00F91604" w:rsidRPr="00B57A8F">
        <w:rPr>
          <w:rFonts w:ascii="David" w:hAnsi="David" w:cs="David" w:hint="default"/>
          <w:b/>
          <w:bCs/>
          <w:sz w:val="24"/>
          <w:szCs w:val="24"/>
          <w:u w:val="single"/>
          <w:rtl/>
        </w:rPr>
        <w:t xml:space="preserve">תיאור עילת "חיים בעוולה" </w:t>
      </w:r>
      <w:r w:rsidR="00F91604" w:rsidRPr="00B57A8F">
        <w:rPr>
          <w:rFonts w:ascii="David" w:hAnsi="David" w:cs="David" w:hint="default"/>
          <w:b/>
          <w:bCs/>
          <w:sz w:val="24"/>
          <w:szCs w:val="24"/>
          <w:u w:val="single"/>
        </w:rPr>
        <w:t>–</w:t>
      </w:r>
      <w:r w:rsidR="00F91604" w:rsidRPr="00B57A8F">
        <w:rPr>
          <w:rFonts w:ascii="David" w:hAnsi="David" w:cs="David" w:hint="default"/>
          <w:b/>
          <w:bCs/>
          <w:sz w:val="24"/>
          <w:szCs w:val="24"/>
          <w:u w:val="single"/>
          <w:rtl/>
        </w:rPr>
        <w:t xml:space="preserve"> </w:t>
      </w:r>
      <w:r w:rsidR="00F91604" w:rsidRPr="00B57A8F">
        <w:rPr>
          <w:rFonts w:ascii="David" w:hAnsi="David" w:cs="David" w:hint="default"/>
          <w:b/>
          <w:bCs/>
          <w:sz w:val="24"/>
          <w:szCs w:val="24"/>
          <w:u w:val="single"/>
        </w:rPr>
        <w:t>wrongful life</w:t>
      </w:r>
    </w:p>
    <w:p w:rsidR="00E773EF" w:rsidRPr="00B57A8F" w:rsidRDefault="00BE211D" w:rsidP="00101C9B">
      <w:pPr>
        <w:spacing w:line="360" w:lineRule="auto"/>
        <w:jc w:val="both"/>
        <w:rPr>
          <w:rFonts w:ascii="David" w:hAnsi="David" w:cs="David" w:hint="default"/>
          <w:sz w:val="24"/>
          <w:szCs w:val="24"/>
          <w:rtl/>
        </w:rPr>
      </w:pPr>
      <w:r w:rsidRPr="00B57A8F">
        <w:rPr>
          <w:rFonts w:ascii="David" w:hAnsi="David" w:cs="David" w:hint="default"/>
          <w:sz w:val="24"/>
          <w:szCs w:val="24"/>
          <w:rtl/>
        </w:rPr>
        <w:t xml:space="preserve">בפרשת זייצוב </w:t>
      </w:r>
      <w:r w:rsidR="005275FE" w:rsidRPr="00B57A8F">
        <w:rPr>
          <w:rFonts w:ascii="David" w:hAnsi="David" w:cs="David" w:hint="default"/>
          <w:sz w:val="24"/>
          <w:szCs w:val="24"/>
          <w:rtl/>
        </w:rPr>
        <w:t>ד</w:t>
      </w:r>
      <w:r w:rsidR="00956DB5" w:rsidRPr="00B57A8F">
        <w:rPr>
          <w:rFonts w:ascii="David" w:hAnsi="David" w:cs="David" w:hint="default"/>
          <w:sz w:val="24"/>
          <w:szCs w:val="24"/>
          <w:rtl/>
        </w:rPr>
        <w:t xml:space="preserve">ובר </w:t>
      </w:r>
      <w:r w:rsidRPr="00B57A8F">
        <w:rPr>
          <w:rFonts w:ascii="David" w:hAnsi="David" w:cs="David" w:hint="cs"/>
          <w:sz w:val="24"/>
          <w:szCs w:val="24"/>
          <w:rtl/>
        </w:rPr>
        <w:t>ב</w:t>
      </w:r>
      <w:r w:rsidR="00956DB5" w:rsidRPr="00B57A8F">
        <w:rPr>
          <w:rFonts w:ascii="David" w:hAnsi="David" w:cs="David" w:hint="default"/>
          <w:sz w:val="24"/>
          <w:szCs w:val="24"/>
          <w:rtl/>
        </w:rPr>
        <w:t xml:space="preserve">משפחה </w:t>
      </w:r>
      <w:r w:rsidRPr="00B57A8F">
        <w:rPr>
          <w:rFonts w:ascii="David" w:hAnsi="David" w:cs="David" w:hint="cs"/>
          <w:sz w:val="24"/>
          <w:szCs w:val="24"/>
          <w:rtl/>
        </w:rPr>
        <w:t>מורחבת</w:t>
      </w:r>
      <w:r w:rsidR="00956DB5" w:rsidRPr="00B57A8F">
        <w:rPr>
          <w:rFonts w:ascii="David" w:hAnsi="David" w:cs="David" w:hint="default"/>
          <w:sz w:val="24"/>
          <w:szCs w:val="24"/>
          <w:rtl/>
        </w:rPr>
        <w:t xml:space="preserve"> בה רווחה מחל</w:t>
      </w:r>
      <w:r w:rsidR="0076512A" w:rsidRPr="00B57A8F">
        <w:rPr>
          <w:rFonts w:ascii="David" w:hAnsi="David" w:cs="David" w:hint="default"/>
          <w:sz w:val="24"/>
          <w:szCs w:val="24"/>
          <w:rtl/>
        </w:rPr>
        <w:t xml:space="preserve">ה תורשתית </w:t>
      </w:r>
      <w:r w:rsidR="005275FE" w:rsidRPr="00B57A8F">
        <w:rPr>
          <w:rFonts w:ascii="David" w:hAnsi="David" w:cs="David" w:hint="default"/>
          <w:sz w:val="24"/>
          <w:szCs w:val="24"/>
          <w:rtl/>
        </w:rPr>
        <w:t xml:space="preserve">בשם </w:t>
      </w:r>
      <w:r w:rsidR="0076512A" w:rsidRPr="00B57A8F">
        <w:rPr>
          <w:rFonts w:ascii="David" w:hAnsi="David" w:cs="David" w:hint="cs"/>
          <w:sz w:val="24"/>
          <w:szCs w:val="24"/>
          <w:rtl/>
        </w:rPr>
        <w:t>"</w:t>
      </w:r>
      <w:r w:rsidR="005275FE" w:rsidRPr="00B57A8F">
        <w:rPr>
          <w:rFonts w:ascii="David" w:hAnsi="David" w:cs="David" w:hint="default"/>
          <w:sz w:val="24"/>
          <w:szCs w:val="24"/>
          <w:rtl/>
        </w:rPr>
        <w:t>תסמונת האנטר</w:t>
      </w:r>
      <w:r w:rsidR="0076512A" w:rsidRPr="00B57A8F">
        <w:rPr>
          <w:rFonts w:ascii="David" w:hAnsi="David" w:cs="David" w:hint="cs"/>
          <w:sz w:val="24"/>
          <w:szCs w:val="24"/>
          <w:rtl/>
        </w:rPr>
        <w:t>"</w:t>
      </w:r>
      <w:r w:rsidR="005275FE" w:rsidRPr="00B57A8F">
        <w:rPr>
          <w:rFonts w:ascii="David" w:hAnsi="David" w:cs="David" w:hint="default"/>
          <w:sz w:val="24"/>
          <w:szCs w:val="24"/>
          <w:rtl/>
        </w:rPr>
        <w:t>,</w:t>
      </w:r>
      <w:r w:rsidR="0076512A" w:rsidRPr="00B57A8F">
        <w:rPr>
          <w:rFonts w:ascii="David" w:hAnsi="David" w:cs="David" w:hint="cs"/>
          <w:sz w:val="24"/>
          <w:szCs w:val="24"/>
          <w:rtl/>
        </w:rPr>
        <w:t xml:space="preserve"> אשר פגעה בזכרים ואילו</w:t>
      </w:r>
      <w:r w:rsidR="005275FE" w:rsidRPr="00B57A8F">
        <w:rPr>
          <w:rFonts w:ascii="David" w:hAnsi="David" w:cs="David" w:hint="default"/>
          <w:sz w:val="24"/>
          <w:szCs w:val="24"/>
          <w:rtl/>
        </w:rPr>
        <w:t xml:space="preserve"> </w:t>
      </w:r>
      <w:r w:rsidR="0076512A" w:rsidRPr="00B57A8F">
        <w:rPr>
          <w:rFonts w:ascii="David" w:hAnsi="David" w:cs="David" w:hint="cs"/>
          <w:sz w:val="24"/>
          <w:szCs w:val="24"/>
          <w:rtl/>
        </w:rPr>
        <w:t>הנקבות</w:t>
      </w:r>
      <w:r w:rsidR="005275FE" w:rsidRPr="00B57A8F">
        <w:rPr>
          <w:rFonts w:ascii="David" w:hAnsi="David" w:cs="David" w:hint="default"/>
          <w:sz w:val="24"/>
          <w:szCs w:val="24"/>
          <w:rtl/>
        </w:rPr>
        <w:t xml:space="preserve"> היו רק "נשאיות". </w:t>
      </w:r>
      <w:r w:rsidR="00AA5251" w:rsidRPr="00B57A8F">
        <w:rPr>
          <w:rFonts w:ascii="David" w:hAnsi="David" w:cs="David" w:hint="default"/>
          <w:sz w:val="24"/>
          <w:szCs w:val="24"/>
          <w:rtl/>
        </w:rPr>
        <w:t>אלה אשר לקו במחל</w:t>
      </w:r>
      <w:r w:rsidR="00EC1A2C" w:rsidRPr="00B57A8F">
        <w:rPr>
          <w:rFonts w:ascii="David" w:hAnsi="David" w:cs="David" w:hint="default"/>
          <w:sz w:val="24"/>
          <w:szCs w:val="24"/>
          <w:rtl/>
        </w:rPr>
        <w:t>ה נולדו עם ליקויים קשים בחושים ובתפקוד, זאת ללא כל תקווה להתפתחות נורמלית.</w:t>
      </w:r>
      <w:r w:rsidR="00A05D72" w:rsidRPr="00B57A8F">
        <w:rPr>
          <w:rFonts w:ascii="David" w:hAnsi="David" w:cs="David" w:hint="default"/>
          <w:sz w:val="24"/>
          <w:szCs w:val="24"/>
          <w:rtl/>
        </w:rPr>
        <w:t xml:space="preserve"> </w:t>
      </w:r>
      <w:r w:rsidR="00ED4D76" w:rsidRPr="00B57A8F">
        <w:rPr>
          <w:rFonts w:ascii="David" w:hAnsi="David" w:cs="David" w:hint="cs"/>
          <w:sz w:val="24"/>
          <w:szCs w:val="24"/>
          <w:rtl/>
        </w:rPr>
        <w:t>ל</w:t>
      </w:r>
      <w:r w:rsidR="00A05D72" w:rsidRPr="00B57A8F">
        <w:rPr>
          <w:rFonts w:ascii="David" w:hAnsi="David" w:cs="David" w:hint="default"/>
          <w:sz w:val="24"/>
          <w:szCs w:val="24"/>
          <w:rtl/>
        </w:rPr>
        <w:t xml:space="preserve">מחלה </w:t>
      </w:r>
      <w:r w:rsidR="00ED4D76" w:rsidRPr="00B57A8F">
        <w:rPr>
          <w:rFonts w:ascii="David" w:hAnsi="David" w:cs="David" w:hint="cs"/>
          <w:sz w:val="24"/>
          <w:szCs w:val="24"/>
          <w:rtl/>
        </w:rPr>
        <w:t>זו</w:t>
      </w:r>
      <w:r w:rsidR="00A05D72" w:rsidRPr="00B57A8F">
        <w:rPr>
          <w:rFonts w:ascii="David" w:hAnsi="David" w:cs="David" w:hint="default"/>
          <w:sz w:val="24"/>
          <w:szCs w:val="24"/>
          <w:rtl/>
        </w:rPr>
        <w:t xml:space="preserve"> תוחלת חיים קצרה של כ</w:t>
      </w:r>
      <w:r w:rsidR="00ED4D76" w:rsidRPr="00B57A8F">
        <w:rPr>
          <w:rFonts w:ascii="David" w:hAnsi="David" w:cs="David" w:hint="default"/>
          <w:sz w:val="24"/>
          <w:szCs w:val="24"/>
          <w:rtl/>
        </w:rPr>
        <w:t>10-20 שנה</w:t>
      </w:r>
      <w:r w:rsidR="00ED4D76" w:rsidRPr="00B57A8F">
        <w:rPr>
          <w:rFonts w:ascii="David" w:hAnsi="David" w:cs="David" w:hint="cs"/>
          <w:sz w:val="24"/>
          <w:szCs w:val="24"/>
          <w:rtl/>
        </w:rPr>
        <w:t xml:space="preserve">, </w:t>
      </w:r>
      <w:r w:rsidR="00EC1A2C" w:rsidRPr="00B57A8F">
        <w:rPr>
          <w:rFonts w:ascii="David" w:hAnsi="David" w:cs="David" w:hint="default"/>
          <w:sz w:val="24"/>
          <w:szCs w:val="24"/>
          <w:rtl/>
        </w:rPr>
        <w:t>דרך ייסורים רבים בחיים אל המוות.</w:t>
      </w:r>
      <w:r>
        <w:rPr>
          <w:rStyle w:val="a7"/>
          <w:rFonts w:ascii="David" w:hAnsi="David" w:cs="David" w:hint="default"/>
          <w:sz w:val="24"/>
          <w:szCs w:val="24"/>
        </w:rPr>
        <w:footnoteReference w:id="8"/>
      </w:r>
      <w:r w:rsidR="00EC1A2C" w:rsidRPr="00B57A8F">
        <w:rPr>
          <w:rFonts w:ascii="David" w:hAnsi="David" w:cs="David" w:hint="default"/>
          <w:sz w:val="24"/>
          <w:szCs w:val="24"/>
          <w:rtl/>
        </w:rPr>
        <w:t xml:space="preserve"> </w:t>
      </w:r>
      <w:r w:rsidR="00A46A42" w:rsidRPr="00B57A8F">
        <w:rPr>
          <w:rFonts w:ascii="David" w:hAnsi="David" w:cs="David" w:hint="default"/>
          <w:sz w:val="24"/>
          <w:szCs w:val="24"/>
          <w:rtl/>
        </w:rPr>
        <w:t xml:space="preserve">טרם נישואי האם </w:t>
      </w:r>
      <w:r w:rsidR="00FF48A5" w:rsidRPr="00B57A8F">
        <w:rPr>
          <w:rFonts w:ascii="David" w:hAnsi="David" w:cs="David" w:hint="cs"/>
          <w:sz w:val="24"/>
          <w:szCs w:val="24"/>
          <w:rtl/>
        </w:rPr>
        <w:t xml:space="preserve">היא </w:t>
      </w:r>
      <w:r w:rsidR="00A46A42" w:rsidRPr="00B57A8F">
        <w:rPr>
          <w:rFonts w:ascii="David" w:hAnsi="David" w:cs="David" w:hint="default"/>
          <w:sz w:val="24"/>
          <w:szCs w:val="24"/>
          <w:rtl/>
        </w:rPr>
        <w:t xml:space="preserve">פנתה ליועצת רפואית בבית </w:t>
      </w:r>
      <w:r w:rsidR="00FF48A5" w:rsidRPr="00B57A8F">
        <w:rPr>
          <w:rFonts w:ascii="David" w:hAnsi="David" w:cs="David" w:hint="cs"/>
          <w:sz w:val="24"/>
          <w:szCs w:val="24"/>
          <w:rtl/>
        </w:rPr>
        <w:t>ה</w:t>
      </w:r>
      <w:r w:rsidR="00A46A42" w:rsidRPr="00B57A8F">
        <w:rPr>
          <w:rFonts w:ascii="David" w:hAnsi="David" w:cs="David" w:hint="default"/>
          <w:sz w:val="24"/>
          <w:szCs w:val="24"/>
          <w:rtl/>
        </w:rPr>
        <w:t xml:space="preserve">חולים בלינסון, </w:t>
      </w:r>
      <w:r w:rsidR="00FF48A5" w:rsidRPr="00B57A8F">
        <w:rPr>
          <w:rFonts w:ascii="David" w:hAnsi="David" w:cs="David" w:hint="cs"/>
          <w:sz w:val="24"/>
          <w:szCs w:val="24"/>
          <w:rtl/>
        </w:rPr>
        <w:t>על מנת</w:t>
      </w:r>
      <w:r w:rsidR="00A46A42" w:rsidRPr="00B57A8F">
        <w:rPr>
          <w:rFonts w:ascii="David" w:hAnsi="David" w:cs="David" w:hint="default"/>
          <w:sz w:val="24"/>
          <w:szCs w:val="24"/>
          <w:rtl/>
        </w:rPr>
        <w:t xml:space="preserve"> לקבל חוו</w:t>
      </w:r>
      <w:r w:rsidR="0011380D" w:rsidRPr="00B57A8F">
        <w:rPr>
          <w:rFonts w:ascii="David" w:hAnsi="David" w:cs="David" w:hint="default"/>
          <w:sz w:val="24"/>
          <w:szCs w:val="24"/>
          <w:rtl/>
        </w:rPr>
        <w:t xml:space="preserve">ת דעת בשאלה האם </w:t>
      </w:r>
      <w:r w:rsidR="00FF48A5" w:rsidRPr="00B57A8F">
        <w:rPr>
          <w:rFonts w:ascii="David" w:hAnsi="David" w:cs="David" w:hint="cs"/>
          <w:sz w:val="24"/>
          <w:szCs w:val="24"/>
          <w:rtl/>
        </w:rPr>
        <w:t>ה</w:t>
      </w:r>
      <w:r w:rsidR="0011380D" w:rsidRPr="00B57A8F">
        <w:rPr>
          <w:rFonts w:ascii="David" w:hAnsi="David" w:cs="David" w:hint="default"/>
          <w:sz w:val="24"/>
          <w:szCs w:val="24"/>
          <w:rtl/>
        </w:rPr>
        <w:t xml:space="preserve">פגם </w:t>
      </w:r>
      <w:r w:rsidR="00FF48A5" w:rsidRPr="00B57A8F">
        <w:rPr>
          <w:rFonts w:ascii="David" w:hAnsi="David" w:cs="David" w:hint="cs"/>
          <w:sz w:val="24"/>
          <w:szCs w:val="24"/>
          <w:rtl/>
        </w:rPr>
        <w:t>ה</w:t>
      </w:r>
      <w:r w:rsidR="0011380D" w:rsidRPr="00B57A8F">
        <w:rPr>
          <w:rFonts w:ascii="David" w:hAnsi="David" w:cs="David" w:hint="default"/>
          <w:sz w:val="24"/>
          <w:szCs w:val="24"/>
          <w:rtl/>
        </w:rPr>
        <w:t xml:space="preserve">גנטי </w:t>
      </w:r>
      <w:r w:rsidR="00FF48A5" w:rsidRPr="00B57A8F">
        <w:rPr>
          <w:rFonts w:ascii="David" w:hAnsi="David" w:cs="David" w:hint="cs"/>
          <w:sz w:val="24"/>
          <w:szCs w:val="24"/>
          <w:rtl/>
        </w:rPr>
        <w:t xml:space="preserve">האמור עלול </w:t>
      </w:r>
      <w:r w:rsidR="0011380D" w:rsidRPr="00B57A8F">
        <w:rPr>
          <w:rFonts w:ascii="David" w:hAnsi="David" w:cs="David" w:hint="default"/>
          <w:sz w:val="24"/>
          <w:szCs w:val="24"/>
          <w:rtl/>
        </w:rPr>
        <w:t>להימצא ב</w:t>
      </w:r>
      <w:r w:rsidR="00A46A42" w:rsidRPr="00B57A8F">
        <w:rPr>
          <w:rFonts w:ascii="David" w:hAnsi="David" w:cs="David" w:hint="default"/>
          <w:sz w:val="24"/>
          <w:szCs w:val="24"/>
          <w:rtl/>
        </w:rPr>
        <w:t>משפחתה</w:t>
      </w:r>
      <w:r w:rsidR="00FF48A5" w:rsidRPr="00B57A8F">
        <w:rPr>
          <w:rFonts w:ascii="David" w:hAnsi="David" w:cs="David" w:hint="cs"/>
          <w:sz w:val="24"/>
          <w:szCs w:val="24"/>
          <w:rtl/>
        </w:rPr>
        <w:t xml:space="preserve"> ולגרום</w:t>
      </w:r>
      <w:r w:rsidR="0011380D" w:rsidRPr="00B57A8F">
        <w:rPr>
          <w:rFonts w:ascii="David" w:hAnsi="David" w:cs="David" w:hint="default"/>
          <w:sz w:val="24"/>
          <w:szCs w:val="24"/>
          <w:rtl/>
        </w:rPr>
        <w:t>,</w:t>
      </w:r>
      <w:r w:rsidR="00FF48A5" w:rsidRPr="00B57A8F">
        <w:rPr>
          <w:rFonts w:ascii="David" w:hAnsi="David" w:cs="David" w:hint="cs"/>
          <w:sz w:val="24"/>
          <w:szCs w:val="24"/>
          <w:rtl/>
        </w:rPr>
        <w:t xml:space="preserve"> להולדת בן ש</w:t>
      </w:r>
      <w:r w:rsidR="00A46A42" w:rsidRPr="00B57A8F">
        <w:rPr>
          <w:rFonts w:ascii="David" w:hAnsi="David" w:cs="David" w:hint="default"/>
          <w:sz w:val="24"/>
          <w:szCs w:val="24"/>
          <w:rtl/>
        </w:rPr>
        <w:t xml:space="preserve">ילקה במחלה זו. </w:t>
      </w:r>
      <w:r w:rsidR="00794B0A" w:rsidRPr="00B57A8F">
        <w:rPr>
          <w:rFonts w:ascii="David" w:hAnsi="David" w:cs="David" w:hint="default"/>
          <w:sz w:val="24"/>
          <w:szCs w:val="24"/>
          <w:rtl/>
        </w:rPr>
        <w:t xml:space="preserve">האם הסבירה </w:t>
      </w:r>
      <w:r w:rsidR="007300B9" w:rsidRPr="00B57A8F">
        <w:rPr>
          <w:rFonts w:ascii="David" w:hAnsi="David" w:cs="David" w:hint="default"/>
          <w:sz w:val="24"/>
          <w:szCs w:val="24"/>
          <w:rtl/>
        </w:rPr>
        <w:t>כי אם קיים חשש זה, אין בדעתה לה</w:t>
      </w:r>
      <w:r w:rsidR="00794B0A" w:rsidRPr="00B57A8F">
        <w:rPr>
          <w:rFonts w:ascii="David" w:hAnsi="David" w:cs="David" w:hint="default"/>
          <w:sz w:val="24"/>
          <w:szCs w:val="24"/>
          <w:rtl/>
        </w:rPr>
        <w:t>רות והיא נחושה בדעתה לא ללדת ילדים ל</w:t>
      </w:r>
      <w:r w:rsidR="00AA5251" w:rsidRPr="00B57A8F">
        <w:rPr>
          <w:rFonts w:ascii="David" w:hAnsi="David" w:cs="David" w:hint="default"/>
          <w:sz w:val="24"/>
          <w:szCs w:val="24"/>
          <w:rtl/>
        </w:rPr>
        <w:t xml:space="preserve">חיי </w:t>
      </w:r>
      <w:r w:rsidR="00794B0A" w:rsidRPr="00B57A8F">
        <w:rPr>
          <w:rFonts w:ascii="David" w:hAnsi="David" w:cs="David" w:hint="default"/>
          <w:sz w:val="24"/>
          <w:szCs w:val="24"/>
          <w:rtl/>
        </w:rPr>
        <w:t xml:space="preserve">סבל. </w:t>
      </w:r>
      <w:r w:rsidR="007300B9" w:rsidRPr="00B57A8F">
        <w:rPr>
          <w:rFonts w:ascii="David" w:hAnsi="David" w:cs="David" w:hint="default"/>
          <w:sz w:val="24"/>
          <w:szCs w:val="24"/>
          <w:rtl/>
        </w:rPr>
        <w:t>חשוב לציין כי באות</w:t>
      </w:r>
      <w:r w:rsidR="007300B9" w:rsidRPr="00B57A8F">
        <w:rPr>
          <w:rFonts w:ascii="David" w:hAnsi="David" w:cs="David" w:hint="cs"/>
          <w:sz w:val="24"/>
          <w:szCs w:val="24"/>
          <w:rtl/>
        </w:rPr>
        <w:t>ן</w:t>
      </w:r>
      <w:r w:rsidR="007300B9" w:rsidRPr="00B57A8F">
        <w:rPr>
          <w:rFonts w:ascii="David" w:hAnsi="David" w:cs="David" w:hint="default"/>
          <w:sz w:val="24"/>
          <w:szCs w:val="24"/>
          <w:rtl/>
        </w:rPr>
        <w:t xml:space="preserve"> שנים, שנות השמונים </w:t>
      </w:r>
      <w:r w:rsidR="007300B9" w:rsidRPr="00B57A8F">
        <w:rPr>
          <w:rFonts w:ascii="David" w:hAnsi="David" w:cs="David" w:hint="cs"/>
          <w:sz w:val="24"/>
          <w:szCs w:val="24"/>
          <w:rtl/>
        </w:rPr>
        <w:t>ב</w:t>
      </w:r>
      <w:r w:rsidR="0009051B" w:rsidRPr="00B57A8F">
        <w:rPr>
          <w:rFonts w:ascii="David" w:hAnsi="David" w:cs="David" w:hint="default"/>
          <w:sz w:val="24"/>
          <w:szCs w:val="24"/>
          <w:rtl/>
        </w:rPr>
        <w:t>מאה הקודמת</w:t>
      </w:r>
      <w:r w:rsidR="007300B9" w:rsidRPr="00B57A8F">
        <w:rPr>
          <w:rFonts w:ascii="David" w:hAnsi="David" w:cs="David" w:hint="cs"/>
          <w:sz w:val="24"/>
          <w:szCs w:val="24"/>
          <w:rtl/>
        </w:rPr>
        <w:t>.</w:t>
      </w:r>
      <w:r w:rsidR="0009051B" w:rsidRPr="00B57A8F">
        <w:rPr>
          <w:rFonts w:ascii="David" w:hAnsi="David" w:cs="David" w:hint="default"/>
          <w:sz w:val="24"/>
          <w:szCs w:val="24"/>
          <w:rtl/>
        </w:rPr>
        <w:t xml:space="preserve"> טרם התפתחה </w:t>
      </w:r>
      <w:r w:rsidR="008D0F01" w:rsidRPr="00B57A8F">
        <w:rPr>
          <w:rFonts w:ascii="David" w:hAnsi="David" w:cs="David" w:hint="cs"/>
          <w:sz w:val="24"/>
          <w:szCs w:val="24"/>
          <w:rtl/>
        </w:rPr>
        <w:t>הרפואה</w:t>
      </w:r>
      <w:r w:rsidR="0009051B" w:rsidRPr="00B57A8F">
        <w:rPr>
          <w:rFonts w:ascii="David" w:hAnsi="David" w:cs="David" w:hint="default"/>
          <w:sz w:val="24"/>
          <w:szCs w:val="24"/>
          <w:rtl/>
        </w:rPr>
        <w:t xml:space="preserve"> </w:t>
      </w:r>
      <w:r w:rsidR="008D0F01" w:rsidRPr="00B57A8F">
        <w:rPr>
          <w:rFonts w:ascii="David" w:hAnsi="David" w:cs="David" w:hint="cs"/>
          <w:sz w:val="24"/>
          <w:szCs w:val="24"/>
          <w:rtl/>
        </w:rPr>
        <w:t>ו</w:t>
      </w:r>
      <w:r w:rsidR="006320E2" w:rsidRPr="00B57A8F">
        <w:rPr>
          <w:rFonts w:ascii="David" w:hAnsi="David" w:cs="David" w:hint="default"/>
          <w:sz w:val="24"/>
          <w:szCs w:val="24"/>
          <w:rtl/>
        </w:rPr>
        <w:t>במהלך ההיריון לא היה ניתן לדעת את מין העובר</w:t>
      </w:r>
      <w:r w:rsidR="0009051B" w:rsidRPr="00B57A8F">
        <w:rPr>
          <w:rFonts w:ascii="David" w:hAnsi="David" w:cs="David" w:hint="default"/>
          <w:sz w:val="24"/>
          <w:szCs w:val="24"/>
          <w:rtl/>
        </w:rPr>
        <w:t>.</w:t>
      </w:r>
      <w:r>
        <w:rPr>
          <w:rStyle w:val="a7"/>
          <w:rFonts w:ascii="David" w:hAnsi="David" w:cs="David" w:hint="default"/>
          <w:sz w:val="24"/>
          <w:szCs w:val="24"/>
        </w:rPr>
        <w:footnoteReference w:id="9"/>
      </w:r>
      <w:r w:rsidR="0009051B" w:rsidRPr="00B57A8F">
        <w:rPr>
          <w:rFonts w:ascii="David" w:hAnsi="David" w:cs="David" w:hint="default"/>
          <w:sz w:val="24"/>
          <w:szCs w:val="24"/>
          <w:rtl/>
        </w:rPr>
        <w:t xml:space="preserve"> </w:t>
      </w:r>
      <w:r w:rsidR="00144792" w:rsidRPr="00B57A8F">
        <w:rPr>
          <w:rFonts w:ascii="David" w:hAnsi="David" w:cs="David" w:hint="default"/>
          <w:sz w:val="24"/>
          <w:szCs w:val="24"/>
          <w:rtl/>
        </w:rPr>
        <w:t xml:space="preserve">כתוצאה מבלבול בין תיקי חולים אשר </w:t>
      </w:r>
      <w:r w:rsidR="00B71053" w:rsidRPr="00B57A8F">
        <w:rPr>
          <w:rFonts w:ascii="David" w:hAnsi="David" w:cs="David" w:hint="default"/>
          <w:sz w:val="24"/>
          <w:szCs w:val="24"/>
          <w:rtl/>
        </w:rPr>
        <w:t>נבע</w:t>
      </w:r>
      <w:r w:rsidR="00144792" w:rsidRPr="00B57A8F">
        <w:rPr>
          <w:rFonts w:ascii="David" w:hAnsi="David" w:cs="David" w:hint="default"/>
          <w:sz w:val="24"/>
          <w:szCs w:val="24"/>
          <w:rtl/>
        </w:rPr>
        <w:t xml:space="preserve"> מרשלנותה של היועצת הרפואית,</w:t>
      </w:r>
      <w:r w:rsidR="008D0F01" w:rsidRPr="00B57A8F">
        <w:rPr>
          <w:rFonts w:ascii="David" w:hAnsi="David" w:cs="David" w:hint="default"/>
          <w:sz w:val="24"/>
          <w:szCs w:val="24"/>
          <w:rtl/>
        </w:rPr>
        <w:t xml:space="preserve"> קיבלה האם תשובה כי אינה נושאת </w:t>
      </w:r>
      <w:r w:rsidR="008D0F01" w:rsidRPr="00B57A8F">
        <w:rPr>
          <w:rFonts w:ascii="David" w:hAnsi="David" w:cs="David" w:hint="cs"/>
          <w:sz w:val="24"/>
          <w:szCs w:val="24"/>
          <w:rtl/>
        </w:rPr>
        <w:t>את ה</w:t>
      </w:r>
      <w:r w:rsidR="00144792" w:rsidRPr="00B57A8F">
        <w:rPr>
          <w:rFonts w:ascii="David" w:hAnsi="David" w:cs="David" w:hint="default"/>
          <w:sz w:val="24"/>
          <w:szCs w:val="24"/>
          <w:rtl/>
        </w:rPr>
        <w:t xml:space="preserve">פגם </w:t>
      </w:r>
      <w:r w:rsidR="008D0F01" w:rsidRPr="00B57A8F">
        <w:rPr>
          <w:rFonts w:ascii="David" w:hAnsi="David" w:cs="David" w:hint="cs"/>
          <w:sz w:val="24"/>
          <w:szCs w:val="24"/>
          <w:rtl/>
        </w:rPr>
        <w:t>האמור כך,</w:t>
      </w:r>
      <w:r w:rsidR="00144792" w:rsidRPr="00B57A8F">
        <w:rPr>
          <w:rFonts w:ascii="David" w:hAnsi="David" w:cs="David" w:hint="default"/>
          <w:sz w:val="24"/>
          <w:szCs w:val="24"/>
          <w:rtl/>
        </w:rPr>
        <w:t xml:space="preserve"> </w:t>
      </w:r>
      <w:r w:rsidR="008D0F01" w:rsidRPr="00B57A8F">
        <w:rPr>
          <w:rFonts w:ascii="David" w:hAnsi="David" w:cs="David" w:hint="cs"/>
          <w:sz w:val="24"/>
          <w:szCs w:val="24"/>
          <w:rtl/>
        </w:rPr>
        <w:t>ש</w:t>
      </w:r>
      <w:r w:rsidR="00144792" w:rsidRPr="00B57A8F">
        <w:rPr>
          <w:rFonts w:ascii="David" w:hAnsi="David" w:cs="David" w:hint="default"/>
          <w:sz w:val="24"/>
          <w:szCs w:val="24"/>
          <w:rtl/>
        </w:rPr>
        <w:t xml:space="preserve">אין חשש למום בעובר. </w:t>
      </w:r>
      <w:r w:rsidR="006525D0" w:rsidRPr="00B57A8F">
        <w:rPr>
          <w:rFonts w:ascii="David" w:hAnsi="David" w:cs="David" w:hint="default"/>
          <w:sz w:val="24"/>
          <w:szCs w:val="24"/>
          <w:rtl/>
        </w:rPr>
        <w:t xml:space="preserve">בהסתמך על חוות דעת רפואית זאת הרתה האם וילדה בן. משנולד, </w:t>
      </w:r>
      <w:r w:rsidR="00F53756">
        <w:rPr>
          <w:rFonts w:ascii="David" w:hAnsi="David" w:cs="David" w:hint="cs"/>
          <w:sz w:val="24"/>
          <w:szCs w:val="24"/>
          <w:rtl/>
        </w:rPr>
        <w:t>התברר כי</w:t>
      </w:r>
      <w:r w:rsidR="006525D0" w:rsidRPr="00B57A8F">
        <w:rPr>
          <w:rFonts w:ascii="David" w:hAnsi="David" w:cs="David" w:hint="default"/>
          <w:sz w:val="24"/>
          <w:szCs w:val="24"/>
          <w:rtl/>
        </w:rPr>
        <w:t xml:space="preserve"> </w:t>
      </w:r>
      <w:r w:rsidR="00F53756">
        <w:rPr>
          <w:rFonts w:ascii="David" w:hAnsi="David" w:cs="David" w:hint="cs"/>
          <w:sz w:val="24"/>
          <w:szCs w:val="24"/>
          <w:rtl/>
        </w:rPr>
        <w:t>הוא</w:t>
      </w:r>
      <w:r w:rsidR="006525D0" w:rsidRPr="00B57A8F">
        <w:rPr>
          <w:rFonts w:ascii="David" w:hAnsi="David" w:cs="David" w:hint="default"/>
          <w:sz w:val="24"/>
          <w:szCs w:val="24"/>
          <w:rtl/>
        </w:rPr>
        <w:t xml:space="preserve"> לוקה במחלה התורשתית.</w:t>
      </w:r>
      <w:r>
        <w:rPr>
          <w:rStyle w:val="a7"/>
          <w:rFonts w:ascii="David" w:hAnsi="David" w:cs="David" w:hint="default"/>
          <w:sz w:val="24"/>
          <w:szCs w:val="24"/>
        </w:rPr>
        <w:footnoteReference w:id="10"/>
      </w:r>
      <w:r w:rsidR="006525D0" w:rsidRPr="00B57A8F">
        <w:rPr>
          <w:rFonts w:ascii="David" w:hAnsi="David" w:cs="David" w:hint="default"/>
          <w:sz w:val="24"/>
          <w:szCs w:val="24"/>
          <w:rtl/>
        </w:rPr>
        <w:t xml:space="preserve"> מאחר שאת הנעשה אין להשיב הגישה האם יחד עם בעלה </w:t>
      </w:r>
      <w:r w:rsidR="006525D0" w:rsidRPr="00B57A8F">
        <w:rPr>
          <w:rFonts w:ascii="David" w:hAnsi="David" w:cs="David" w:hint="default"/>
          <w:sz w:val="24"/>
          <w:szCs w:val="24"/>
          <w:rtl/>
        </w:rPr>
        <w:lastRenderedPageBreak/>
        <w:t>תביעת פיצויים על הנזק שנגרם לה כתוצאה מחוות דעת מוטעי</w:t>
      </w:r>
      <w:r w:rsidR="00F15B4B" w:rsidRPr="00B57A8F">
        <w:rPr>
          <w:rFonts w:ascii="David" w:hAnsi="David" w:cs="David" w:hint="default"/>
          <w:sz w:val="24"/>
          <w:szCs w:val="24"/>
          <w:rtl/>
        </w:rPr>
        <w:t>ת -</w:t>
      </w:r>
      <w:r w:rsidR="006525D0" w:rsidRPr="00B57A8F">
        <w:rPr>
          <w:rFonts w:ascii="David" w:hAnsi="David" w:cs="David" w:hint="default"/>
          <w:sz w:val="24"/>
          <w:szCs w:val="24"/>
          <w:rtl/>
        </w:rPr>
        <w:t xml:space="preserve"> עילת "ההולדה בעוולה", ותביע</w:t>
      </w:r>
      <w:r w:rsidR="00F15B4B" w:rsidRPr="00B57A8F">
        <w:rPr>
          <w:rFonts w:ascii="David" w:hAnsi="David" w:cs="David" w:hint="default"/>
          <w:sz w:val="24"/>
          <w:szCs w:val="24"/>
          <w:rtl/>
        </w:rPr>
        <w:t xml:space="preserve">ה נוספת בשם הקטין כעילה עצמאית - </w:t>
      </w:r>
      <w:r w:rsidR="006525D0" w:rsidRPr="00B57A8F">
        <w:rPr>
          <w:rFonts w:ascii="David" w:hAnsi="David" w:cs="David" w:hint="default"/>
          <w:sz w:val="24"/>
          <w:szCs w:val="24"/>
          <w:rtl/>
        </w:rPr>
        <w:t>עילת "חיים בעוולה".</w:t>
      </w:r>
      <w:r>
        <w:rPr>
          <w:rStyle w:val="a7"/>
          <w:rFonts w:ascii="David" w:hAnsi="David" w:cs="David" w:hint="default"/>
          <w:sz w:val="24"/>
          <w:szCs w:val="24"/>
        </w:rPr>
        <w:footnoteReference w:id="11"/>
      </w:r>
      <w:r w:rsidR="006525D0" w:rsidRPr="00B57A8F">
        <w:rPr>
          <w:rFonts w:ascii="David" w:hAnsi="David" w:cs="David" w:hint="default"/>
          <w:sz w:val="24"/>
          <w:szCs w:val="24"/>
          <w:rtl/>
        </w:rPr>
        <w:t xml:space="preserve"> הטענה בשמו הייתה כי רשלנותה של היועצת הרפואית היא </w:t>
      </w:r>
      <w:r w:rsidR="00913FBF" w:rsidRPr="00B57A8F">
        <w:rPr>
          <w:rFonts w:ascii="David" w:hAnsi="David" w:cs="David" w:hint="cs"/>
          <w:sz w:val="24"/>
          <w:szCs w:val="24"/>
          <w:rtl/>
        </w:rPr>
        <w:t xml:space="preserve">אשר </w:t>
      </w:r>
      <w:r w:rsidR="006525D0" w:rsidRPr="00B57A8F">
        <w:rPr>
          <w:rFonts w:ascii="David" w:hAnsi="David" w:cs="David" w:hint="default"/>
          <w:sz w:val="24"/>
          <w:szCs w:val="24"/>
          <w:rtl/>
        </w:rPr>
        <w:t xml:space="preserve">גרמה לו להיוולד למרות הסיכון שילקה במחלה, ללא כל תקווה להתפתחות נורמלית ולתוחלת חיים סבירה. </w:t>
      </w:r>
      <w:r w:rsidR="00C56A85" w:rsidRPr="00B57A8F">
        <w:rPr>
          <w:rFonts w:ascii="David" w:hAnsi="David" w:cs="David" w:hint="default"/>
          <w:sz w:val="24"/>
          <w:szCs w:val="24"/>
          <w:rtl/>
        </w:rPr>
        <w:t>כל</w:t>
      </w:r>
      <w:r w:rsidR="006525D0" w:rsidRPr="00B57A8F">
        <w:rPr>
          <w:rFonts w:ascii="David" w:hAnsi="David" w:cs="David" w:hint="default"/>
          <w:sz w:val="24"/>
          <w:szCs w:val="24"/>
          <w:rtl/>
        </w:rPr>
        <w:t xml:space="preserve"> זאת, בניגוד לרצונה של האם</w:t>
      </w:r>
      <w:r w:rsidR="00C56A85" w:rsidRPr="00B57A8F">
        <w:rPr>
          <w:rFonts w:ascii="David" w:hAnsi="David" w:cs="David" w:hint="default"/>
          <w:sz w:val="24"/>
          <w:szCs w:val="24"/>
          <w:rtl/>
        </w:rPr>
        <w:t>.</w:t>
      </w:r>
      <w:r>
        <w:rPr>
          <w:rStyle w:val="a7"/>
          <w:rFonts w:ascii="David" w:hAnsi="David" w:cs="David" w:hint="default"/>
          <w:sz w:val="24"/>
          <w:szCs w:val="24"/>
        </w:rPr>
        <w:footnoteReference w:id="12"/>
      </w:r>
      <w:r w:rsidR="00C56A85" w:rsidRPr="00B57A8F">
        <w:rPr>
          <w:rFonts w:ascii="David" w:hAnsi="David" w:cs="David" w:hint="default"/>
          <w:sz w:val="24"/>
          <w:szCs w:val="24"/>
          <w:rtl/>
        </w:rPr>
        <w:t xml:space="preserve"> </w:t>
      </w:r>
      <w:r w:rsidR="006733F8" w:rsidRPr="00B57A8F">
        <w:rPr>
          <w:rFonts w:ascii="David" w:hAnsi="David" w:cs="David" w:hint="default"/>
          <w:sz w:val="24"/>
          <w:szCs w:val="24"/>
          <w:rtl/>
        </w:rPr>
        <w:t xml:space="preserve">עילת </w:t>
      </w:r>
      <w:r w:rsidR="00377627">
        <w:rPr>
          <w:rFonts w:ascii="David" w:hAnsi="David" w:cs="David" w:hint="cs"/>
          <w:sz w:val="24"/>
          <w:szCs w:val="24"/>
          <w:rtl/>
        </w:rPr>
        <w:t>"</w:t>
      </w:r>
      <w:r w:rsidR="006733F8" w:rsidRPr="00B57A8F">
        <w:rPr>
          <w:rFonts w:ascii="David" w:hAnsi="David" w:cs="David" w:hint="default"/>
          <w:sz w:val="24"/>
          <w:szCs w:val="24"/>
          <w:rtl/>
        </w:rPr>
        <w:t>ההולדה</w:t>
      </w:r>
      <w:r w:rsidR="00377627">
        <w:rPr>
          <w:rFonts w:ascii="David" w:hAnsi="David" w:cs="David" w:hint="cs"/>
          <w:sz w:val="24"/>
          <w:szCs w:val="24"/>
          <w:rtl/>
        </w:rPr>
        <w:t>"</w:t>
      </w:r>
      <w:r w:rsidR="006733F8" w:rsidRPr="00B57A8F">
        <w:rPr>
          <w:rFonts w:ascii="David" w:hAnsi="David" w:cs="David" w:hint="default"/>
          <w:sz w:val="24"/>
          <w:szCs w:val="24"/>
          <w:rtl/>
        </w:rPr>
        <w:t xml:space="preserve"> בעוולה של ההורים </w:t>
      </w:r>
      <w:r w:rsidR="00913FBF" w:rsidRPr="00B57A8F">
        <w:rPr>
          <w:rFonts w:ascii="David" w:hAnsi="David" w:cs="David" w:hint="cs"/>
          <w:sz w:val="24"/>
          <w:szCs w:val="24"/>
          <w:rtl/>
        </w:rPr>
        <w:t xml:space="preserve">הוכרה על ידי </w:t>
      </w:r>
      <w:r w:rsidR="00101C9B">
        <w:rPr>
          <w:rFonts w:ascii="David" w:hAnsi="David" w:cs="David" w:hint="cs"/>
          <w:sz w:val="24"/>
          <w:szCs w:val="24"/>
          <w:rtl/>
        </w:rPr>
        <w:t>ביהמ"ש</w:t>
      </w:r>
      <w:r w:rsidR="00913FBF" w:rsidRPr="00B57A8F">
        <w:rPr>
          <w:rFonts w:ascii="David" w:hAnsi="David" w:cs="David" w:hint="cs"/>
          <w:sz w:val="24"/>
          <w:szCs w:val="24"/>
          <w:rtl/>
        </w:rPr>
        <w:t xml:space="preserve"> באופן גורף</w:t>
      </w:r>
      <w:r w:rsidR="006733F8" w:rsidRPr="00B57A8F">
        <w:rPr>
          <w:rFonts w:ascii="David" w:hAnsi="David" w:cs="David" w:hint="default"/>
          <w:sz w:val="24"/>
          <w:szCs w:val="24"/>
          <w:rtl/>
        </w:rPr>
        <w:t xml:space="preserve">, לעומת זאת, </w:t>
      </w:r>
      <w:r w:rsidR="00913FBF" w:rsidRPr="00B57A8F">
        <w:rPr>
          <w:rFonts w:ascii="David" w:hAnsi="David" w:cs="David" w:hint="cs"/>
          <w:sz w:val="24"/>
          <w:szCs w:val="24"/>
          <w:rtl/>
        </w:rPr>
        <w:t>באשר ל</w:t>
      </w:r>
      <w:r w:rsidR="00913FBF" w:rsidRPr="00B57A8F">
        <w:rPr>
          <w:rFonts w:ascii="David" w:hAnsi="David" w:cs="David" w:hint="default"/>
          <w:sz w:val="24"/>
          <w:szCs w:val="24"/>
          <w:rtl/>
        </w:rPr>
        <w:t xml:space="preserve">עילת </w:t>
      </w:r>
      <w:r w:rsidR="00415AA0">
        <w:rPr>
          <w:rFonts w:ascii="David" w:hAnsi="David" w:cs="David" w:hint="cs"/>
          <w:sz w:val="24"/>
          <w:szCs w:val="24"/>
          <w:rtl/>
        </w:rPr>
        <w:t>"</w:t>
      </w:r>
      <w:r w:rsidR="00913FBF" w:rsidRPr="00B57A8F">
        <w:rPr>
          <w:rFonts w:ascii="David" w:hAnsi="David" w:cs="David" w:hint="default"/>
          <w:sz w:val="24"/>
          <w:szCs w:val="24"/>
          <w:rtl/>
        </w:rPr>
        <w:t>חיים בעוולה</w:t>
      </w:r>
      <w:r w:rsidR="00415AA0">
        <w:rPr>
          <w:rFonts w:ascii="David" w:hAnsi="David" w:cs="David" w:hint="cs"/>
          <w:sz w:val="24"/>
          <w:szCs w:val="24"/>
          <w:rtl/>
        </w:rPr>
        <w:t>"</w:t>
      </w:r>
      <w:r w:rsidR="00913FBF" w:rsidRPr="00B57A8F">
        <w:rPr>
          <w:rFonts w:ascii="David" w:hAnsi="David" w:cs="David" w:hint="default"/>
          <w:sz w:val="24"/>
          <w:szCs w:val="24"/>
          <w:rtl/>
        </w:rPr>
        <w:t xml:space="preserve"> של היילוד </w:t>
      </w:r>
      <w:r w:rsidR="00A86085">
        <w:rPr>
          <w:rFonts w:ascii="David" w:hAnsi="David" w:cs="David" w:hint="cs"/>
          <w:sz w:val="24"/>
          <w:szCs w:val="24"/>
          <w:rtl/>
        </w:rPr>
        <w:t>התגלעו</w:t>
      </w:r>
      <w:r w:rsidR="006733F8" w:rsidRPr="00B57A8F">
        <w:rPr>
          <w:rFonts w:ascii="David" w:hAnsi="David" w:cs="David" w:hint="default"/>
          <w:sz w:val="24"/>
          <w:szCs w:val="24"/>
          <w:rtl/>
        </w:rPr>
        <w:t xml:space="preserve"> </w:t>
      </w:r>
      <w:r w:rsidR="00913FBF" w:rsidRPr="00B57A8F">
        <w:rPr>
          <w:rFonts w:ascii="David" w:hAnsi="David" w:cs="David" w:hint="cs"/>
          <w:sz w:val="24"/>
          <w:szCs w:val="24"/>
          <w:rtl/>
        </w:rPr>
        <w:t>מחלוקות</w:t>
      </w:r>
      <w:r w:rsidR="006733F8" w:rsidRPr="00B57A8F">
        <w:rPr>
          <w:rFonts w:ascii="David" w:hAnsi="David" w:cs="David" w:hint="default"/>
          <w:sz w:val="24"/>
          <w:szCs w:val="24"/>
          <w:rtl/>
        </w:rPr>
        <w:t xml:space="preserve"> במספר ה</w:t>
      </w:r>
      <w:r w:rsidR="0089784F" w:rsidRPr="00B57A8F">
        <w:rPr>
          <w:rFonts w:ascii="David" w:hAnsi="David" w:cs="David" w:hint="default"/>
          <w:sz w:val="24"/>
          <w:szCs w:val="24"/>
          <w:rtl/>
        </w:rPr>
        <w:t>יבטים משפטיים</w:t>
      </w:r>
      <w:r w:rsidR="006733F8" w:rsidRPr="00B57A8F">
        <w:rPr>
          <w:rFonts w:ascii="David" w:hAnsi="David" w:cs="David" w:hint="default"/>
          <w:sz w:val="24"/>
          <w:szCs w:val="24"/>
          <w:rtl/>
        </w:rPr>
        <w:t xml:space="preserve"> </w:t>
      </w:r>
      <w:r w:rsidR="0089784F" w:rsidRPr="00B57A8F">
        <w:rPr>
          <w:rFonts w:ascii="David" w:hAnsi="David" w:cs="David" w:hint="default"/>
          <w:sz w:val="24"/>
          <w:szCs w:val="24"/>
          <w:rtl/>
        </w:rPr>
        <w:t>ו</w:t>
      </w:r>
      <w:r w:rsidR="006733F8" w:rsidRPr="00B57A8F">
        <w:rPr>
          <w:rFonts w:ascii="David" w:hAnsi="David" w:cs="David" w:hint="default"/>
          <w:sz w:val="24"/>
          <w:szCs w:val="24"/>
          <w:rtl/>
        </w:rPr>
        <w:t>פילוסופיים-מוסריים.</w:t>
      </w:r>
      <w:r>
        <w:rPr>
          <w:rStyle w:val="a7"/>
          <w:rFonts w:ascii="David" w:hAnsi="David" w:cs="David" w:hint="default"/>
          <w:sz w:val="24"/>
          <w:szCs w:val="24"/>
        </w:rPr>
        <w:footnoteReference w:id="13"/>
      </w:r>
      <w:r w:rsidR="006733F8" w:rsidRPr="00B57A8F">
        <w:rPr>
          <w:rFonts w:ascii="David" w:hAnsi="David" w:cs="David" w:hint="default"/>
          <w:sz w:val="24"/>
          <w:szCs w:val="24"/>
          <w:rtl/>
        </w:rPr>
        <w:t xml:space="preserve"> </w:t>
      </w:r>
    </w:p>
    <w:p w:rsidR="00096518" w:rsidRPr="00B57A8F" w:rsidRDefault="00BE211D" w:rsidP="000A5869">
      <w:pPr>
        <w:spacing w:line="360" w:lineRule="auto"/>
        <w:jc w:val="both"/>
        <w:rPr>
          <w:rFonts w:ascii="David" w:hAnsi="David" w:cs="David" w:hint="default"/>
          <w:sz w:val="24"/>
          <w:szCs w:val="24"/>
          <w:rtl/>
        </w:rPr>
      </w:pPr>
      <w:r w:rsidRPr="00B57A8F">
        <w:rPr>
          <w:rFonts w:ascii="David" w:hAnsi="David" w:cs="David" w:hint="default"/>
          <w:sz w:val="24"/>
          <w:szCs w:val="24"/>
          <w:rtl/>
        </w:rPr>
        <w:t xml:space="preserve">המאפיין הדומיננטי </w:t>
      </w:r>
      <w:r w:rsidR="0004391B" w:rsidRPr="00B57A8F">
        <w:rPr>
          <w:rFonts w:ascii="David" w:hAnsi="David" w:cs="David" w:hint="cs"/>
          <w:sz w:val="24"/>
          <w:szCs w:val="24"/>
          <w:rtl/>
        </w:rPr>
        <w:t>ב</w:t>
      </w:r>
      <w:r w:rsidRPr="00B57A8F">
        <w:rPr>
          <w:rFonts w:ascii="David" w:hAnsi="David" w:cs="David" w:hint="default"/>
          <w:sz w:val="24"/>
          <w:szCs w:val="24"/>
          <w:rtl/>
        </w:rPr>
        <w:t xml:space="preserve">עילת התביעה של "הולדה בעוולה", </w:t>
      </w:r>
      <w:r w:rsidR="0004391B" w:rsidRPr="00B57A8F">
        <w:rPr>
          <w:rFonts w:ascii="David" w:hAnsi="David" w:cs="David" w:hint="cs"/>
          <w:sz w:val="24"/>
          <w:szCs w:val="24"/>
          <w:rtl/>
        </w:rPr>
        <w:t>הוא קיומה</w:t>
      </w:r>
      <w:r w:rsidR="0021489D" w:rsidRPr="00B57A8F">
        <w:rPr>
          <w:rFonts w:ascii="David" w:hAnsi="David" w:cs="David" w:hint="default"/>
          <w:sz w:val="24"/>
          <w:szCs w:val="24"/>
          <w:rtl/>
        </w:rPr>
        <w:t xml:space="preserve"> </w:t>
      </w:r>
      <w:r w:rsidR="0004391B" w:rsidRPr="00B57A8F">
        <w:rPr>
          <w:rFonts w:ascii="David" w:hAnsi="David" w:cs="David" w:hint="cs"/>
          <w:sz w:val="24"/>
          <w:szCs w:val="24"/>
          <w:rtl/>
        </w:rPr>
        <w:t>של</w:t>
      </w:r>
      <w:r w:rsidRPr="00B57A8F">
        <w:rPr>
          <w:rFonts w:ascii="David" w:hAnsi="David" w:cs="David" w:hint="default"/>
          <w:sz w:val="24"/>
          <w:szCs w:val="24"/>
          <w:rtl/>
        </w:rPr>
        <w:t xml:space="preserve"> סימולטניות בין מעשה הרשלנות של היועצת לבין</w:t>
      </w:r>
      <w:r w:rsidR="0004391B" w:rsidRPr="00B57A8F">
        <w:rPr>
          <w:rFonts w:ascii="David" w:hAnsi="David" w:cs="David" w:hint="default"/>
          <w:sz w:val="24"/>
          <w:szCs w:val="24"/>
          <w:rtl/>
        </w:rPr>
        <w:t xml:space="preserve"> ההולדה, שכן כתוצאה מן הרשלנות</w:t>
      </w:r>
      <w:r w:rsidR="0004391B" w:rsidRPr="00B57A8F">
        <w:rPr>
          <w:rFonts w:ascii="David" w:hAnsi="David" w:cs="David" w:hint="cs"/>
          <w:sz w:val="24"/>
          <w:szCs w:val="24"/>
          <w:rtl/>
        </w:rPr>
        <w:t xml:space="preserve"> </w:t>
      </w:r>
      <w:r w:rsidRPr="00B57A8F">
        <w:rPr>
          <w:rFonts w:ascii="David" w:hAnsi="David" w:cs="David" w:hint="default"/>
          <w:sz w:val="24"/>
          <w:szCs w:val="24"/>
          <w:rtl/>
        </w:rPr>
        <w:t>היילוד בא לעולם</w:t>
      </w:r>
      <w:r w:rsidR="0004391B" w:rsidRPr="00B57A8F">
        <w:rPr>
          <w:rFonts w:ascii="David" w:hAnsi="David" w:cs="David" w:hint="cs"/>
          <w:sz w:val="24"/>
          <w:szCs w:val="24"/>
          <w:rtl/>
        </w:rPr>
        <w:t>.</w:t>
      </w:r>
      <w:r w:rsidRPr="00B57A8F">
        <w:rPr>
          <w:rFonts w:ascii="David" w:hAnsi="David" w:cs="David" w:hint="default"/>
          <w:sz w:val="24"/>
          <w:szCs w:val="24"/>
          <w:rtl/>
        </w:rPr>
        <w:t xml:space="preserve"> </w:t>
      </w:r>
      <w:r w:rsidR="0004391B" w:rsidRPr="00B57A8F">
        <w:rPr>
          <w:rFonts w:ascii="David" w:hAnsi="David" w:cs="David" w:hint="cs"/>
          <w:sz w:val="24"/>
          <w:szCs w:val="24"/>
          <w:rtl/>
        </w:rPr>
        <w:t>טענת היילוד בתביעתו הינה כי</w:t>
      </w:r>
      <w:r w:rsidRPr="00B57A8F">
        <w:rPr>
          <w:rFonts w:ascii="David" w:hAnsi="David" w:cs="David" w:hint="default"/>
          <w:sz w:val="24"/>
          <w:szCs w:val="24"/>
          <w:rtl/>
        </w:rPr>
        <w:t xml:space="preserve"> </w:t>
      </w:r>
      <w:r w:rsidR="0004391B" w:rsidRPr="00B57A8F">
        <w:rPr>
          <w:rFonts w:ascii="David" w:hAnsi="David" w:cs="David" w:hint="cs"/>
          <w:sz w:val="24"/>
          <w:szCs w:val="24"/>
          <w:rtl/>
        </w:rPr>
        <w:t xml:space="preserve">אילמלא הרשלנות, ואילו ניתן להוריו מידע הולם ונכון, אמו </w:t>
      </w:r>
      <w:r w:rsidRPr="00B57A8F">
        <w:rPr>
          <w:rFonts w:ascii="David" w:hAnsi="David" w:cs="David" w:hint="default"/>
          <w:sz w:val="24"/>
          <w:szCs w:val="24"/>
          <w:rtl/>
        </w:rPr>
        <w:t>הייתה מבצעת הפלה או לחילופין לא הייתה נכנסת להיריון כלל.</w:t>
      </w:r>
      <w:r>
        <w:rPr>
          <w:rStyle w:val="a7"/>
          <w:rFonts w:ascii="David" w:hAnsi="David" w:cs="David" w:hint="default"/>
          <w:sz w:val="24"/>
          <w:szCs w:val="24"/>
        </w:rPr>
        <w:footnoteReference w:id="14"/>
      </w:r>
      <w:r w:rsidRPr="00B57A8F">
        <w:rPr>
          <w:rFonts w:ascii="David" w:hAnsi="David" w:cs="David" w:hint="default"/>
          <w:sz w:val="24"/>
          <w:szCs w:val="24"/>
          <w:rtl/>
        </w:rPr>
        <w:t xml:space="preserve"> המאפיין </w:t>
      </w:r>
      <w:r w:rsidR="00EB0712" w:rsidRPr="00B57A8F">
        <w:rPr>
          <w:rFonts w:ascii="David" w:hAnsi="David" w:cs="David" w:hint="cs"/>
          <w:sz w:val="24"/>
          <w:szCs w:val="24"/>
          <w:rtl/>
        </w:rPr>
        <w:t>הבולט</w:t>
      </w:r>
      <w:r w:rsidRPr="00B57A8F">
        <w:rPr>
          <w:rFonts w:ascii="David" w:hAnsi="David" w:cs="David" w:hint="default"/>
          <w:sz w:val="24"/>
          <w:szCs w:val="24"/>
          <w:rtl/>
        </w:rPr>
        <w:t xml:space="preserve"> בתביעה זו של </w:t>
      </w:r>
      <w:r w:rsidR="00FB6CB1" w:rsidRPr="00B57A8F">
        <w:rPr>
          <w:rFonts w:ascii="David" w:hAnsi="David" w:cs="David" w:hint="default"/>
          <w:sz w:val="24"/>
          <w:szCs w:val="24"/>
          <w:rtl/>
        </w:rPr>
        <w:t>הי</w:t>
      </w:r>
      <w:r w:rsidR="00EB0712" w:rsidRPr="00B57A8F">
        <w:rPr>
          <w:rFonts w:ascii="David" w:hAnsi="David" w:cs="David" w:hint="cs"/>
          <w:sz w:val="24"/>
          <w:szCs w:val="24"/>
          <w:rtl/>
        </w:rPr>
        <w:t>י</w:t>
      </w:r>
      <w:r w:rsidR="00FB6CB1" w:rsidRPr="00B57A8F">
        <w:rPr>
          <w:rFonts w:ascii="David" w:hAnsi="David" w:cs="David" w:hint="default"/>
          <w:sz w:val="24"/>
          <w:szCs w:val="24"/>
          <w:rtl/>
        </w:rPr>
        <w:t xml:space="preserve">לוד </w:t>
      </w:r>
      <w:r w:rsidR="00EB0712" w:rsidRPr="00B57A8F">
        <w:rPr>
          <w:rFonts w:ascii="David" w:hAnsi="David" w:cs="David" w:hint="cs"/>
          <w:sz w:val="24"/>
          <w:szCs w:val="24"/>
          <w:rtl/>
        </w:rPr>
        <w:t>הוא</w:t>
      </w:r>
      <w:r w:rsidR="00FB6CB1" w:rsidRPr="00B57A8F">
        <w:rPr>
          <w:rFonts w:ascii="David" w:hAnsi="David" w:cs="David" w:hint="default"/>
          <w:sz w:val="24"/>
          <w:szCs w:val="24"/>
          <w:rtl/>
        </w:rPr>
        <w:t xml:space="preserve"> בעצם רק דרך תביעתו </w:t>
      </w:r>
      <w:r w:rsidRPr="00B57A8F">
        <w:rPr>
          <w:rFonts w:ascii="David" w:hAnsi="David" w:cs="David" w:hint="default"/>
          <w:sz w:val="24"/>
          <w:szCs w:val="24"/>
          <w:rtl/>
        </w:rPr>
        <w:t>בגין המומים, אשר עק</w:t>
      </w:r>
      <w:r w:rsidR="00EB0712" w:rsidRPr="00B57A8F">
        <w:rPr>
          <w:rFonts w:ascii="David" w:hAnsi="David" w:cs="David" w:hint="default"/>
          <w:sz w:val="24"/>
          <w:szCs w:val="24"/>
          <w:rtl/>
        </w:rPr>
        <w:t>ב לידתו הם ילוו אותו לאורך חייו</w:t>
      </w:r>
      <w:r w:rsidR="000A5869">
        <w:rPr>
          <w:rFonts w:ascii="David" w:hAnsi="David" w:cs="David" w:hint="default"/>
          <w:sz w:val="24"/>
          <w:szCs w:val="24"/>
          <w:rtl/>
        </w:rPr>
        <w:t xml:space="preserve"> אך</w:t>
      </w:r>
      <w:r w:rsidR="000A5869">
        <w:rPr>
          <w:rFonts w:ascii="David" w:hAnsi="David" w:cs="David" w:hint="cs"/>
          <w:sz w:val="24"/>
          <w:szCs w:val="24"/>
          <w:rtl/>
        </w:rPr>
        <w:t>, לעיתים קרובות תביעה זו מובאת על ידי ההורים לטובת היילוד.</w:t>
      </w:r>
      <w:r>
        <w:rPr>
          <w:rStyle w:val="a7"/>
          <w:rFonts w:ascii="David" w:hAnsi="David" w:cs="David" w:hint="default"/>
          <w:sz w:val="24"/>
          <w:szCs w:val="24"/>
        </w:rPr>
        <w:footnoteReference w:id="15"/>
      </w:r>
      <w:r w:rsidRPr="00B57A8F">
        <w:rPr>
          <w:rFonts w:ascii="David" w:hAnsi="David" w:cs="David" w:hint="default"/>
          <w:sz w:val="24"/>
          <w:szCs w:val="24"/>
          <w:rtl/>
        </w:rPr>
        <w:t xml:space="preserve"> </w:t>
      </w:r>
      <w:r w:rsidR="00EB0712" w:rsidRPr="00B57A8F">
        <w:rPr>
          <w:rFonts w:ascii="David" w:hAnsi="David" w:cs="David" w:hint="cs"/>
          <w:sz w:val="24"/>
          <w:szCs w:val="24"/>
          <w:rtl/>
        </w:rPr>
        <w:t xml:space="preserve">ובכך </w:t>
      </w:r>
      <w:r w:rsidRPr="00B57A8F">
        <w:rPr>
          <w:rFonts w:ascii="David" w:hAnsi="David" w:cs="David" w:hint="default"/>
          <w:sz w:val="24"/>
          <w:szCs w:val="24"/>
          <w:rtl/>
        </w:rPr>
        <w:t>בעצם נוצרת כפילות בדיון.</w:t>
      </w:r>
      <w:r w:rsidR="000A5869" w:rsidRPr="000A5869">
        <w:rPr>
          <w:rStyle w:val="a7"/>
          <w:rFonts w:ascii="David" w:hAnsi="David" w:cs="David" w:hint="default"/>
          <w:sz w:val="24"/>
          <w:szCs w:val="24"/>
        </w:rPr>
        <w:t xml:space="preserve"> </w:t>
      </w:r>
      <w:r>
        <w:rPr>
          <w:rStyle w:val="a7"/>
          <w:rFonts w:ascii="David" w:hAnsi="David" w:cs="David" w:hint="default"/>
          <w:sz w:val="24"/>
          <w:szCs w:val="24"/>
        </w:rPr>
        <w:footnoteReference w:id="16"/>
      </w:r>
      <w:r w:rsidR="000A5869" w:rsidRPr="00B57A8F">
        <w:rPr>
          <w:rFonts w:ascii="David" w:hAnsi="David" w:cs="David" w:hint="default"/>
          <w:sz w:val="24"/>
          <w:szCs w:val="24"/>
          <w:rtl/>
        </w:rPr>
        <w:t xml:space="preserve"> </w:t>
      </w:r>
      <w:r w:rsidRPr="00B57A8F">
        <w:rPr>
          <w:rFonts w:ascii="David" w:hAnsi="David" w:cs="David" w:hint="default"/>
          <w:sz w:val="24"/>
          <w:szCs w:val="24"/>
          <w:rtl/>
        </w:rPr>
        <w:t xml:space="preserve"> </w:t>
      </w:r>
    </w:p>
    <w:p w:rsidR="00003A85" w:rsidRPr="00B57A8F" w:rsidRDefault="00BE211D" w:rsidP="00E127BF">
      <w:pPr>
        <w:spacing w:line="360" w:lineRule="auto"/>
        <w:jc w:val="both"/>
        <w:rPr>
          <w:rFonts w:ascii="David" w:hAnsi="David" w:cs="David" w:hint="default"/>
          <w:b/>
          <w:bCs/>
          <w:sz w:val="24"/>
          <w:szCs w:val="24"/>
          <w:u w:val="single"/>
          <w:rtl/>
        </w:rPr>
      </w:pPr>
      <w:r w:rsidRPr="00B57A8F">
        <w:rPr>
          <w:rFonts w:ascii="David" w:hAnsi="David" w:cs="David" w:hint="cs"/>
          <w:b/>
          <w:bCs/>
          <w:sz w:val="24"/>
          <w:szCs w:val="24"/>
          <w:u w:val="single"/>
          <w:rtl/>
        </w:rPr>
        <w:t xml:space="preserve">א2. </w:t>
      </w:r>
      <w:r w:rsidR="00F91604" w:rsidRPr="00B57A8F">
        <w:rPr>
          <w:rFonts w:ascii="David" w:hAnsi="David" w:cs="David" w:hint="default"/>
          <w:b/>
          <w:bCs/>
          <w:sz w:val="24"/>
          <w:szCs w:val="24"/>
          <w:u w:val="single"/>
          <w:rtl/>
        </w:rPr>
        <w:t>פרשת זייצוב</w:t>
      </w:r>
    </w:p>
    <w:p w:rsidR="0058186D" w:rsidRPr="0008103D" w:rsidRDefault="00BE211D" w:rsidP="0021489D">
      <w:pPr>
        <w:spacing w:line="360" w:lineRule="auto"/>
        <w:jc w:val="both"/>
        <w:rPr>
          <w:rFonts w:ascii="David" w:hAnsi="David" w:cs="David" w:hint="default"/>
          <w:i/>
          <w:iCs/>
          <w:sz w:val="24"/>
          <w:szCs w:val="24"/>
          <w:rtl/>
        </w:rPr>
      </w:pPr>
      <w:r w:rsidRPr="0008103D">
        <w:rPr>
          <w:rFonts w:ascii="David" w:hAnsi="David" w:cs="David" w:hint="default"/>
          <w:i/>
          <w:iCs/>
          <w:sz w:val="24"/>
          <w:szCs w:val="24"/>
          <w:rtl/>
        </w:rPr>
        <w:t xml:space="preserve">"שתי שנים ומחצה נחלקו בית שמאי ובית הלל, הללו אומרים: נוח לו לאדם שלא נברא יותר משנברא, והללו אומרים: נוח לו לאדם שנברא יותר משלא </w:t>
      </w:r>
      <w:r w:rsidR="00276B51" w:rsidRPr="0008103D">
        <w:rPr>
          <w:rFonts w:ascii="David" w:hAnsi="David" w:cs="David" w:hint="default"/>
          <w:i/>
          <w:iCs/>
          <w:sz w:val="24"/>
          <w:szCs w:val="24"/>
          <w:rtl/>
        </w:rPr>
        <w:t xml:space="preserve">נברא. נמנו וגמרו: נוח לו לאדם </w:t>
      </w:r>
      <w:r w:rsidRPr="0008103D">
        <w:rPr>
          <w:rFonts w:ascii="David" w:hAnsi="David" w:cs="David" w:hint="default"/>
          <w:i/>
          <w:iCs/>
          <w:sz w:val="24"/>
          <w:szCs w:val="24"/>
          <w:rtl/>
        </w:rPr>
        <w:t>יפשפש במעשיו. – שלא נברא יותר משנברא, עכשיו שנברא – יפשפש במעשיו."</w:t>
      </w:r>
      <w:r>
        <w:rPr>
          <w:rStyle w:val="a7"/>
          <w:rFonts w:ascii="David" w:hAnsi="David" w:cs="David" w:hint="default"/>
          <w:i/>
          <w:iCs/>
          <w:sz w:val="24"/>
          <w:szCs w:val="24"/>
        </w:rPr>
        <w:footnoteReference w:id="17"/>
      </w:r>
      <w:r w:rsidRPr="0008103D">
        <w:rPr>
          <w:rFonts w:ascii="David" w:hAnsi="David" w:cs="David" w:hint="default"/>
          <w:i/>
          <w:iCs/>
          <w:sz w:val="24"/>
          <w:szCs w:val="24"/>
          <w:rtl/>
        </w:rPr>
        <w:t xml:space="preserve"> </w:t>
      </w:r>
    </w:p>
    <w:p w:rsidR="002537CA" w:rsidRPr="00B57A8F" w:rsidRDefault="00BE211D" w:rsidP="00C66434">
      <w:pPr>
        <w:spacing w:line="360" w:lineRule="auto"/>
        <w:jc w:val="both"/>
        <w:rPr>
          <w:rFonts w:ascii="David" w:hAnsi="David" w:cs="David" w:hint="default"/>
          <w:sz w:val="24"/>
          <w:szCs w:val="24"/>
          <w:rtl/>
        </w:rPr>
      </w:pPr>
      <w:r>
        <w:rPr>
          <w:rFonts w:ascii="David" w:hAnsi="David" w:cs="David" w:hint="cs"/>
          <w:sz w:val="24"/>
          <w:szCs w:val="24"/>
          <w:rtl/>
        </w:rPr>
        <w:t>נושא זה של הולדה בעוולה נדון</w:t>
      </w:r>
      <w:r w:rsidR="00D71681" w:rsidRPr="00B57A8F">
        <w:rPr>
          <w:rFonts w:ascii="David" w:hAnsi="David" w:cs="David" w:hint="default"/>
          <w:sz w:val="24"/>
          <w:szCs w:val="24"/>
          <w:rtl/>
        </w:rPr>
        <w:t xml:space="preserve"> לראשונה בישרא</w:t>
      </w:r>
      <w:r w:rsidR="002143D7" w:rsidRPr="00B57A8F">
        <w:rPr>
          <w:rFonts w:ascii="David" w:hAnsi="David" w:cs="David" w:hint="default"/>
          <w:sz w:val="24"/>
          <w:szCs w:val="24"/>
          <w:rtl/>
        </w:rPr>
        <w:t xml:space="preserve">ל </w:t>
      </w:r>
      <w:r>
        <w:rPr>
          <w:rFonts w:ascii="David" w:hAnsi="David" w:cs="David" w:hint="cs"/>
          <w:sz w:val="24"/>
          <w:szCs w:val="24"/>
          <w:rtl/>
        </w:rPr>
        <w:t>בהרכב מורחב של חמישה שופטים בביהמ"ש העליון,</w:t>
      </w:r>
      <w:r w:rsidR="00D71681" w:rsidRPr="00B57A8F">
        <w:rPr>
          <w:rFonts w:ascii="David" w:hAnsi="David" w:cs="David" w:hint="default"/>
          <w:sz w:val="24"/>
          <w:szCs w:val="24"/>
          <w:rtl/>
        </w:rPr>
        <w:t xml:space="preserve"> באמצע שנות </w:t>
      </w:r>
      <w:r>
        <w:rPr>
          <w:rFonts w:ascii="David" w:hAnsi="David" w:cs="David" w:hint="cs"/>
          <w:sz w:val="24"/>
          <w:szCs w:val="24"/>
          <w:rtl/>
        </w:rPr>
        <w:t>השמונים</w:t>
      </w:r>
      <w:r w:rsidR="00D71681" w:rsidRPr="00B57A8F">
        <w:rPr>
          <w:rFonts w:ascii="David" w:hAnsi="David" w:cs="David" w:hint="default"/>
          <w:sz w:val="24"/>
          <w:szCs w:val="24"/>
          <w:rtl/>
        </w:rPr>
        <w:t>.</w:t>
      </w:r>
      <w:r>
        <w:rPr>
          <w:rStyle w:val="a7"/>
          <w:rFonts w:ascii="David" w:hAnsi="David" w:cs="David" w:hint="default"/>
          <w:sz w:val="24"/>
          <w:szCs w:val="24"/>
        </w:rPr>
        <w:footnoteReference w:id="18"/>
      </w:r>
      <w:r w:rsidR="00D71681" w:rsidRPr="00B57A8F">
        <w:rPr>
          <w:rFonts w:ascii="David" w:hAnsi="David" w:cs="David" w:hint="default"/>
          <w:sz w:val="24"/>
          <w:szCs w:val="24"/>
          <w:rtl/>
        </w:rPr>
        <w:t xml:space="preserve"> </w:t>
      </w:r>
      <w:r w:rsidR="00C66434">
        <w:rPr>
          <w:rFonts w:ascii="David" w:hAnsi="David" w:cs="David" w:hint="cs"/>
          <w:sz w:val="24"/>
          <w:szCs w:val="24"/>
          <w:rtl/>
        </w:rPr>
        <w:t xml:space="preserve">כאמור לעיל, תביעת ההורים </w:t>
      </w:r>
      <w:r w:rsidR="00D71681" w:rsidRPr="00B57A8F">
        <w:rPr>
          <w:rFonts w:ascii="David" w:hAnsi="David" w:cs="David" w:hint="default"/>
          <w:sz w:val="24"/>
          <w:szCs w:val="24"/>
          <w:rtl/>
        </w:rPr>
        <w:t xml:space="preserve">התקבלה פה אחד על ידי שופטי </w:t>
      </w:r>
      <w:r w:rsidR="00C66434">
        <w:rPr>
          <w:rFonts w:ascii="David" w:hAnsi="David" w:cs="David" w:hint="cs"/>
          <w:sz w:val="24"/>
          <w:szCs w:val="24"/>
          <w:rtl/>
        </w:rPr>
        <w:t>ביהמ"ש</w:t>
      </w:r>
      <w:r w:rsidR="00C66434">
        <w:rPr>
          <w:rFonts w:ascii="David" w:hAnsi="David" w:cs="David" w:hint="default"/>
          <w:sz w:val="24"/>
          <w:szCs w:val="24"/>
          <w:rtl/>
        </w:rPr>
        <w:t xml:space="preserve"> העליון</w:t>
      </w:r>
      <w:r w:rsidR="00C66434">
        <w:rPr>
          <w:rFonts w:ascii="David" w:hAnsi="David" w:cs="David" w:hint="cs"/>
          <w:sz w:val="24"/>
          <w:szCs w:val="24"/>
          <w:rtl/>
        </w:rPr>
        <w:t>, אשר קבעו</w:t>
      </w:r>
      <w:r w:rsidR="00D71681" w:rsidRPr="00B57A8F">
        <w:rPr>
          <w:rFonts w:ascii="David" w:hAnsi="David" w:cs="David" w:hint="default"/>
          <w:sz w:val="24"/>
          <w:szCs w:val="24"/>
          <w:rtl/>
        </w:rPr>
        <w:t xml:space="preserve"> כי ההורים יכולים לתבוע בגין ההתרשלות כי לולא </w:t>
      </w:r>
      <w:r w:rsidR="002143D7" w:rsidRPr="00B57A8F">
        <w:rPr>
          <w:rFonts w:ascii="David" w:hAnsi="David" w:cs="David" w:hint="cs"/>
          <w:sz w:val="24"/>
          <w:szCs w:val="24"/>
          <w:rtl/>
        </w:rPr>
        <w:t xml:space="preserve">אירעה תקרית </w:t>
      </w:r>
      <w:r w:rsidR="00D71681" w:rsidRPr="00B57A8F">
        <w:rPr>
          <w:rFonts w:ascii="David" w:hAnsi="David" w:cs="David" w:hint="default"/>
          <w:sz w:val="24"/>
          <w:szCs w:val="24"/>
          <w:rtl/>
        </w:rPr>
        <w:t xml:space="preserve">לא היה מגיע היילוד לעולם, ולכן הם יכולים לתבוע על הנזקים </w:t>
      </w:r>
      <w:r w:rsidR="002143D7" w:rsidRPr="00B57A8F">
        <w:rPr>
          <w:rFonts w:ascii="David" w:hAnsi="David" w:cs="David" w:hint="cs"/>
          <w:sz w:val="24"/>
          <w:szCs w:val="24"/>
          <w:rtl/>
        </w:rPr>
        <w:t>שנגרמו</w:t>
      </w:r>
      <w:r w:rsidR="00D71681" w:rsidRPr="00B57A8F">
        <w:rPr>
          <w:rFonts w:ascii="David" w:hAnsi="David" w:cs="David" w:hint="default"/>
          <w:sz w:val="24"/>
          <w:szCs w:val="24"/>
          <w:rtl/>
        </w:rPr>
        <w:t xml:space="preserve"> להם כתוצאה מהלידה.</w:t>
      </w:r>
      <w:r>
        <w:rPr>
          <w:rStyle w:val="a7"/>
          <w:rFonts w:ascii="David" w:hAnsi="David" w:cs="David" w:hint="default"/>
          <w:sz w:val="24"/>
          <w:szCs w:val="24"/>
        </w:rPr>
        <w:footnoteReference w:id="19"/>
      </w:r>
      <w:r w:rsidR="00233C27" w:rsidRPr="00B57A8F">
        <w:rPr>
          <w:rFonts w:ascii="David" w:hAnsi="David" w:cs="David" w:hint="default"/>
          <w:sz w:val="24"/>
          <w:szCs w:val="24"/>
          <w:rtl/>
        </w:rPr>
        <w:t xml:space="preserve"> לעומת זאת, בעניין תביעת </w:t>
      </w:r>
      <w:r w:rsidR="002143D7" w:rsidRPr="00B57A8F">
        <w:rPr>
          <w:rFonts w:ascii="David" w:hAnsi="David" w:cs="David" w:hint="cs"/>
          <w:sz w:val="24"/>
          <w:szCs w:val="24"/>
          <w:rtl/>
        </w:rPr>
        <w:t>היילוד</w:t>
      </w:r>
      <w:r w:rsidR="00233C27" w:rsidRPr="00B57A8F">
        <w:rPr>
          <w:rFonts w:ascii="David" w:hAnsi="David" w:cs="David" w:hint="default"/>
          <w:sz w:val="24"/>
          <w:szCs w:val="24"/>
          <w:rtl/>
        </w:rPr>
        <w:t xml:space="preserve"> נחלקו דעתם של השופטים לשלוש. </w:t>
      </w:r>
    </w:p>
    <w:p w:rsidR="00BC08A9" w:rsidRPr="00B57A8F" w:rsidRDefault="00BE211D" w:rsidP="002143D7">
      <w:pPr>
        <w:spacing w:line="360" w:lineRule="auto"/>
        <w:jc w:val="both"/>
        <w:rPr>
          <w:rFonts w:ascii="David" w:hAnsi="David" w:cs="David" w:hint="default"/>
          <w:sz w:val="24"/>
          <w:szCs w:val="24"/>
          <w:rtl/>
        </w:rPr>
      </w:pPr>
      <w:r w:rsidRPr="00B57A8F">
        <w:rPr>
          <w:rFonts w:ascii="David" w:hAnsi="David" w:cs="David" w:hint="default"/>
          <w:sz w:val="24"/>
          <w:szCs w:val="24"/>
          <w:rtl/>
        </w:rPr>
        <w:t>לדעת המשנה לנשיא</w:t>
      </w:r>
      <w:r w:rsidRPr="00B57A8F">
        <w:rPr>
          <w:rFonts w:ascii="David" w:hAnsi="David" w:cs="David" w:hint="default"/>
          <w:b/>
          <w:bCs/>
          <w:sz w:val="24"/>
          <w:szCs w:val="24"/>
          <w:rtl/>
        </w:rPr>
        <w:t xml:space="preserve"> השופטת מרים בן-פורת, </w:t>
      </w:r>
      <w:r w:rsidR="00986AE3" w:rsidRPr="00B57A8F">
        <w:rPr>
          <w:rFonts w:ascii="David" w:hAnsi="David" w:cs="David" w:hint="default"/>
          <w:sz w:val="24"/>
          <w:szCs w:val="24"/>
          <w:rtl/>
        </w:rPr>
        <w:t xml:space="preserve"> </w:t>
      </w:r>
      <w:r w:rsidR="00CA3A99" w:rsidRPr="00B57A8F">
        <w:rPr>
          <w:rFonts w:ascii="David" w:hAnsi="David" w:cs="David" w:hint="default"/>
          <w:sz w:val="24"/>
          <w:szCs w:val="24"/>
          <w:rtl/>
        </w:rPr>
        <w:t>אליה הצטרף השופט דב לוין</w:t>
      </w:r>
      <w:r w:rsidR="002143D7" w:rsidRPr="00B57A8F">
        <w:rPr>
          <w:rFonts w:ascii="David" w:hAnsi="David" w:cs="David" w:hint="cs"/>
          <w:sz w:val="24"/>
          <w:szCs w:val="24"/>
          <w:rtl/>
        </w:rPr>
        <w:t>,</w:t>
      </w:r>
      <w:r w:rsidR="00CA3A99" w:rsidRPr="00B57A8F">
        <w:rPr>
          <w:rFonts w:ascii="David" w:hAnsi="David" w:cs="David" w:hint="default"/>
          <w:sz w:val="24"/>
          <w:szCs w:val="24"/>
          <w:rtl/>
        </w:rPr>
        <w:t xml:space="preserve"> </w:t>
      </w:r>
      <w:r w:rsidR="007245A0" w:rsidRPr="00B57A8F">
        <w:rPr>
          <w:rFonts w:ascii="David" w:hAnsi="David" w:cs="David" w:hint="default"/>
          <w:sz w:val="24"/>
          <w:szCs w:val="24"/>
          <w:rtl/>
        </w:rPr>
        <w:t xml:space="preserve">עילת תביעה בגין </w:t>
      </w:r>
      <w:r w:rsidR="00415AA0">
        <w:rPr>
          <w:rFonts w:ascii="David" w:hAnsi="David" w:cs="David" w:hint="cs"/>
          <w:sz w:val="24"/>
          <w:szCs w:val="24"/>
          <w:rtl/>
        </w:rPr>
        <w:t>"</w:t>
      </w:r>
      <w:r w:rsidR="007245A0" w:rsidRPr="00B57A8F">
        <w:rPr>
          <w:rFonts w:ascii="David" w:hAnsi="David" w:cs="David" w:hint="default"/>
          <w:sz w:val="24"/>
          <w:szCs w:val="24"/>
          <w:rtl/>
        </w:rPr>
        <w:t>חיים בעוולה</w:t>
      </w:r>
      <w:r w:rsidR="00415AA0">
        <w:rPr>
          <w:rFonts w:ascii="David" w:hAnsi="David" w:cs="David" w:hint="cs"/>
          <w:sz w:val="24"/>
          <w:szCs w:val="24"/>
          <w:rtl/>
        </w:rPr>
        <w:t>"</w:t>
      </w:r>
      <w:r w:rsidR="007245A0" w:rsidRPr="00B57A8F">
        <w:rPr>
          <w:rFonts w:ascii="David" w:hAnsi="David" w:cs="David" w:hint="default"/>
          <w:sz w:val="24"/>
          <w:szCs w:val="24"/>
          <w:rtl/>
        </w:rPr>
        <w:t xml:space="preserve"> תוכר רק במצבים חמורים ביותר בהם ניתן לומר: "טוב לו שלא נברא משנב</w:t>
      </w:r>
      <w:r w:rsidR="002143D7" w:rsidRPr="00B57A8F">
        <w:rPr>
          <w:rFonts w:ascii="David" w:hAnsi="David" w:cs="David" w:hint="cs"/>
          <w:sz w:val="24"/>
          <w:szCs w:val="24"/>
          <w:rtl/>
        </w:rPr>
        <w:t>ר</w:t>
      </w:r>
      <w:r w:rsidR="007245A0" w:rsidRPr="00B57A8F">
        <w:rPr>
          <w:rFonts w:ascii="David" w:hAnsi="David" w:cs="David" w:hint="default"/>
          <w:sz w:val="24"/>
          <w:szCs w:val="24"/>
          <w:rtl/>
        </w:rPr>
        <w:t>א".</w:t>
      </w:r>
      <w:r>
        <w:rPr>
          <w:rStyle w:val="a7"/>
          <w:rFonts w:ascii="David" w:hAnsi="David" w:cs="David" w:hint="default"/>
          <w:sz w:val="24"/>
          <w:szCs w:val="24"/>
        </w:rPr>
        <w:footnoteReference w:id="20"/>
      </w:r>
      <w:r w:rsidR="00C860FB" w:rsidRPr="00B57A8F">
        <w:rPr>
          <w:rFonts w:ascii="David" w:hAnsi="David" w:cs="David" w:hint="default"/>
          <w:sz w:val="24"/>
          <w:szCs w:val="24"/>
          <w:rtl/>
        </w:rPr>
        <w:t xml:space="preserve"> </w:t>
      </w:r>
      <w:r w:rsidR="00BA6D10" w:rsidRPr="00B57A8F">
        <w:rPr>
          <w:rFonts w:ascii="David" w:hAnsi="David" w:cs="David" w:hint="default"/>
          <w:sz w:val="24"/>
          <w:szCs w:val="24"/>
          <w:rtl/>
        </w:rPr>
        <w:t xml:space="preserve">כאשר אדם סובר כי חייו במומו גרועים מאי חיים, </w:t>
      </w:r>
      <w:r w:rsidR="002143D7" w:rsidRPr="00B57A8F">
        <w:rPr>
          <w:rFonts w:ascii="David" w:hAnsi="David" w:cs="David" w:hint="cs"/>
          <w:sz w:val="24"/>
          <w:szCs w:val="24"/>
          <w:rtl/>
        </w:rPr>
        <w:t>הרי ש</w:t>
      </w:r>
      <w:r w:rsidR="00BA6D10" w:rsidRPr="00B57A8F">
        <w:rPr>
          <w:rFonts w:ascii="David" w:hAnsi="David" w:cs="David" w:hint="default"/>
          <w:sz w:val="24"/>
          <w:szCs w:val="24"/>
          <w:rtl/>
        </w:rPr>
        <w:t>הוכח קיומו של נזק וקמה עילת תביעה.</w:t>
      </w:r>
      <w:r>
        <w:rPr>
          <w:rStyle w:val="a7"/>
          <w:rFonts w:ascii="David" w:hAnsi="David" w:cs="David" w:hint="default"/>
          <w:sz w:val="24"/>
          <w:szCs w:val="24"/>
        </w:rPr>
        <w:footnoteReference w:id="21"/>
      </w:r>
      <w:r w:rsidR="00BA6D10" w:rsidRPr="00B57A8F">
        <w:rPr>
          <w:rFonts w:ascii="David" w:hAnsi="David" w:cs="David" w:hint="default"/>
          <w:sz w:val="24"/>
          <w:szCs w:val="24"/>
          <w:rtl/>
        </w:rPr>
        <w:t xml:space="preserve"> </w:t>
      </w:r>
      <w:r w:rsidR="007245A0" w:rsidRPr="00B57A8F">
        <w:rPr>
          <w:rFonts w:ascii="David" w:hAnsi="David" w:cs="David" w:hint="default"/>
          <w:sz w:val="24"/>
          <w:szCs w:val="24"/>
          <w:rtl/>
        </w:rPr>
        <w:t xml:space="preserve">בשל כך, המזיק יתחייב להעניק ליילוד </w:t>
      </w:r>
      <w:r w:rsidR="007245A0" w:rsidRPr="00B57A8F">
        <w:rPr>
          <w:rFonts w:ascii="David" w:hAnsi="David" w:cs="David" w:hint="default"/>
          <w:sz w:val="24"/>
          <w:szCs w:val="24"/>
          <w:rtl/>
        </w:rPr>
        <w:lastRenderedPageBreak/>
        <w:t>פיצוי ממוני ככל שיאפשר לו למצות את הפוטנציאל הקיים בו, על מנת שיוכל לתפקד בצורה טובה יותר לצד מצבו הנחות.</w:t>
      </w:r>
      <w:r>
        <w:rPr>
          <w:rStyle w:val="a7"/>
          <w:rFonts w:ascii="David" w:hAnsi="David" w:cs="David" w:hint="default"/>
          <w:sz w:val="24"/>
          <w:szCs w:val="24"/>
        </w:rPr>
        <w:footnoteReference w:id="22"/>
      </w:r>
    </w:p>
    <w:p w:rsidR="00E810DD" w:rsidRPr="0008103D" w:rsidRDefault="00BE211D" w:rsidP="004638EF">
      <w:pPr>
        <w:spacing w:line="360" w:lineRule="auto"/>
        <w:jc w:val="both"/>
        <w:rPr>
          <w:rFonts w:ascii="David" w:hAnsi="David" w:cs="David" w:hint="default"/>
          <w:i/>
          <w:iCs/>
          <w:sz w:val="24"/>
          <w:szCs w:val="24"/>
          <w:rtl/>
        </w:rPr>
      </w:pPr>
      <w:r w:rsidRPr="0008103D">
        <w:rPr>
          <w:rFonts w:ascii="David" w:hAnsi="David" w:cs="David" w:hint="default"/>
          <w:i/>
          <w:iCs/>
          <w:sz w:val="24"/>
          <w:szCs w:val="24"/>
          <w:rtl/>
        </w:rPr>
        <w:t xml:space="preserve">"השאלה היא, כלום ייתכן, שבמצב כלשהו יהיה אי-קיום </w:t>
      </w:r>
      <w:r w:rsidR="004638EF" w:rsidRPr="0008103D">
        <w:rPr>
          <w:rFonts w:ascii="David" w:hAnsi="David" w:cs="David" w:hint="default"/>
          <w:i/>
          <w:iCs/>
          <w:sz w:val="24"/>
          <w:szCs w:val="24"/>
          <w:rtl/>
        </w:rPr>
        <w:t>(</w:t>
      </w:r>
      <w:r w:rsidRPr="0008103D">
        <w:rPr>
          <w:rFonts w:ascii="David" w:hAnsi="David" w:cs="David" w:hint="default"/>
          <w:i/>
          <w:iCs/>
          <w:sz w:val="24"/>
          <w:szCs w:val="24"/>
          <w:rtl/>
        </w:rPr>
        <w:t>כאמור, להבדיל ממוות</w:t>
      </w:r>
      <w:r w:rsidR="004638EF" w:rsidRPr="0008103D">
        <w:rPr>
          <w:rFonts w:ascii="David" w:hAnsi="David" w:cs="David" w:hint="default"/>
          <w:i/>
          <w:iCs/>
          <w:sz w:val="24"/>
          <w:szCs w:val="24"/>
          <w:rtl/>
        </w:rPr>
        <w:t>)</w:t>
      </w:r>
      <w:r w:rsidRPr="0008103D">
        <w:rPr>
          <w:rFonts w:ascii="David" w:hAnsi="David" w:cs="David" w:hint="default"/>
          <w:i/>
          <w:iCs/>
          <w:sz w:val="24"/>
          <w:szCs w:val="24"/>
          <w:rtl/>
        </w:rPr>
        <w:t xml:space="preserve"> עדיף על פני החיים. לאחר ששקלתי בדבר התגבשה </w:t>
      </w:r>
      <w:r w:rsidRPr="0008103D">
        <w:rPr>
          <w:rFonts w:ascii="David" w:hAnsi="David" w:cs="David" w:hint="default"/>
          <w:i/>
          <w:iCs/>
          <w:sz w:val="24"/>
          <w:szCs w:val="24"/>
          <w:rtl/>
        </w:rPr>
        <w:t>בי הדעה, כי ייתכנו מקרים, אם כי נדירים, שבהם ניתן יהא לקבוע, שטוב היה לאדם פלוני לולא נולד. לעתים תהא זו הנחה חברתית מוסכמת, שמוטב היה לפלוני לא להיוולד מלחיות תוך מוגבלות חמורה. הנחה חברתית כזו תוסק, אם במקרה נתון תהיה זו דעתו של "האדם הסביר" – מונח מושרש</w:t>
      </w:r>
      <w:r w:rsidRPr="0008103D">
        <w:rPr>
          <w:rFonts w:ascii="David" w:hAnsi="David" w:cs="David" w:hint="default"/>
          <w:i/>
          <w:iCs/>
          <w:sz w:val="24"/>
          <w:szCs w:val="24"/>
          <w:rtl/>
        </w:rPr>
        <w:t xml:space="preserve"> היטב בדיני הנזיקין. זהו, לפי השקפתי, בסיס משפטי והגיוני כאחד לקביעה, שקיים אותו 'אבדן', או שקיימת אותה 'גריעה', כנדרש בהגדרה של 'נזק' בפקודת הנזיקין [נוסח חדש].</w:t>
      </w:r>
      <w:r>
        <w:rPr>
          <w:rStyle w:val="a7"/>
          <w:rFonts w:ascii="David" w:hAnsi="David" w:cs="David" w:hint="default"/>
          <w:i/>
          <w:iCs/>
          <w:sz w:val="24"/>
          <w:szCs w:val="24"/>
        </w:rPr>
        <w:footnoteReference w:id="23"/>
      </w:r>
    </w:p>
    <w:p w:rsidR="000E47AB" w:rsidRPr="0008103D" w:rsidRDefault="00BE211D" w:rsidP="004E250C">
      <w:pPr>
        <w:spacing w:line="360" w:lineRule="auto"/>
        <w:jc w:val="both"/>
        <w:rPr>
          <w:rFonts w:ascii="David" w:hAnsi="David" w:cs="David" w:hint="default"/>
          <w:i/>
          <w:iCs/>
          <w:sz w:val="24"/>
          <w:szCs w:val="24"/>
          <w:rtl/>
        </w:rPr>
      </w:pPr>
      <w:r w:rsidRPr="00B57A8F">
        <w:rPr>
          <w:rFonts w:ascii="David" w:hAnsi="David" w:cs="David" w:hint="default"/>
          <w:sz w:val="24"/>
          <w:szCs w:val="24"/>
          <w:rtl/>
        </w:rPr>
        <w:t xml:space="preserve">ראוי להוסיף </w:t>
      </w:r>
      <w:r w:rsidR="004E250C" w:rsidRPr="00B57A8F">
        <w:rPr>
          <w:rFonts w:ascii="David" w:hAnsi="David" w:cs="David" w:hint="cs"/>
          <w:sz w:val="24"/>
          <w:szCs w:val="24"/>
          <w:rtl/>
        </w:rPr>
        <w:t>את</w:t>
      </w:r>
      <w:r w:rsidRPr="00B57A8F">
        <w:rPr>
          <w:rFonts w:ascii="David" w:hAnsi="David" w:cs="David" w:hint="default"/>
          <w:sz w:val="24"/>
          <w:szCs w:val="24"/>
          <w:rtl/>
        </w:rPr>
        <w:t xml:space="preserve"> דבריו של השופט דב לוין</w:t>
      </w:r>
      <w:r w:rsidR="004E250C" w:rsidRPr="00B57A8F">
        <w:rPr>
          <w:rFonts w:ascii="David" w:hAnsi="David" w:cs="David" w:hint="cs"/>
          <w:sz w:val="24"/>
          <w:szCs w:val="24"/>
          <w:rtl/>
        </w:rPr>
        <w:t>,</w:t>
      </w:r>
      <w:r w:rsidRPr="00B57A8F">
        <w:rPr>
          <w:rFonts w:ascii="David" w:hAnsi="David" w:cs="David" w:hint="default"/>
          <w:sz w:val="24"/>
          <w:szCs w:val="24"/>
          <w:rtl/>
        </w:rPr>
        <w:t xml:space="preserve"> אשר הדגיש את "'קדושת החיים" </w:t>
      </w:r>
      <w:r w:rsidR="004E250C" w:rsidRPr="00B57A8F">
        <w:rPr>
          <w:rFonts w:ascii="David" w:hAnsi="David" w:cs="David" w:hint="cs"/>
          <w:sz w:val="24"/>
          <w:szCs w:val="24"/>
          <w:rtl/>
        </w:rPr>
        <w:t>ו</w:t>
      </w:r>
      <w:r w:rsidRPr="00B57A8F">
        <w:rPr>
          <w:rFonts w:ascii="David" w:hAnsi="David" w:cs="David" w:hint="default"/>
          <w:sz w:val="24"/>
          <w:szCs w:val="24"/>
          <w:rtl/>
        </w:rPr>
        <w:t>סבר</w:t>
      </w:r>
      <w:r w:rsidR="004E250C" w:rsidRPr="00B57A8F">
        <w:rPr>
          <w:rFonts w:ascii="David" w:hAnsi="David" w:cs="David" w:hint="cs"/>
          <w:sz w:val="24"/>
          <w:szCs w:val="24"/>
          <w:rtl/>
        </w:rPr>
        <w:t xml:space="preserve"> כי</w:t>
      </w:r>
      <w:r w:rsidRPr="00B57A8F">
        <w:rPr>
          <w:rFonts w:ascii="David" w:hAnsi="David" w:cs="David" w:hint="default"/>
          <w:sz w:val="24"/>
          <w:szCs w:val="24"/>
          <w:rtl/>
        </w:rPr>
        <w:t xml:space="preserve">: </w:t>
      </w:r>
      <w:r w:rsidRPr="0008103D">
        <w:rPr>
          <w:rFonts w:ascii="David" w:hAnsi="David" w:cs="David" w:hint="default"/>
          <w:i/>
          <w:iCs/>
          <w:sz w:val="24"/>
          <w:szCs w:val="24"/>
          <w:rtl/>
        </w:rPr>
        <w:t xml:space="preserve">"לכאורה, מי שזכה </w:t>
      </w:r>
      <w:r w:rsidRPr="0008103D">
        <w:rPr>
          <w:rFonts w:ascii="David" w:hAnsi="David" w:cs="David" w:hint="default"/>
          <w:i/>
          <w:iCs/>
          <w:sz w:val="24"/>
          <w:szCs w:val="24"/>
          <w:rtl/>
        </w:rPr>
        <w:t>לראות את החמה בזריחתה, את כחול השמים בזוהרם, מי שחש את עוצמת הווית החיים וטעם ממכמניה, מצבו עדיף על מי שנתקפח ולא זכה בכל אלה."</w:t>
      </w:r>
      <w:r>
        <w:rPr>
          <w:rStyle w:val="a7"/>
          <w:rFonts w:ascii="David" w:hAnsi="David" w:cs="David" w:hint="default"/>
          <w:i/>
          <w:iCs/>
          <w:sz w:val="24"/>
          <w:szCs w:val="24"/>
        </w:rPr>
        <w:footnoteReference w:id="24"/>
      </w:r>
    </w:p>
    <w:p w:rsidR="001045F0" w:rsidRPr="00B57A8F" w:rsidRDefault="00BE211D" w:rsidP="00101C9B">
      <w:pPr>
        <w:spacing w:line="360" w:lineRule="auto"/>
        <w:jc w:val="both"/>
        <w:rPr>
          <w:rFonts w:ascii="David" w:hAnsi="David" w:cs="David" w:hint="default"/>
          <w:sz w:val="24"/>
          <w:szCs w:val="24"/>
          <w:rtl/>
        </w:rPr>
      </w:pPr>
      <w:r w:rsidRPr="00B57A8F">
        <w:rPr>
          <w:rFonts w:ascii="David" w:hAnsi="David" w:cs="David" w:hint="default"/>
          <w:b/>
          <w:bCs/>
          <w:sz w:val="24"/>
          <w:szCs w:val="24"/>
          <w:rtl/>
        </w:rPr>
        <w:t xml:space="preserve">השופט אהרן ברק, </w:t>
      </w:r>
      <w:r w:rsidR="008B02A8">
        <w:rPr>
          <w:rFonts w:ascii="David" w:hAnsi="David" w:cs="David" w:hint="cs"/>
          <w:sz w:val="24"/>
          <w:szCs w:val="24"/>
          <w:rtl/>
        </w:rPr>
        <w:t>דעה אליה</w:t>
      </w:r>
      <w:r w:rsidRPr="00B57A8F">
        <w:rPr>
          <w:rFonts w:ascii="David" w:hAnsi="David" w:cs="David" w:hint="default"/>
          <w:sz w:val="24"/>
          <w:szCs w:val="24"/>
          <w:rtl/>
        </w:rPr>
        <w:t xml:space="preserve"> הצטרף השופט שלמה לוין</w:t>
      </w:r>
      <w:r w:rsidR="00BD2260">
        <w:rPr>
          <w:rFonts w:ascii="David" w:hAnsi="David" w:cs="David" w:hint="cs"/>
          <w:sz w:val="24"/>
          <w:szCs w:val="24"/>
          <w:rtl/>
        </w:rPr>
        <w:t>,</w:t>
      </w:r>
      <w:r w:rsidRPr="00B57A8F">
        <w:rPr>
          <w:rFonts w:ascii="David" w:hAnsi="David" w:cs="David" w:hint="default"/>
          <w:sz w:val="24"/>
          <w:szCs w:val="24"/>
          <w:rtl/>
        </w:rPr>
        <w:t xml:space="preserve"> </w:t>
      </w:r>
      <w:r w:rsidR="00514772" w:rsidRPr="00B57A8F">
        <w:rPr>
          <w:rFonts w:ascii="David" w:hAnsi="David" w:cs="David" w:hint="default"/>
          <w:sz w:val="24"/>
          <w:szCs w:val="24"/>
          <w:rtl/>
        </w:rPr>
        <w:t xml:space="preserve">סבר כי </w:t>
      </w:r>
      <w:r w:rsidR="00511772" w:rsidRPr="00B57A8F">
        <w:rPr>
          <w:rFonts w:ascii="David" w:hAnsi="David" w:cs="David" w:hint="default"/>
          <w:sz w:val="24"/>
          <w:szCs w:val="24"/>
          <w:rtl/>
        </w:rPr>
        <w:t>ההשוואה בין מצב הילד ללא מום למצבו לולא נולד היא לא נכונה</w:t>
      </w:r>
      <w:r w:rsidR="00514772" w:rsidRPr="00B57A8F">
        <w:rPr>
          <w:rFonts w:ascii="David" w:hAnsi="David" w:cs="David" w:hint="default"/>
          <w:sz w:val="24"/>
          <w:szCs w:val="24"/>
          <w:rtl/>
        </w:rPr>
        <w:t>, אלא יש</w:t>
      </w:r>
      <w:r w:rsidR="00B805EA" w:rsidRPr="00B57A8F">
        <w:rPr>
          <w:rFonts w:ascii="David" w:hAnsi="David" w:cs="David" w:hint="default"/>
          <w:sz w:val="24"/>
          <w:szCs w:val="24"/>
          <w:rtl/>
        </w:rPr>
        <w:t xml:space="preserve"> צורך להשוות לפיו מצבו </w:t>
      </w:r>
      <w:r w:rsidR="00511772" w:rsidRPr="00B57A8F">
        <w:rPr>
          <w:rFonts w:ascii="David" w:hAnsi="David" w:cs="David" w:hint="default"/>
          <w:sz w:val="24"/>
          <w:szCs w:val="24"/>
          <w:rtl/>
        </w:rPr>
        <w:t xml:space="preserve">כי היה נולד </w:t>
      </w:r>
      <w:r w:rsidR="00B805EA" w:rsidRPr="00B57A8F">
        <w:rPr>
          <w:rFonts w:ascii="David" w:hAnsi="David" w:cs="David" w:hint="default"/>
          <w:sz w:val="24"/>
          <w:szCs w:val="24"/>
          <w:rtl/>
        </w:rPr>
        <w:t>ללא מום.</w:t>
      </w:r>
      <w:r>
        <w:rPr>
          <w:rStyle w:val="a7"/>
          <w:rFonts w:ascii="David" w:hAnsi="David" w:cs="David" w:hint="default"/>
          <w:sz w:val="24"/>
          <w:szCs w:val="24"/>
        </w:rPr>
        <w:footnoteReference w:id="25"/>
      </w:r>
      <w:r w:rsidR="00B805EA" w:rsidRPr="00B57A8F">
        <w:rPr>
          <w:rFonts w:ascii="David" w:hAnsi="David" w:cs="David" w:hint="default"/>
          <w:sz w:val="24"/>
          <w:szCs w:val="24"/>
          <w:rtl/>
        </w:rPr>
        <w:t xml:space="preserve"> </w:t>
      </w:r>
      <w:r w:rsidR="004F5D90" w:rsidRPr="00B57A8F">
        <w:rPr>
          <w:rFonts w:ascii="David" w:hAnsi="David" w:cs="David" w:hint="default"/>
          <w:sz w:val="24"/>
          <w:szCs w:val="24"/>
          <w:rtl/>
        </w:rPr>
        <w:t xml:space="preserve">דעתו הפוכה לדעתה של השופטת בן-פורת </w:t>
      </w:r>
      <w:r w:rsidR="00CE118D" w:rsidRPr="00B57A8F">
        <w:rPr>
          <w:rFonts w:ascii="David" w:hAnsi="David" w:cs="David" w:hint="default"/>
          <w:sz w:val="24"/>
          <w:szCs w:val="24"/>
          <w:rtl/>
        </w:rPr>
        <w:t>בכך</w:t>
      </w:r>
      <w:r w:rsidR="004E250C" w:rsidRPr="00B57A8F">
        <w:rPr>
          <w:rFonts w:ascii="David" w:hAnsi="David" w:cs="David" w:hint="default"/>
          <w:sz w:val="24"/>
          <w:szCs w:val="24"/>
          <w:rtl/>
        </w:rPr>
        <w:t xml:space="preserve"> שזכות התביעה לא צריכה להצטמצם </w:t>
      </w:r>
      <w:r w:rsidR="004E250C" w:rsidRPr="00B57A8F">
        <w:rPr>
          <w:rFonts w:ascii="David" w:hAnsi="David" w:cs="David" w:hint="cs"/>
          <w:sz w:val="24"/>
          <w:szCs w:val="24"/>
          <w:rtl/>
        </w:rPr>
        <w:t>ל</w:t>
      </w:r>
      <w:r w:rsidR="00CE118D" w:rsidRPr="00B57A8F">
        <w:rPr>
          <w:rFonts w:ascii="David" w:hAnsi="David" w:cs="David" w:hint="default"/>
          <w:sz w:val="24"/>
          <w:szCs w:val="24"/>
          <w:rtl/>
        </w:rPr>
        <w:t xml:space="preserve">מצבים קיצוניים וחמורים אלא דלתות </w:t>
      </w:r>
      <w:r w:rsidR="00101C9B">
        <w:rPr>
          <w:rFonts w:ascii="David" w:hAnsi="David" w:cs="David" w:hint="cs"/>
          <w:sz w:val="24"/>
          <w:szCs w:val="24"/>
          <w:rtl/>
        </w:rPr>
        <w:t>ביהמ"ש</w:t>
      </w:r>
      <w:r w:rsidR="00CE118D" w:rsidRPr="00B57A8F">
        <w:rPr>
          <w:rFonts w:ascii="David" w:hAnsi="David" w:cs="David" w:hint="default"/>
          <w:sz w:val="24"/>
          <w:szCs w:val="24"/>
          <w:rtl/>
        </w:rPr>
        <w:t xml:space="preserve"> צריכות להיות פתוחות לכל אדם ולכל מום שהוא.</w:t>
      </w:r>
      <w:r>
        <w:rPr>
          <w:rStyle w:val="a7"/>
          <w:rFonts w:ascii="David" w:hAnsi="David" w:cs="David" w:hint="default"/>
          <w:sz w:val="24"/>
          <w:szCs w:val="24"/>
        </w:rPr>
        <w:footnoteReference w:id="26"/>
      </w:r>
      <w:r w:rsidR="004F5D90" w:rsidRPr="00B57A8F">
        <w:rPr>
          <w:rFonts w:ascii="David" w:hAnsi="David" w:cs="David" w:hint="default"/>
          <w:sz w:val="24"/>
          <w:szCs w:val="24"/>
          <w:rtl/>
        </w:rPr>
        <w:t xml:space="preserve"> </w:t>
      </w:r>
      <w:r w:rsidR="002303FB" w:rsidRPr="00B57A8F">
        <w:rPr>
          <w:rFonts w:ascii="David" w:hAnsi="David" w:cs="David" w:hint="default"/>
          <w:sz w:val="24"/>
          <w:szCs w:val="24"/>
          <w:rtl/>
        </w:rPr>
        <w:t xml:space="preserve">מטרת הפיצויים היא להחזיר את המצב </w:t>
      </w:r>
      <w:r w:rsidR="004E250C" w:rsidRPr="00B57A8F">
        <w:rPr>
          <w:rFonts w:ascii="David" w:hAnsi="David" w:cs="David" w:hint="cs"/>
          <w:sz w:val="24"/>
          <w:szCs w:val="24"/>
          <w:rtl/>
        </w:rPr>
        <w:t>לקדמותו</w:t>
      </w:r>
      <w:r w:rsidR="002303FB" w:rsidRPr="00B57A8F">
        <w:rPr>
          <w:rFonts w:ascii="David" w:hAnsi="David" w:cs="David" w:hint="default"/>
          <w:sz w:val="24"/>
          <w:szCs w:val="24"/>
          <w:rtl/>
        </w:rPr>
        <w:t xml:space="preserve">, לכן, יש צורך בגמישות של דיני הפיצויים </w:t>
      </w:r>
      <w:r w:rsidR="004E250C" w:rsidRPr="00B57A8F">
        <w:rPr>
          <w:rFonts w:ascii="David" w:hAnsi="David" w:cs="David" w:hint="cs"/>
          <w:sz w:val="24"/>
          <w:szCs w:val="24"/>
          <w:rtl/>
        </w:rPr>
        <w:t xml:space="preserve">כך שתינתן </w:t>
      </w:r>
      <w:r w:rsidR="00360CC2" w:rsidRPr="00B57A8F">
        <w:rPr>
          <w:rFonts w:ascii="David" w:hAnsi="David" w:cs="David" w:hint="default"/>
          <w:sz w:val="24"/>
          <w:szCs w:val="24"/>
          <w:rtl/>
        </w:rPr>
        <w:t xml:space="preserve">לניזוק </w:t>
      </w:r>
      <w:r w:rsidR="004E250C" w:rsidRPr="00B57A8F">
        <w:rPr>
          <w:rFonts w:ascii="David" w:hAnsi="David" w:cs="David" w:hint="cs"/>
          <w:sz w:val="24"/>
          <w:szCs w:val="24"/>
          <w:rtl/>
        </w:rPr>
        <w:t xml:space="preserve">תרופה שתוכל </w:t>
      </w:r>
      <w:r w:rsidR="00360CC2" w:rsidRPr="00B57A8F">
        <w:rPr>
          <w:rFonts w:ascii="David" w:hAnsi="David" w:cs="David" w:hint="default"/>
          <w:sz w:val="24"/>
          <w:szCs w:val="24"/>
          <w:rtl/>
        </w:rPr>
        <w:t>לפצות אותו על הנז</w:t>
      </w:r>
      <w:r w:rsidR="002303FB" w:rsidRPr="00B57A8F">
        <w:rPr>
          <w:rFonts w:ascii="David" w:hAnsi="David" w:cs="David" w:hint="default"/>
          <w:sz w:val="24"/>
          <w:szCs w:val="24"/>
          <w:rtl/>
        </w:rPr>
        <w:t xml:space="preserve">ק שאירע לו. במצב דברים זה המזיק חייב להעמיד את </w:t>
      </w:r>
      <w:r w:rsidR="004E250C" w:rsidRPr="00B57A8F">
        <w:rPr>
          <w:rFonts w:ascii="David" w:hAnsi="David" w:cs="David" w:hint="cs"/>
          <w:sz w:val="24"/>
          <w:szCs w:val="24"/>
          <w:rtl/>
        </w:rPr>
        <w:t>הניזוק</w:t>
      </w:r>
      <w:r w:rsidR="002303FB" w:rsidRPr="00B57A8F">
        <w:rPr>
          <w:rFonts w:ascii="David" w:hAnsi="David" w:cs="David" w:hint="default"/>
          <w:sz w:val="24"/>
          <w:szCs w:val="24"/>
          <w:rtl/>
        </w:rPr>
        <w:t xml:space="preserve"> בסיטואציה </w:t>
      </w:r>
      <w:r w:rsidR="004E250C" w:rsidRPr="00B57A8F">
        <w:rPr>
          <w:rFonts w:ascii="David" w:hAnsi="David" w:cs="David" w:hint="cs"/>
          <w:sz w:val="24"/>
          <w:szCs w:val="24"/>
          <w:rtl/>
        </w:rPr>
        <w:t>כ</w:t>
      </w:r>
      <w:r w:rsidR="002303FB" w:rsidRPr="00B57A8F">
        <w:rPr>
          <w:rFonts w:ascii="David" w:hAnsi="David" w:cs="David" w:hint="default"/>
          <w:sz w:val="24"/>
          <w:szCs w:val="24"/>
          <w:rtl/>
        </w:rPr>
        <w:t>אילו נולד ללא מום.</w:t>
      </w:r>
      <w:r>
        <w:rPr>
          <w:rStyle w:val="a7"/>
          <w:rFonts w:ascii="David" w:hAnsi="David" w:cs="David" w:hint="default"/>
          <w:sz w:val="24"/>
          <w:szCs w:val="24"/>
        </w:rPr>
        <w:footnoteReference w:id="27"/>
      </w:r>
      <w:r w:rsidR="002303FB" w:rsidRPr="00B57A8F">
        <w:rPr>
          <w:rFonts w:ascii="David" w:hAnsi="David" w:cs="David" w:hint="default"/>
          <w:sz w:val="24"/>
          <w:szCs w:val="24"/>
          <w:rtl/>
        </w:rPr>
        <w:t xml:space="preserve"> </w:t>
      </w:r>
    </w:p>
    <w:p w:rsidR="001524B2" w:rsidRPr="0008103D" w:rsidRDefault="00BE211D" w:rsidP="0036330B">
      <w:pPr>
        <w:spacing w:line="360" w:lineRule="auto"/>
        <w:jc w:val="both"/>
        <w:rPr>
          <w:rFonts w:ascii="David" w:hAnsi="David" w:cs="David" w:hint="default"/>
          <w:i/>
          <w:iCs/>
          <w:sz w:val="24"/>
          <w:szCs w:val="24"/>
          <w:rtl/>
        </w:rPr>
      </w:pPr>
      <w:r w:rsidRPr="0008103D">
        <w:rPr>
          <w:rFonts w:ascii="David" w:hAnsi="David" w:cs="David" w:hint="default"/>
          <w:i/>
          <w:iCs/>
          <w:sz w:val="24"/>
          <w:szCs w:val="24"/>
          <w:rtl/>
        </w:rPr>
        <w:t>"אין להעמיד כמטרת הפיצויים את החזרת המצב לקדם-עוולה...מטרת הפיצויים היא ליתן לניזוק תרופה שיהא בה כדי</w:t>
      </w:r>
      <w:r w:rsidRPr="0008103D">
        <w:rPr>
          <w:rFonts w:ascii="David" w:hAnsi="David" w:cs="David" w:hint="default"/>
          <w:i/>
          <w:iCs/>
          <w:sz w:val="24"/>
          <w:szCs w:val="24"/>
          <w:rtl/>
        </w:rPr>
        <w:t xml:space="preserve"> לפצותו על הנ</w:t>
      </w:r>
      <w:r w:rsidR="00BD2260">
        <w:rPr>
          <w:rFonts w:ascii="David" w:hAnsi="David" w:cs="David" w:hint="default"/>
          <w:i/>
          <w:iCs/>
          <w:sz w:val="24"/>
          <w:szCs w:val="24"/>
          <w:rtl/>
        </w:rPr>
        <w:t>זק שנגרם לו...משמעותה של מטרה ז</w:t>
      </w:r>
      <w:r w:rsidR="00BD2260">
        <w:rPr>
          <w:rFonts w:ascii="David" w:hAnsi="David" w:cs="David" w:hint="cs"/>
          <w:i/>
          <w:iCs/>
          <w:sz w:val="24"/>
          <w:szCs w:val="24"/>
          <w:rtl/>
        </w:rPr>
        <w:t>ו</w:t>
      </w:r>
      <w:r w:rsidRPr="0008103D">
        <w:rPr>
          <w:rFonts w:ascii="David" w:hAnsi="David" w:cs="David" w:hint="default"/>
          <w:i/>
          <w:iCs/>
          <w:sz w:val="24"/>
          <w:szCs w:val="24"/>
          <w:rtl/>
        </w:rPr>
        <w:t xml:space="preserve"> היא להעמיד את הניזוק באותו מצב, שבו היה נתון אילו נולד ללא מום."</w:t>
      </w:r>
      <w:r>
        <w:rPr>
          <w:rStyle w:val="a7"/>
          <w:rFonts w:ascii="David" w:hAnsi="David" w:cs="David" w:hint="default"/>
          <w:i/>
          <w:iCs/>
          <w:sz w:val="24"/>
          <w:szCs w:val="24"/>
        </w:rPr>
        <w:footnoteReference w:id="28"/>
      </w:r>
    </w:p>
    <w:p w:rsidR="00003A85" w:rsidRPr="00B57A8F" w:rsidRDefault="00BE211D" w:rsidP="00986538">
      <w:pPr>
        <w:spacing w:line="360" w:lineRule="auto"/>
        <w:jc w:val="both"/>
        <w:rPr>
          <w:rFonts w:ascii="David" w:hAnsi="David" w:cs="David" w:hint="default"/>
          <w:sz w:val="24"/>
          <w:szCs w:val="24"/>
          <w:rtl/>
        </w:rPr>
      </w:pPr>
      <w:r w:rsidRPr="00B57A8F">
        <w:rPr>
          <w:rFonts w:ascii="David" w:hAnsi="David" w:cs="David" w:hint="default"/>
          <w:sz w:val="24"/>
          <w:szCs w:val="24"/>
          <w:rtl/>
        </w:rPr>
        <w:t xml:space="preserve">עמדתו לא </w:t>
      </w:r>
      <w:r w:rsidR="00B9708A" w:rsidRPr="00B57A8F">
        <w:rPr>
          <w:rFonts w:ascii="David" w:hAnsi="David" w:cs="David" w:hint="default"/>
          <w:sz w:val="24"/>
          <w:szCs w:val="24"/>
          <w:rtl/>
        </w:rPr>
        <w:t>התיישבה בקנה אחד</w:t>
      </w:r>
      <w:r w:rsidRPr="00B57A8F">
        <w:rPr>
          <w:rFonts w:ascii="David" w:hAnsi="David" w:cs="David" w:hint="default"/>
          <w:sz w:val="24"/>
          <w:szCs w:val="24"/>
          <w:rtl/>
        </w:rPr>
        <w:t xml:space="preserve"> עם עמדתה של השופטת בן-פורת, </w:t>
      </w:r>
      <w:r w:rsidR="00797224" w:rsidRPr="00B57A8F">
        <w:rPr>
          <w:rFonts w:ascii="David" w:hAnsi="David" w:cs="David" w:hint="default"/>
          <w:sz w:val="24"/>
          <w:szCs w:val="24"/>
          <w:rtl/>
        </w:rPr>
        <w:t xml:space="preserve">בשל הסיבה כי חיים ללא מום </w:t>
      </w:r>
      <w:r w:rsidR="00986538" w:rsidRPr="00B57A8F">
        <w:rPr>
          <w:rFonts w:ascii="David" w:hAnsi="David" w:cs="David" w:hint="cs"/>
          <w:sz w:val="24"/>
          <w:szCs w:val="24"/>
          <w:rtl/>
        </w:rPr>
        <w:t>אינם</w:t>
      </w:r>
      <w:r w:rsidR="00797224" w:rsidRPr="00B57A8F">
        <w:rPr>
          <w:rFonts w:ascii="David" w:hAnsi="David" w:cs="David" w:hint="default"/>
          <w:sz w:val="24"/>
          <w:szCs w:val="24"/>
          <w:rtl/>
        </w:rPr>
        <w:t xml:space="preserve"> אפשריים משום שלולא הניזוק </w:t>
      </w:r>
      <w:r w:rsidR="00986538" w:rsidRPr="00B57A8F">
        <w:rPr>
          <w:rFonts w:ascii="David" w:hAnsi="David" w:cs="David" w:hint="cs"/>
          <w:sz w:val="24"/>
          <w:szCs w:val="24"/>
          <w:rtl/>
        </w:rPr>
        <w:t xml:space="preserve">היילוד כלל </w:t>
      </w:r>
      <w:r w:rsidR="00986538" w:rsidRPr="00B57A8F">
        <w:rPr>
          <w:rFonts w:ascii="David" w:hAnsi="David" w:cs="David" w:hint="default"/>
          <w:sz w:val="24"/>
          <w:szCs w:val="24"/>
          <w:rtl/>
        </w:rPr>
        <w:t>לא היה בא לעולם</w:t>
      </w:r>
      <w:r w:rsidR="00986538" w:rsidRPr="00B57A8F">
        <w:rPr>
          <w:rFonts w:ascii="David" w:hAnsi="David" w:cs="David" w:hint="cs"/>
          <w:sz w:val="24"/>
          <w:szCs w:val="24"/>
          <w:rtl/>
        </w:rPr>
        <w:t xml:space="preserve">, </w:t>
      </w:r>
      <w:r w:rsidR="00797224" w:rsidRPr="00B57A8F">
        <w:rPr>
          <w:rFonts w:ascii="David" w:hAnsi="David" w:cs="David" w:hint="default"/>
          <w:sz w:val="24"/>
          <w:szCs w:val="24"/>
          <w:rtl/>
        </w:rPr>
        <w:t>אלא רק עם מומו</w:t>
      </w:r>
      <w:r w:rsidRPr="00B57A8F">
        <w:rPr>
          <w:rFonts w:ascii="David" w:hAnsi="David" w:cs="David" w:hint="default"/>
          <w:sz w:val="24"/>
          <w:szCs w:val="24"/>
          <w:rtl/>
        </w:rPr>
        <w:t>.</w:t>
      </w:r>
      <w:r>
        <w:rPr>
          <w:rStyle w:val="a7"/>
          <w:rFonts w:ascii="David" w:hAnsi="David" w:cs="David" w:hint="default"/>
          <w:sz w:val="24"/>
          <w:szCs w:val="24"/>
        </w:rPr>
        <w:footnoteReference w:id="29"/>
      </w:r>
      <w:r w:rsidRPr="00B57A8F">
        <w:rPr>
          <w:rFonts w:ascii="David" w:hAnsi="David" w:cs="David" w:hint="default"/>
          <w:sz w:val="24"/>
          <w:szCs w:val="24"/>
          <w:rtl/>
        </w:rPr>
        <w:t xml:space="preserve"> </w:t>
      </w:r>
    </w:p>
    <w:p w:rsidR="000B13C8" w:rsidRPr="00B57A8F" w:rsidRDefault="00BE211D" w:rsidP="00101C9B">
      <w:pPr>
        <w:spacing w:line="360" w:lineRule="auto"/>
        <w:jc w:val="both"/>
        <w:rPr>
          <w:rFonts w:ascii="David" w:hAnsi="David" w:cs="David" w:hint="default"/>
          <w:sz w:val="24"/>
          <w:szCs w:val="24"/>
          <w:rtl/>
        </w:rPr>
      </w:pPr>
      <w:r w:rsidRPr="00B57A8F">
        <w:rPr>
          <w:rFonts w:ascii="David" w:hAnsi="David" w:cs="David" w:hint="default"/>
          <w:b/>
          <w:bCs/>
          <w:sz w:val="24"/>
          <w:szCs w:val="24"/>
          <w:rtl/>
        </w:rPr>
        <w:t xml:space="preserve">השופט גולדברג </w:t>
      </w:r>
      <w:r w:rsidR="007E5A65" w:rsidRPr="00B57A8F">
        <w:rPr>
          <w:rFonts w:ascii="David" w:hAnsi="David" w:cs="David" w:hint="cs"/>
          <w:sz w:val="24"/>
          <w:szCs w:val="24"/>
          <w:rtl/>
        </w:rPr>
        <w:t>שהיה ב</w:t>
      </w:r>
      <w:r w:rsidRPr="00B57A8F">
        <w:rPr>
          <w:rFonts w:ascii="David" w:hAnsi="David" w:cs="David" w:hint="default"/>
          <w:sz w:val="24"/>
          <w:szCs w:val="24"/>
          <w:rtl/>
        </w:rPr>
        <w:t xml:space="preserve">דעת מיעוט, סבר כי מטרת דיני הנזיקין הינה השבת המצב לקדמותו, </w:t>
      </w:r>
      <w:r w:rsidR="007E5A65" w:rsidRPr="00B57A8F">
        <w:rPr>
          <w:rFonts w:ascii="David" w:hAnsi="David" w:cs="David" w:hint="cs"/>
          <w:sz w:val="24"/>
          <w:szCs w:val="24"/>
          <w:rtl/>
        </w:rPr>
        <w:t xml:space="preserve">וכי </w:t>
      </w:r>
      <w:r w:rsidRPr="00B57A8F">
        <w:rPr>
          <w:rFonts w:ascii="David" w:hAnsi="David" w:cs="David" w:hint="default"/>
          <w:sz w:val="24"/>
          <w:szCs w:val="24"/>
          <w:rtl/>
        </w:rPr>
        <w:t xml:space="preserve">מטרה זו אינה מתיישבת עם עילת תביעה בגין </w:t>
      </w:r>
      <w:r w:rsidR="00415AA0">
        <w:rPr>
          <w:rFonts w:ascii="David" w:hAnsi="David" w:cs="David" w:hint="cs"/>
          <w:sz w:val="24"/>
          <w:szCs w:val="24"/>
          <w:rtl/>
        </w:rPr>
        <w:t>"</w:t>
      </w:r>
      <w:r w:rsidRPr="00B57A8F">
        <w:rPr>
          <w:rFonts w:ascii="David" w:hAnsi="David" w:cs="David" w:hint="default"/>
          <w:sz w:val="24"/>
          <w:szCs w:val="24"/>
          <w:rtl/>
        </w:rPr>
        <w:t>חיים בעוולה</w:t>
      </w:r>
      <w:r w:rsidR="00415AA0">
        <w:rPr>
          <w:rFonts w:ascii="David" w:hAnsi="David" w:cs="David" w:hint="cs"/>
          <w:sz w:val="24"/>
          <w:szCs w:val="24"/>
          <w:rtl/>
        </w:rPr>
        <w:t>"</w:t>
      </w:r>
      <w:r w:rsidRPr="00B57A8F">
        <w:rPr>
          <w:rFonts w:ascii="David" w:hAnsi="David" w:cs="David" w:hint="default"/>
          <w:sz w:val="24"/>
          <w:szCs w:val="24"/>
          <w:rtl/>
        </w:rPr>
        <w:t xml:space="preserve"> שבה הנזק והקיום נחשבים כעילה אחת, </w:t>
      </w:r>
      <w:r w:rsidR="007E5A65" w:rsidRPr="00B57A8F">
        <w:rPr>
          <w:rFonts w:ascii="David" w:hAnsi="David" w:cs="David" w:hint="cs"/>
          <w:sz w:val="24"/>
          <w:szCs w:val="24"/>
          <w:rtl/>
        </w:rPr>
        <w:t xml:space="preserve">שהרי </w:t>
      </w:r>
      <w:r w:rsidR="00E305DC" w:rsidRPr="00B57A8F">
        <w:rPr>
          <w:rFonts w:ascii="David" w:hAnsi="David" w:cs="David" w:hint="default"/>
          <w:sz w:val="24"/>
          <w:szCs w:val="24"/>
          <w:rtl/>
        </w:rPr>
        <w:t>ללא</w:t>
      </w:r>
      <w:r w:rsidRPr="00B57A8F">
        <w:rPr>
          <w:rFonts w:ascii="David" w:hAnsi="David" w:cs="David" w:hint="default"/>
          <w:sz w:val="24"/>
          <w:szCs w:val="24"/>
          <w:rtl/>
        </w:rPr>
        <w:t xml:space="preserve"> התרשלות המזיק לא היה קיים תובע </w:t>
      </w:r>
      <w:r w:rsidR="00E305DC" w:rsidRPr="00B57A8F">
        <w:rPr>
          <w:rFonts w:ascii="David" w:hAnsi="David" w:cs="David" w:hint="default"/>
          <w:sz w:val="24"/>
          <w:szCs w:val="24"/>
          <w:rtl/>
        </w:rPr>
        <w:t>בכלל</w:t>
      </w:r>
      <w:r w:rsidRPr="00B57A8F">
        <w:rPr>
          <w:rFonts w:ascii="David" w:hAnsi="David" w:cs="David" w:hint="default"/>
          <w:sz w:val="24"/>
          <w:szCs w:val="24"/>
          <w:rtl/>
        </w:rPr>
        <w:t>.</w:t>
      </w:r>
      <w:r>
        <w:rPr>
          <w:rStyle w:val="a7"/>
          <w:rFonts w:ascii="David" w:hAnsi="David" w:cs="David" w:hint="default"/>
          <w:sz w:val="24"/>
          <w:szCs w:val="24"/>
        </w:rPr>
        <w:footnoteReference w:id="30"/>
      </w:r>
      <w:r w:rsidR="00CB1572" w:rsidRPr="00B57A8F">
        <w:rPr>
          <w:rFonts w:ascii="David" w:hAnsi="David" w:cs="David" w:hint="default"/>
          <w:sz w:val="24"/>
          <w:szCs w:val="24"/>
          <w:rtl/>
        </w:rPr>
        <w:t xml:space="preserve"> לכן, לדעתו עצם ההכרה בעילת </w:t>
      </w:r>
      <w:r w:rsidR="00415AA0">
        <w:rPr>
          <w:rFonts w:ascii="David" w:hAnsi="David" w:cs="David" w:hint="cs"/>
          <w:sz w:val="24"/>
          <w:szCs w:val="24"/>
          <w:rtl/>
        </w:rPr>
        <w:t>"</w:t>
      </w:r>
      <w:r w:rsidR="00CB1572" w:rsidRPr="00B57A8F">
        <w:rPr>
          <w:rFonts w:ascii="David" w:hAnsi="David" w:cs="David" w:hint="default"/>
          <w:sz w:val="24"/>
          <w:szCs w:val="24"/>
          <w:rtl/>
        </w:rPr>
        <w:t>חיים בעוולה</w:t>
      </w:r>
      <w:r w:rsidR="00415AA0">
        <w:rPr>
          <w:rFonts w:ascii="David" w:hAnsi="David" w:cs="David" w:hint="cs"/>
          <w:sz w:val="24"/>
          <w:szCs w:val="24"/>
          <w:rtl/>
        </w:rPr>
        <w:t>"</w:t>
      </w:r>
      <w:r w:rsidR="00CB1572" w:rsidRPr="00B57A8F">
        <w:rPr>
          <w:rFonts w:ascii="David" w:hAnsi="David" w:cs="David" w:hint="default"/>
          <w:sz w:val="24"/>
          <w:szCs w:val="24"/>
          <w:rtl/>
        </w:rPr>
        <w:t xml:space="preserve"> היא עניין למחוקק ולא </w:t>
      </w:r>
      <w:r w:rsidR="00101C9B">
        <w:rPr>
          <w:rFonts w:ascii="David" w:hAnsi="David" w:cs="David" w:hint="cs"/>
          <w:sz w:val="24"/>
          <w:szCs w:val="24"/>
          <w:rtl/>
        </w:rPr>
        <w:t>ביהמ"ש.</w:t>
      </w:r>
    </w:p>
    <w:p w:rsidR="006929E9" w:rsidRPr="00B57A8F" w:rsidRDefault="00BE211D" w:rsidP="007E5A65">
      <w:pPr>
        <w:spacing w:line="360" w:lineRule="auto"/>
        <w:jc w:val="both"/>
        <w:rPr>
          <w:rFonts w:ascii="David" w:hAnsi="David" w:cs="David" w:hint="default"/>
          <w:sz w:val="24"/>
          <w:szCs w:val="24"/>
          <w:rtl/>
        </w:rPr>
      </w:pPr>
      <w:r w:rsidRPr="00B57A8F">
        <w:rPr>
          <w:rFonts w:ascii="David" w:hAnsi="David" w:cs="David" w:hint="default"/>
          <w:sz w:val="24"/>
          <w:szCs w:val="24"/>
          <w:rtl/>
        </w:rPr>
        <w:lastRenderedPageBreak/>
        <w:t>דעות חלוקות אל</w:t>
      </w:r>
      <w:r w:rsidRPr="00B57A8F">
        <w:rPr>
          <w:rFonts w:ascii="David" w:hAnsi="David" w:cs="David" w:hint="cs"/>
          <w:sz w:val="24"/>
          <w:szCs w:val="24"/>
          <w:rtl/>
        </w:rPr>
        <w:t>ה</w:t>
      </w:r>
      <w:r w:rsidR="005275FE" w:rsidRPr="00B57A8F">
        <w:rPr>
          <w:rFonts w:ascii="David" w:hAnsi="David" w:cs="David" w:hint="default"/>
          <w:sz w:val="24"/>
          <w:szCs w:val="24"/>
          <w:rtl/>
        </w:rPr>
        <w:t xml:space="preserve"> של שופטי הרוב בפרשת זייצוב </w:t>
      </w:r>
      <w:r w:rsidRPr="00B57A8F">
        <w:rPr>
          <w:rFonts w:ascii="David" w:hAnsi="David" w:cs="David" w:hint="cs"/>
          <w:sz w:val="24"/>
          <w:szCs w:val="24"/>
          <w:rtl/>
        </w:rPr>
        <w:t>שלמעשה לא</w:t>
      </w:r>
      <w:r w:rsidR="005275FE" w:rsidRPr="00B57A8F">
        <w:rPr>
          <w:rFonts w:ascii="David" w:hAnsi="David" w:cs="David" w:hint="default"/>
          <w:sz w:val="24"/>
          <w:szCs w:val="24"/>
          <w:rtl/>
        </w:rPr>
        <w:t xml:space="preserve"> הוכרעו </w:t>
      </w:r>
      <w:r w:rsidRPr="00B57A8F">
        <w:rPr>
          <w:rFonts w:ascii="David" w:hAnsi="David" w:cs="David" w:hint="cs"/>
          <w:sz w:val="24"/>
          <w:szCs w:val="24"/>
          <w:rtl/>
        </w:rPr>
        <w:t>גרמו</w:t>
      </w:r>
      <w:r w:rsidR="005275FE" w:rsidRPr="00B57A8F">
        <w:rPr>
          <w:rFonts w:ascii="David" w:hAnsi="David" w:cs="David" w:hint="default"/>
          <w:sz w:val="24"/>
          <w:szCs w:val="24"/>
          <w:rtl/>
        </w:rPr>
        <w:t xml:space="preserve"> לאי</w:t>
      </w:r>
      <w:r w:rsidR="00D8436D" w:rsidRPr="00B57A8F">
        <w:rPr>
          <w:rFonts w:ascii="David" w:hAnsi="David" w:cs="David" w:hint="default"/>
          <w:sz w:val="24"/>
          <w:szCs w:val="24"/>
          <w:rtl/>
        </w:rPr>
        <w:t xml:space="preserve"> אחידות בבתי משפט. מחד גיסא, מספר פסיקות נקטו </w:t>
      </w:r>
      <w:r w:rsidRPr="00B57A8F">
        <w:rPr>
          <w:rFonts w:ascii="David" w:hAnsi="David" w:cs="David" w:hint="cs"/>
          <w:sz w:val="24"/>
          <w:szCs w:val="24"/>
          <w:rtl/>
        </w:rPr>
        <w:t xml:space="preserve">לפי </w:t>
      </w:r>
      <w:r w:rsidRPr="00B57A8F">
        <w:rPr>
          <w:rFonts w:ascii="David" w:hAnsi="David" w:cs="David" w:hint="default"/>
          <w:sz w:val="24"/>
          <w:szCs w:val="24"/>
          <w:rtl/>
        </w:rPr>
        <w:t>עמדתה של השופטת בן-פורת</w:t>
      </w:r>
      <w:r w:rsidRPr="00B57A8F">
        <w:rPr>
          <w:rFonts w:ascii="David" w:hAnsi="David" w:cs="David" w:hint="cs"/>
          <w:sz w:val="24"/>
          <w:szCs w:val="24"/>
          <w:rtl/>
        </w:rPr>
        <w:t>,</w:t>
      </w:r>
      <w:r>
        <w:rPr>
          <w:rStyle w:val="a7"/>
          <w:rFonts w:ascii="David" w:hAnsi="David" w:cs="David" w:hint="default"/>
          <w:sz w:val="24"/>
          <w:szCs w:val="24"/>
        </w:rPr>
        <w:footnoteReference w:id="31"/>
      </w:r>
      <w:r w:rsidR="00D8436D" w:rsidRPr="00B57A8F">
        <w:rPr>
          <w:rFonts w:ascii="David" w:hAnsi="David" w:cs="David" w:hint="default"/>
          <w:sz w:val="24"/>
          <w:szCs w:val="24"/>
          <w:rtl/>
        </w:rPr>
        <w:t xml:space="preserve"> </w:t>
      </w:r>
      <w:r w:rsidRPr="00B57A8F">
        <w:rPr>
          <w:rFonts w:ascii="David" w:hAnsi="David" w:cs="David" w:hint="cs"/>
          <w:sz w:val="24"/>
          <w:szCs w:val="24"/>
          <w:rtl/>
        </w:rPr>
        <w:t>ו</w:t>
      </w:r>
      <w:r w:rsidR="00D8436D" w:rsidRPr="00B57A8F">
        <w:rPr>
          <w:rFonts w:ascii="David" w:hAnsi="David" w:cs="David" w:hint="default"/>
          <w:sz w:val="24"/>
          <w:szCs w:val="24"/>
          <w:rtl/>
        </w:rPr>
        <w:t>מאידך גיסא, יש שהלכו לפי עמדתו של השופט ברק.</w:t>
      </w:r>
      <w:r>
        <w:rPr>
          <w:rStyle w:val="a7"/>
          <w:rFonts w:ascii="David" w:hAnsi="David" w:cs="David" w:hint="default"/>
          <w:sz w:val="24"/>
          <w:szCs w:val="24"/>
        </w:rPr>
        <w:footnoteReference w:id="32"/>
      </w:r>
      <w:r w:rsidR="00D8436D" w:rsidRPr="00B57A8F">
        <w:rPr>
          <w:rFonts w:ascii="David" w:hAnsi="David" w:cs="David" w:hint="default"/>
          <w:sz w:val="24"/>
          <w:szCs w:val="24"/>
          <w:rtl/>
        </w:rPr>
        <w:t xml:space="preserve"> </w:t>
      </w:r>
      <w:r w:rsidR="00A1200B" w:rsidRPr="00B57A8F">
        <w:rPr>
          <w:rFonts w:ascii="David" w:hAnsi="David" w:cs="David" w:hint="default"/>
          <w:sz w:val="24"/>
          <w:szCs w:val="24"/>
          <w:rtl/>
        </w:rPr>
        <w:t xml:space="preserve">מאז שנקבעה הלכת זייצוב, רבו התביעות בגין </w:t>
      </w:r>
      <w:r w:rsidR="00415AA0">
        <w:rPr>
          <w:rFonts w:ascii="David" w:hAnsi="David" w:cs="David" w:hint="cs"/>
          <w:sz w:val="24"/>
          <w:szCs w:val="24"/>
          <w:rtl/>
        </w:rPr>
        <w:t>"</w:t>
      </w:r>
      <w:r w:rsidR="00A1200B" w:rsidRPr="00B57A8F">
        <w:rPr>
          <w:rFonts w:ascii="David" w:hAnsi="David" w:cs="David" w:hint="default"/>
          <w:sz w:val="24"/>
          <w:szCs w:val="24"/>
          <w:rtl/>
        </w:rPr>
        <w:t xml:space="preserve">חיים בעוולה ולא הייתה פסיקה אחידה בעניין. </w:t>
      </w:r>
    </w:p>
    <w:p w:rsidR="004C5F7A" w:rsidRPr="00B57A8F" w:rsidRDefault="00BE211D" w:rsidP="00D8436D">
      <w:pPr>
        <w:spacing w:line="360" w:lineRule="auto"/>
        <w:jc w:val="both"/>
        <w:rPr>
          <w:rFonts w:ascii="David" w:hAnsi="David" w:cs="David" w:hint="default"/>
          <w:b/>
          <w:bCs/>
          <w:sz w:val="24"/>
          <w:szCs w:val="24"/>
          <w:u w:val="single"/>
          <w:rtl/>
        </w:rPr>
      </w:pPr>
      <w:r w:rsidRPr="00B57A8F">
        <w:rPr>
          <w:rFonts w:ascii="David" w:hAnsi="David" w:cs="David" w:hint="cs"/>
          <w:b/>
          <w:bCs/>
          <w:sz w:val="24"/>
          <w:szCs w:val="24"/>
          <w:u w:val="single"/>
          <w:rtl/>
        </w:rPr>
        <w:t xml:space="preserve">א3. </w:t>
      </w:r>
      <w:r w:rsidR="00F91604" w:rsidRPr="00B57A8F">
        <w:rPr>
          <w:rFonts w:ascii="David" w:hAnsi="David" w:cs="David" w:hint="default"/>
          <w:b/>
          <w:bCs/>
          <w:sz w:val="24"/>
          <w:szCs w:val="24"/>
          <w:u w:val="single"/>
          <w:rtl/>
        </w:rPr>
        <w:t>פרשת המר</w:t>
      </w:r>
    </w:p>
    <w:p w:rsidR="003026CF" w:rsidRDefault="00BE211D" w:rsidP="008A535F">
      <w:pPr>
        <w:spacing w:line="360" w:lineRule="auto"/>
        <w:jc w:val="both"/>
        <w:rPr>
          <w:rFonts w:ascii="David" w:hAnsi="David" w:cs="David" w:hint="default"/>
          <w:sz w:val="24"/>
          <w:szCs w:val="24"/>
          <w:rtl/>
        </w:rPr>
      </w:pPr>
      <w:r w:rsidRPr="00B57A8F">
        <w:rPr>
          <w:rFonts w:ascii="David" w:hAnsi="David" w:cs="David" w:hint="default"/>
          <w:sz w:val="24"/>
          <w:szCs w:val="24"/>
          <w:rtl/>
        </w:rPr>
        <w:t xml:space="preserve">כפי שצוין לעיל, </w:t>
      </w:r>
      <w:r w:rsidR="003D709A" w:rsidRPr="00B57A8F">
        <w:rPr>
          <w:rFonts w:ascii="David" w:hAnsi="David" w:cs="David" w:hint="default"/>
          <w:sz w:val="24"/>
          <w:szCs w:val="24"/>
          <w:rtl/>
        </w:rPr>
        <w:t xml:space="preserve">חמשת השופטים בפרשת זייצוב הכירו בעילת ההולדה בעוולה, אולם המחלוקת ביניהם נסבה בעילת </w:t>
      </w:r>
      <w:r w:rsidR="008A535F" w:rsidRPr="00B57A8F">
        <w:rPr>
          <w:rFonts w:ascii="David" w:hAnsi="David" w:cs="David" w:hint="cs"/>
          <w:sz w:val="24"/>
          <w:szCs w:val="24"/>
          <w:rtl/>
        </w:rPr>
        <w:t>ה</w:t>
      </w:r>
      <w:r w:rsidR="003D709A" w:rsidRPr="00B57A8F">
        <w:rPr>
          <w:rFonts w:ascii="David" w:hAnsi="David" w:cs="David" w:hint="default"/>
          <w:sz w:val="24"/>
          <w:szCs w:val="24"/>
          <w:rtl/>
        </w:rPr>
        <w:t>תביעה</w:t>
      </w:r>
      <w:r w:rsidRPr="00B57A8F">
        <w:rPr>
          <w:rFonts w:ascii="David" w:hAnsi="David" w:cs="David" w:hint="default"/>
          <w:sz w:val="24"/>
          <w:szCs w:val="24"/>
          <w:rtl/>
        </w:rPr>
        <w:t xml:space="preserve"> של היילוד</w:t>
      </w:r>
      <w:r w:rsidR="008A535F" w:rsidRPr="00B57A8F">
        <w:rPr>
          <w:rFonts w:ascii="David" w:hAnsi="David" w:cs="David" w:hint="cs"/>
          <w:sz w:val="24"/>
          <w:szCs w:val="24"/>
          <w:rtl/>
        </w:rPr>
        <w:t>, עילת</w:t>
      </w:r>
      <w:r w:rsidR="003D709A" w:rsidRPr="00B57A8F">
        <w:rPr>
          <w:rFonts w:ascii="David" w:hAnsi="David" w:cs="David" w:hint="default"/>
          <w:sz w:val="24"/>
          <w:szCs w:val="24"/>
          <w:rtl/>
        </w:rPr>
        <w:t xml:space="preserve"> </w:t>
      </w:r>
      <w:r w:rsidR="008A535F" w:rsidRPr="00B57A8F">
        <w:rPr>
          <w:rFonts w:ascii="David" w:hAnsi="David" w:cs="David" w:hint="cs"/>
          <w:sz w:val="24"/>
          <w:szCs w:val="24"/>
          <w:rtl/>
        </w:rPr>
        <w:t>ה</w:t>
      </w:r>
      <w:r w:rsidR="003D709A" w:rsidRPr="00B57A8F">
        <w:rPr>
          <w:rFonts w:ascii="David" w:hAnsi="David" w:cs="David" w:hint="default"/>
          <w:sz w:val="24"/>
          <w:szCs w:val="24"/>
          <w:rtl/>
        </w:rPr>
        <w:t>"חיים בעוולה".</w:t>
      </w:r>
      <w:r>
        <w:rPr>
          <w:rStyle w:val="a7"/>
          <w:rFonts w:ascii="David" w:hAnsi="David" w:cs="David" w:hint="default"/>
          <w:sz w:val="24"/>
          <w:szCs w:val="24"/>
        </w:rPr>
        <w:footnoteReference w:id="33"/>
      </w:r>
      <w:r w:rsidR="003D709A" w:rsidRPr="00B57A8F">
        <w:rPr>
          <w:rFonts w:ascii="David" w:hAnsi="David" w:cs="David" w:hint="default"/>
          <w:sz w:val="24"/>
          <w:szCs w:val="24"/>
          <w:rtl/>
        </w:rPr>
        <w:t xml:space="preserve"> המחלוקת </w:t>
      </w:r>
      <w:r w:rsidR="008A535F" w:rsidRPr="00B57A8F">
        <w:rPr>
          <w:rFonts w:ascii="David" w:hAnsi="David" w:cs="David" w:hint="cs"/>
          <w:sz w:val="24"/>
          <w:szCs w:val="24"/>
          <w:rtl/>
        </w:rPr>
        <w:t>נגעה</w:t>
      </w:r>
      <w:r w:rsidR="003D709A" w:rsidRPr="00B57A8F">
        <w:rPr>
          <w:rFonts w:ascii="David" w:hAnsi="David" w:cs="David" w:hint="default"/>
          <w:sz w:val="24"/>
          <w:szCs w:val="24"/>
          <w:rtl/>
        </w:rPr>
        <w:t xml:space="preserve"> </w:t>
      </w:r>
      <w:r w:rsidR="008A535F" w:rsidRPr="00B57A8F">
        <w:rPr>
          <w:rFonts w:ascii="David" w:hAnsi="David" w:cs="David" w:hint="cs"/>
          <w:sz w:val="24"/>
          <w:szCs w:val="24"/>
          <w:rtl/>
        </w:rPr>
        <w:t>לעניין</w:t>
      </w:r>
      <w:r w:rsidR="003D709A" w:rsidRPr="00B57A8F">
        <w:rPr>
          <w:rFonts w:ascii="David" w:hAnsi="David" w:cs="David" w:hint="default"/>
          <w:sz w:val="24"/>
          <w:szCs w:val="24"/>
          <w:rtl/>
        </w:rPr>
        <w:t xml:space="preserve"> ההנמקה העי</w:t>
      </w:r>
      <w:r w:rsidR="008A535F" w:rsidRPr="00B57A8F">
        <w:rPr>
          <w:rFonts w:ascii="David" w:hAnsi="David" w:cs="David" w:hint="default"/>
          <w:sz w:val="24"/>
          <w:szCs w:val="24"/>
          <w:rtl/>
        </w:rPr>
        <w:t xml:space="preserve">ונית להכרה בעילת התביעה וכך גם </w:t>
      </w:r>
      <w:r w:rsidR="008A535F" w:rsidRPr="00B57A8F">
        <w:rPr>
          <w:rFonts w:ascii="David" w:hAnsi="David" w:cs="David" w:hint="cs"/>
          <w:sz w:val="24"/>
          <w:szCs w:val="24"/>
          <w:rtl/>
        </w:rPr>
        <w:t>ל</w:t>
      </w:r>
      <w:r w:rsidR="003D709A" w:rsidRPr="00B57A8F">
        <w:rPr>
          <w:rFonts w:ascii="David" w:hAnsi="David" w:cs="David" w:hint="default"/>
          <w:sz w:val="24"/>
          <w:szCs w:val="24"/>
          <w:rtl/>
        </w:rPr>
        <w:t>שאלה כיצ</w:t>
      </w:r>
      <w:r w:rsidR="008A535F" w:rsidRPr="00B57A8F">
        <w:rPr>
          <w:rFonts w:ascii="David" w:hAnsi="David" w:cs="David" w:hint="default"/>
          <w:sz w:val="24"/>
          <w:szCs w:val="24"/>
          <w:rtl/>
        </w:rPr>
        <w:t>ד יש לאמוד את הנזק, שאלה קריטית</w:t>
      </w:r>
      <w:r w:rsidR="003D709A" w:rsidRPr="00B57A8F">
        <w:rPr>
          <w:rFonts w:ascii="David" w:hAnsi="David" w:cs="David" w:hint="default"/>
          <w:sz w:val="24"/>
          <w:szCs w:val="24"/>
          <w:rtl/>
        </w:rPr>
        <w:t xml:space="preserve"> </w:t>
      </w:r>
      <w:r w:rsidR="008A535F" w:rsidRPr="00B57A8F">
        <w:rPr>
          <w:rFonts w:ascii="David" w:hAnsi="David" w:cs="David" w:hint="cs"/>
          <w:sz w:val="24"/>
          <w:szCs w:val="24"/>
          <w:rtl/>
        </w:rPr>
        <w:t>ש</w:t>
      </w:r>
      <w:r w:rsidR="003D709A" w:rsidRPr="00B57A8F">
        <w:rPr>
          <w:rFonts w:ascii="David" w:hAnsi="David" w:cs="David" w:hint="default"/>
          <w:sz w:val="24"/>
          <w:szCs w:val="24"/>
          <w:rtl/>
        </w:rPr>
        <w:t>נותרה ללא מענה.</w:t>
      </w:r>
      <w:r>
        <w:rPr>
          <w:rStyle w:val="a7"/>
          <w:rFonts w:ascii="David" w:hAnsi="David" w:cs="David" w:hint="default"/>
          <w:sz w:val="24"/>
          <w:szCs w:val="24"/>
        </w:rPr>
        <w:footnoteReference w:id="34"/>
      </w:r>
      <w:r w:rsidR="003D709A" w:rsidRPr="00B57A8F">
        <w:rPr>
          <w:rFonts w:ascii="David" w:hAnsi="David" w:cs="David" w:hint="default"/>
          <w:sz w:val="24"/>
          <w:szCs w:val="24"/>
          <w:rtl/>
        </w:rPr>
        <w:t xml:space="preserve"> במרוצת השנים, התעוררו קשיים ביישום עילת הילד "חיים בעוולה"</w:t>
      </w:r>
      <w:r w:rsidR="008A535F" w:rsidRPr="00B57A8F">
        <w:rPr>
          <w:rFonts w:ascii="David" w:hAnsi="David" w:cs="David" w:hint="cs"/>
          <w:sz w:val="24"/>
          <w:szCs w:val="24"/>
          <w:rtl/>
        </w:rPr>
        <w:t>,</w:t>
      </w:r>
      <w:r w:rsidR="008A535F" w:rsidRPr="00B57A8F">
        <w:rPr>
          <w:rFonts w:ascii="David" w:hAnsi="David" w:cs="David" w:hint="default"/>
          <w:sz w:val="24"/>
          <w:szCs w:val="24"/>
          <w:rtl/>
        </w:rPr>
        <w:t xml:space="preserve"> ובהעדר הלכה מחייבת</w:t>
      </w:r>
      <w:r w:rsidR="003D709A" w:rsidRPr="00B57A8F">
        <w:rPr>
          <w:rFonts w:ascii="David" w:hAnsi="David" w:cs="David" w:hint="default"/>
          <w:sz w:val="24"/>
          <w:szCs w:val="24"/>
          <w:rtl/>
        </w:rPr>
        <w:t xml:space="preserve"> הלכת זייצוב יו</w:t>
      </w:r>
      <w:r w:rsidR="008A535F" w:rsidRPr="00B57A8F">
        <w:rPr>
          <w:rFonts w:ascii="David" w:hAnsi="David" w:cs="David" w:hint="default"/>
          <w:sz w:val="24"/>
          <w:szCs w:val="24"/>
          <w:rtl/>
        </w:rPr>
        <w:t>שמה באופן לא אחיד. בשל קשיים אל</w:t>
      </w:r>
      <w:r w:rsidR="008A535F" w:rsidRPr="00B57A8F">
        <w:rPr>
          <w:rFonts w:ascii="David" w:hAnsi="David" w:cs="David" w:hint="cs"/>
          <w:sz w:val="24"/>
          <w:szCs w:val="24"/>
          <w:rtl/>
        </w:rPr>
        <w:t>ה</w:t>
      </w:r>
      <w:r w:rsidR="003D709A" w:rsidRPr="00B57A8F">
        <w:rPr>
          <w:rFonts w:ascii="David" w:hAnsi="David" w:cs="David" w:hint="default"/>
          <w:sz w:val="24"/>
          <w:szCs w:val="24"/>
          <w:rtl/>
        </w:rPr>
        <w:t xml:space="preserve"> ובשל הצורך הממשי להכריע בסוגיות נוספות נקבע הדיון </w:t>
      </w:r>
      <w:r w:rsidR="008A535F" w:rsidRPr="00B57A8F">
        <w:rPr>
          <w:rFonts w:ascii="David" w:hAnsi="David" w:cs="David" w:hint="cs"/>
          <w:sz w:val="24"/>
          <w:szCs w:val="24"/>
          <w:rtl/>
        </w:rPr>
        <w:t>בעניין המר</w:t>
      </w:r>
      <w:r w:rsidR="003D709A" w:rsidRPr="00B57A8F">
        <w:rPr>
          <w:rFonts w:ascii="David" w:hAnsi="David" w:cs="David" w:hint="default"/>
          <w:sz w:val="24"/>
          <w:szCs w:val="24"/>
          <w:rtl/>
        </w:rPr>
        <w:t xml:space="preserve">. </w:t>
      </w:r>
    </w:p>
    <w:p w:rsidR="001E5935" w:rsidRPr="00B57A8F" w:rsidRDefault="00BE211D" w:rsidP="001E5935">
      <w:pPr>
        <w:spacing w:line="360" w:lineRule="auto"/>
        <w:jc w:val="both"/>
        <w:rPr>
          <w:rFonts w:ascii="David" w:hAnsi="David" w:cs="David" w:hint="default"/>
          <w:sz w:val="24"/>
          <w:szCs w:val="24"/>
          <w:rtl/>
        </w:rPr>
      </w:pPr>
      <w:r>
        <w:rPr>
          <w:rFonts w:ascii="David" w:hAnsi="David" w:cs="David" w:hint="cs"/>
          <w:sz w:val="24"/>
          <w:szCs w:val="24"/>
          <w:rtl/>
        </w:rPr>
        <w:t xml:space="preserve">בפס"ד המר קבע ביהמ"ש העליון כי יש לבטל את הלכת זייצוב. בהרכב של שבע שופטים </w:t>
      </w:r>
      <w:r w:rsidRPr="00B57A8F">
        <w:rPr>
          <w:rFonts w:ascii="David" w:hAnsi="David" w:cs="David" w:hint="default"/>
          <w:sz w:val="24"/>
          <w:szCs w:val="24"/>
          <w:rtl/>
        </w:rPr>
        <w:t xml:space="preserve">נקבע פה אחד כי "לא ניתן עוד להכיר בעילתו של הילד, עילת </w:t>
      </w:r>
      <w:r>
        <w:rPr>
          <w:rFonts w:ascii="David" w:hAnsi="David" w:cs="David" w:hint="cs"/>
          <w:sz w:val="24"/>
          <w:szCs w:val="24"/>
          <w:rtl/>
        </w:rPr>
        <w:t>"</w:t>
      </w:r>
      <w:r w:rsidRPr="00B57A8F">
        <w:rPr>
          <w:rFonts w:ascii="David" w:hAnsi="David" w:cs="David" w:hint="default"/>
          <w:sz w:val="24"/>
          <w:szCs w:val="24"/>
          <w:rtl/>
        </w:rPr>
        <w:t>חיים בעוולה".</w:t>
      </w:r>
      <w:r>
        <w:rPr>
          <w:rStyle w:val="a7"/>
          <w:rFonts w:ascii="David" w:hAnsi="David" w:cs="David" w:hint="default"/>
          <w:sz w:val="24"/>
          <w:szCs w:val="24"/>
        </w:rPr>
        <w:footnoteReference w:id="35"/>
      </w:r>
      <w:r w:rsidRPr="00B57A8F">
        <w:rPr>
          <w:rFonts w:ascii="David" w:hAnsi="David" w:cs="David" w:hint="default"/>
          <w:sz w:val="24"/>
          <w:szCs w:val="24"/>
          <w:rtl/>
        </w:rPr>
        <w:t xml:space="preserve"> </w:t>
      </w:r>
      <w:r>
        <w:rPr>
          <w:rFonts w:ascii="David" w:hAnsi="David" w:cs="David" w:hint="cs"/>
          <w:sz w:val="24"/>
          <w:szCs w:val="24"/>
          <w:rtl/>
        </w:rPr>
        <w:t>ביהמ"ש</w:t>
      </w:r>
      <w:r w:rsidRPr="00B57A8F">
        <w:rPr>
          <w:rFonts w:ascii="David" w:hAnsi="David" w:cs="David" w:hint="default"/>
          <w:sz w:val="24"/>
          <w:szCs w:val="24"/>
          <w:rtl/>
        </w:rPr>
        <w:t xml:space="preserve"> העליון ביטל את תביעתו של הילד, אולם הרחיב את עילת התביעה של הה</w:t>
      </w:r>
      <w:r w:rsidRPr="00B57A8F">
        <w:rPr>
          <w:rFonts w:ascii="David" w:hAnsi="David" w:cs="David" w:hint="default"/>
          <w:sz w:val="24"/>
          <w:szCs w:val="24"/>
          <w:rtl/>
        </w:rPr>
        <w:t>ורים בגין "הולדה בעוולה".</w:t>
      </w:r>
      <w:r>
        <w:rPr>
          <w:rStyle w:val="a7"/>
          <w:rFonts w:ascii="David" w:hAnsi="David" w:cs="David" w:hint="default"/>
          <w:sz w:val="24"/>
          <w:szCs w:val="24"/>
        </w:rPr>
        <w:footnoteReference w:id="36"/>
      </w:r>
      <w:r w:rsidRPr="00B57A8F">
        <w:rPr>
          <w:rFonts w:ascii="David" w:hAnsi="David" w:cs="David" w:hint="default"/>
          <w:sz w:val="24"/>
          <w:szCs w:val="24"/>
          <w:rtl/>
        </w:rPr>
        <w:t xml:space="preserve"> בגין עילה זו ניתן ל</w:t>
      </w:r>
      <w:r w:rsidRPr="00B57A8F">
        <w:rPr>
          <w:rFonts w:ascii="David" w:hAnsi="David" w:cs="David" w:hint="cs"/>
          <w:sz w:val="24"/>
          <w:szCs w:val="24"/>
          <w:rtl/>
        </w:rPr>
        <w:t>פסוק ל</w:t>
      </w:r>
      <w:r w:rsidRPr="00B57A8F">
        <w:rPr>
          <w:rFonts w:ascii="David" w:hAnsi="David" w:cs="David" w:hint="default"/>
          <w:sz w:val="24"/>
          <w:szCs w:val="24"/>
          <w:rtl/>
        </w:rPr>
        <w:t>הורים פיצוי, שיכסה את הוצאות גידול הילד</w:t>
      </w:r>
      <w:r w:rsidRPr="00B57A8F">
        <w:rPr>
          <w:rFonts w:ascii="David" w:hAnsi="David" w:cs="David" w:hint="cs"/>
          <w:sz w:val="24"/>
          <w:szCs w:val="24"/>
          <w:rtl/>
        </w:rPr>
        <w:t xml:space="preserve"> כדי</w:t>
      </w:r>
      <w:r w:rsidRPr="00B57A8F">
        <w:rPr>
          <w:rFonts w:ascii="David" w:hAnsi="David" w:cs="David" w:hint="default"/>
          <w:sz w:val="24"/>
          <w:szCs w:val="24"/>
          <w:rtl/>
        </w:rPr>
        <w:t xml:space="preserve"> מלוא צרכיו גם לאחר בגירותו </w:t>
      </w:r>
      <w:r w:rsidRPr="00B57A8F">
        <w:rPr>
          <w:rFonts w:ascii="David" w:hAnsi="David" w:cs="David" w:hint="cs"/>
          <w:sz w:val="24"/>
          <w:szCs w:val="24"/>
          <w:rtl/>
        </w:rPr>
        <w:t>ו</w:t>
      </w:r>
      <w:r w:rsidRPr="00B57A8F">
        <w:rPr>
          <w:rFonts w:ascii="David" w:hAnsi="David" w:cs="David" w:hint="default"/>
          <w:sz w:val="24"/>
          <w:szCs w:val="24"/>
          <w:rtl/>
        </w:rPr>
        <w:t>למשך כל תוחלת חייו.</w:t>
      </w:r>
      <w:r>
        <w:rPr>
          <w:rStyle w:val="a7"/>
          <w:rFonts w:ascii="David" w:hAnsi="David" w:cs="David" w:hint="default"/>
          <w:sz w:val="24"/>
          <w:szCs w:val="24"/>
        </w:rPr>
        <w:footnoteReference w:id="37"/>
      </w:r>
      <w:r w:rsidRPr="00B57A8F">
        <w:rPr>
          <w:rFonts w:ascii="David" w:hAnsi="David" w:cs="David" w:hint="default"/>
          <w:sz w:val="24"/>
          <w:szCs w:val="24"/>
          <w:rtl/>
        </w:rPr>
        <w:t xml:space="preserve"> </w:t>
      </w:r>
    </w:p>
    <w:p w:rsidR="00603B8A" w:rsidRPr="00B57A8F" w:rsidRDefault="00BE211D" w:rsidP="001E5935">
      <w:pPr>
        <w:spacing w:line="360" w:lineRule="auto"/>
        <w:jc w:val="both"/>
        <w:rPr>
          <w:rFonts w:ascii="David" w:hAnsi="David" w:cs="David" w:hint="default"/>
          <w:sz w:val="24"/>
          <w:szCs w:val="24"/>
          <w:rtl/>
        </w:rPr>
      </w:pPr>
      <w:r w:rsidRPr="00B57A8F">
        <w:rPr>
          <w:rFonts w:ascii="David" w:hAnsi="David" w:cs="David" w:hint="default"/>
          <w:sz w:val="24"/>
          <w:szCs w:val="24"/>
          <w:rtl/>
        </w:rPr>
        <w:t>המשנה לנשיא אליעזר ריבלין</w:t>
      </w:r>
      <w:r w:rsidRPr="00B57A8F">
        <w:rPr>
          <w:rFonts w:ascii="David" w:hAnsi="David" w:cs="David" w:hint="default"/>
          <w:b/>
          <w:bCs/>
          <w:sz w:val="24"/>
          <w:szCs w:val="24"/>
          <w:rtl/>
        </w:rPr>
        <w:t xml:space="preserve"> </w:t>
      </w:r>
      <w:r w:rsidRPr="00B57A8F">
        <w:rPr>
          <w:rFonts w:ascii="David" w:hAnsi="David" w:cs="David" w:hint="default"/>
          <w:sz w:val="24"/>
          <w:szCs w:val="24"/>
          <w:rtl/>
        </w:rPr>
        <w:t>פסק כי לא ניתן עוד להכיר בעילת "חיים בעוולה". זאת מהסיבה כי קיימים קש</w:t>
      </w:r>
      <w:r w:rsidR="00614361" w:rsidRPr="00B57A8F">
        <w:rPr>
          <w:rFonts w:ascii="David" w:hAnsi="David" w:cs="David" w:hint="default"/>
          <w:sz w:val="24"/>
          <w:szCs w:val="24"/>
          <w:rtl/>
        </w:rPr>
        <w:t xml:space="preserve">יים משפטיים מהותיים אשר נוגעים </w:t>
      </w:r>
      <w:r w:rsidR="00614361" w:rsidRPr="00B57A8F">
        <w:rPr>
          <w:rFonts w:ascii="David" w:hAnsi="David" w:cs="David" w:hint="cs"/>
          <w:sz w:val="24"/>
          <w:szCs w:val="24"/>
          <w:rtl/>
        </w:rPr>
        <w:t>ל</w:t>
      </w:r>
      <w:r w:rsidR="00614361" w:rsidRPr="00B57A8F">
        <w:rPr>
          <w:rFonts w:ascii="David" w:hAnsi="David" w:cs="David" w:hint="default"/>
          <w:sz w:val="24"/>
          <w:szCs w:val="24"/>
          <w:rtl/>
        </w:rPr>
        <w:t>יסוד הנזק ו</w:t>
      </w:r>
      <w:r w:rsidR="00614361" w:rsidRPr="00B57A8F">
        <w:rPr>
          <w:rFonts w:ascii="David" w:hAnsi="David" w:cs="David" w:hint="cs"/>
          <w:sz w:val="24"/>
          <w:szCs w:val="24"/>
          <w:rtl/>
        </w:rPr>
        <w:t>ל</w:t>
      </w:r>
      <w:r w:rsidR="00614361" w:rsidRPr="00B57A8F">
        <w:rPr>
          <w:rFonts w:ascii="David" w:hAnsi="David" w:cs="David" w:hint="default"/>
          <w:sz w:val="24"/>
          <w:szCs w:val="24"/>
          <w:rtl/>
        </w:rPr>
        <w:t xml:space="preserve">יסוד הקשר הסיבתי, </w:t>
      </w:r>
      <w:r w:rsidR="00614361" w:rsidRPr="00B57A8F">
        <w:rPr>
          <w:rFonts w:ascii="David" w:hAnsi="David" w:cs="David" w:hint="cs"/>
          <w:sz w:val="24"/>
          <w:szCs w:val="24"/>
          <w:rtl/>
        </w:rPr>
        <w:t>ככל ש</w:t>
      </w:r>
      <w:r w:rsidRPr="00B57A8F">
        <w:rPr>
          <w:rFonts w:ascii="David" w:hAnsi="David" w:cs="David" w:hint="default"/>
          <w:sz w:val="24"/>
          <w:szCs w:val="24"/>
          <w:rtl/>
        </w:rPr>
        <w:t xml:space="preserve">מבקשים </w:t>
      </w:r>
      <w:r w:rsidR="00614361" w:rsidRPr="00B57A8F">
        <w:rPr>
          <w:rFonts w:ascii="David" w:hAnsi="David" w:cs="David" w:hint="cs"/>
          <w:sz w:val="24"/>
          <w:szCs w:val="24"/>
          <w:rtl/>
        </w:rPr>
        <w:t>להכירה</w:t>
      </w:r>
      <w:r w:rsidRPr="00B57A8F">
        <w:rPr>
          <w:rFonts w:ascii="David" w:hAnsi="David" w:cs="David" w:hint="default"/>
          <w:sz w:val="24"/>
          <w:szCs w:val="24"/>
          <w:rtl/>
        </w:rPr>
        <w:t xml:space="preserve"> בעילת תביעה זו במסגרת עוולת הרשלנות. </w:t>
      </w:r>
      <w:r w:rsidR="00C40BF1" w:rsidRPr="00B57A8F">
        <w:rPr>
          <w:rFonts w:ascii="David" w:hAnsi="David" w:cs="David" w:hint="default"/>
          <w:sz w:val="24"/>
          <w:szCs w:val="24"/>
          <w:rtl/>
        </w:rPr>
        <w:t xml:space="preserve">דעתה של המשנה לנשיא מרים בן-פורת </w:t>
      </w:r>
      <w:r w:rsidR="001E5935">
        <w:rPr>
          <w:rFonts w:ascii="David" w:hAnsi="David" w:cs="David" w:hint="cs"/>
          <w:sz w:val="24"/>
          <w:szCs w:val="24"/>
          <w:rtl/>
        </w:rPr>
        <w:t xml:space="preserve">בהלכת זייצוב </w:t>
      </w:r>
      <w:r w:rsidR="00C40BF1" w:rsidRPr="00B57A8F">
        <w:rPr>
          <w:rFonts w:ascii="David" w:hAnsi="David" w:cs="David" w:hint="default"/>
          <w:sz w:val="24"/>
          <w:szCs w:val="24"/>
          <w:rtl/>
        </w:rPr>
        <w:t xml:space="preserve">חייבה לקבוע כי במקרים חמורים היה עדיף לו לאדם שלא נולד. קביעה זו מוכרת </w:t>
      </w:r>
      <w:r w:rsidR="00B541A6" w:rsidRPr="00B57A8F">
        <w:rPr>
          <w:rFonts w:ascii="David" w:hAnsi="David" w:cs="David" w:hint="default"/>
          <w:sz w:val="24"/>
          <w:szCs w:val="24"/>
          <w:rtl/>
        </w:rPr>
        <w:t>מבחינה מהותית-ערכית ולא משפטית מקום שלא ניתן להוכיח את</w:t>
      </w:r>
      <w:r w:rsidR="00AA4DEB" w:rsidRPr="00B57A8F">
        <w:rPr>
          <w:rFonts w:ascii="David" w:hAnsi="David" w:cs="David" w:hint="default"/>
          <w:sz w:val="24"/>
          <w:szCs w:val="24"/>
          <w:rtl/>
        </w:rPr>
        <w:t xml:space="preserve"> יסוד הנזק בעילת </w:t>
      </w:r>
      <w:r w:rsidR="00415AA0">
        <w:rPr>
          <w:rFonts w:ascii="David" w:hAnsi="David" w:cs="David" w:hint="cs"/>
          <w:sz w:val="24"/>
          <w:szCs w:val="24"/>
          <w:rtl/>
        </w:rPr>
        <w:t>"</w:t>
      </w:r>
      <w:r w:rsidR="00AA4DEB" w:rsidRPr="00B57A8F">
        <w:rPr>
          <w:rFonts w:ascii="David" w:hAnsi="David" w:cs="David" w:hint="default"/>
          <w:sz w:val="24"/>
          <w:szCs w:val="24"/>
          <w:rtl/>
        </w:rPr>
        <w:t>חיים בעוולה</w:t>
      </w:r>
      <w:r w:rsidR="00415AA0">
        <w:rPr>
          <w:rFonts w:ascii="David" w:hAnsi="David" w:cs="David" w:hint="cs"/>
          <w:sz w:val="24"/>
          <w:szCs w:val="24"/>
          <w:rtl/>
        </w:rPr>
        <w:t>"</w:t>
      </w:r>
      <w:r w:rsidR="00B541A6" w:rsidRPr="00B57A8F">
        <w:rPr>
          <w:rFonts w:ascii="David" w:hAnsi="David" w:cs="David" w:hint="default"/>
          <w:sz w:val="24"/>
          <w:szCs w:val="24"/>
          <w:rtl/>
        </w:rPr>
        <w:t>.</w:t>
      </w:r>
      <w:r w:rsidR="00AA4DEB" w:rsidRPr="00B57A8F">
        <w:rPr>
          <w:rFonts w:ascii="David" w:hAnsi="David" w:cs="David" w:hint="default"/>
          <w:sz w:val="24"/>
          <w:szCs w:val="24"/>
          <w:rtl/>
        </w:rPr>
        <w:t xml:space="preserve"> </w:t>
      </w:r>
      <w:r w:rsidR="00531439" w:rsidRPr="00B57A8F">
        <w:rPr>
          <w:rFonts w:ascii="David" w:hAnsi="David" w:cs="David" w:hint="default"/>
          <w:sz w:val="24"/>
          <w:szCs w:val="24"/>
          <w:rtl/>
        </w:rPr>
        <w:t xml:space="preserve">לדעת הנשיא אהרן ברק </w:t>
      </w:r>
      <w:r w:rsidR="001E5935">
        <w:rPr>
          <w:rFonts w:ascii="David" w:hAnsi="David" w:cs="David" w:hint="cs"/>
          <w:sz w:val="24"/>
          <w:szCs w:val="24"/>
          <w:rtl/>
        </w:rPr>
        <w:t>בעניין</w:t>
      </w:r>
      <w:r w:rsidR="00531439" w:rsidRPr="00B57A8F">
        <w:rPr>
          <w:rFonts w:ascii="David" w:hAnsi="David" w:cs="David" w:hint="default"/>
          <w:sz w:val="24"/>
          <w:szCs w:val="24"/>
          <w:rtl/>
        </w:rPr>
        <w:t xml:space="preserve"> זייצוב</w:t>
      </w:r>
      <w:r w:rsidR="00614361" w:rsidRPr="00B57A8F">
        <w:rPr>
          <w:rFonts w:ascii="David" w:hAnsi="David" w:cs="David" w:hint="default"/>
          <w:sz w:val="24"/>
          <w:szCs w:val="24"/>
          <w:rtl/>
        </w:rPr>
        <w:t xml:space="preserve"> קיים קשר מהותי</w:t>
      </w:r>
      <w:r w:rsidR="00531439" w:rsidRPr="00B57A8F">
        <w:rPr>
          <w:rFonts w:ascii="David" w:hAnsi="David" w:cs="David" w:hint="default"/>
          <w:sz w:val="24"/>
          <w:szCs w:val="24"/>
          <w:rtl/>
        </w:rPr>
        <w:t xml:space="preserve"> בקביעת קשר סיבתי בין ההתרשלות לבין הנזק של חיים עם מוגבלות. </w:t>
      </w:r>
      <w:r w:rsidR="00D76AF0" w:rsidRPr="00B57A8F">
        <w:rPr>
          <w:rFonts w:ascii="David" w:hAnsi="David" w:cs="David" w:hint="default"/>
          <w:sz w:val="24"/>
          <w:szCs w:val="24"/>
          <w:rtl/>
        </w:rPr>
        <w:t xml:space="preserve">העניין המרכזי שעלה </w:t>
      </w:r>
      <w:r w:rsidR="001E5935">
        <w:rPr>
          <w:rFonts w:ascii="David" w:hAnsi="David" w:cs="David" w:hint="cs"/>
          <w:sz w:val="24"/>
          <w:szCs w:val="24"/>
          <w:rtl/>
        </w:rPr>
        <w:t>בעניין זייצוב</w:t>
      </w:r>
      <w:r w:rsidR="00D76AF0" w:rsidRPr="00B57A8F">
        <w:rPr>
          <w:rFonts w:ascii="David" w:hAnsi="David" w:cs="David" w:hint="default"/>
          <w:sz w:val="24"/>
          <w:szCs w:val="24"/>
          <w:rtl/>
        </w:rPr>
        <w:t xml:space="preserve"> הוא הקושי הערכי-מהותי בתפיסה שלפיה חייו של מי שנולד עם מוגבלות יכולים להיחשב בעייני היילוד עצמו כ"נזק", </w:t>
      </w:r>
      <w:r w:rsidR="00614361" w:rsidRPr="00B57A8F">
        <w:rPr>
          <w:rFonts w:ascii="David" w:hAnsi="David" w:cs="David" w:hint="cs"/>
          <w:sz w:val="24"/>
          <w:szCs w:val="24"/>
          <w:rtl/>
        </w:rPr>
        <w:t>ו</w:t>
      </w:r>
      <w:r w:rsidR="00D76AF0" w:rsidRPr="00B57A8F">
        <w:rPr>
          <w:rFonts w:ascii="David" w:hAnsi="David" w:cs="David" w:hint="default"/>
          <w:sz w:val="24"/>
          <w:szCs w:val="24"/>
          <w:rtl/>
        </w:rPr>
        <w:t xml:space="preserve">כאן הפגיעה בחוק יסוד: כבוד האדם וחירותו, עקרון השוויון ופגיעה בכבוד הנכים. </w:t>
      </w:r>
    </w:p>
    <w:p w:rsidR="00603B8A" w:rsidRPr="007243D2" w:rsidRDefault="00BE211D" w:rsidP="00251C6F">
      <w:pPr>
        <w:spacing w:line="360" w:lineRule="auto"/>
        <w:jc w:val="both"/>
        <w:rPr>
          <w:rFonts w:ascii="David" w:hAnsi="David" w:cs="David" w:hint="default"/>
          <w:sz w:val="24"/>
          <w:szCs w:val="24"/>
          <w:rtl/>
        </w:rPr>
      </w:pPr>
      <w:r w:rsidRPr="00B57A8F">
        <w:rPr>
          <w:rFonts w:ascii="David" w:hAnsi="David" w:cs="David" w:hint="default"/>
          <w:sz w:val="24"/>
          <w:szCs w:val="24"/>
          <w:rtl/>
        </w:rPr>
        <w:t xml:space="preserve">הקביעה כי מוטב לאדם שלא נולד מאשר להיוולד עם מום, טומנת בחובה פגיעה אסורה </w:t>
      </w:r>
      <w:r w:rsidRPr="00B57A8F">
        <w:rPr>
          <w:rFonts w:ascii="David" w:hAnsi="David" w:cs="David" w:hint="default"/>
          <w:sz w:val="24"/>
          <w:szCs w:val="24"/>
          <w:rtl/>
        </w:rPr>
        <w:t xml:space="preserve">שלפיה לחיים יש ערך אינהרנטי, הוא אינו פוחת בשל קיומו של מום או מגבלה. עמדה זו עולה בקנה אחד עם המשפט המקובל </w:t>
      </w:r>
      <w:r w:rsidR="00614361" w:rsidRPr="00B57A8F">
        <w:rPr>
          <w:rFonts w:ascii="David" w:hAnsi="David" w:cs="David" w:hint="default"/>
          <w:sz w:val="24"/>
          <w:szCs w:val="24"/>
          <w:rtl/>
        </w:rPr>
        <w:t>ופסיקת</w:t>
      </w:r>
      <w:r w:rsidR="00614361" w:rsidRPr="00B57A8F">
        <w:rPr>
          <w:rFonts w:ascii="David" w:hAnsi="David" w:cs="David" w:hint="cs"/>
          <w:sz w:val="24"/>
          <w:szCs w:val="24"/>
          <w:rtl/>
        </w:rPr>
        <w:t>ו</w:t>
      </w:r>
      <w:r w:rsidRPr="00B57A8F">
        <w:rPr>
          <w:rFonts w:ascii="David" w:hAnsi="David" w:cs="David" w:hint="default"/>
          <w:sz w:val="24"/>
          <w:szCs w:val="24"/>
          <w:rtl/>
        </w:rPr>
        <w:t>. מן הצד השני, ניתן לראות כי ל</w:t>
      </w:r>
      <w:r w:rsidR="00614361" w:rsidRPr="00B57A8F">
        <w:rPr>
          <w:rFonts w:ascii="David" w:hAnsi="David" w:cs="David" w:hint="default"/>
          <w:sz w:val="24"/>
          <w:szCs w:val="24"/>
          <w:rtl/>
        </w:rPr>
        <w:t xml:space="preserve">א נמצא מכשול </w:t>
      </w:r>
      <w:r w:rsidRPr="00B57A8F">
        <w:rPr>
          <w:rFonts w:ascii="David" w:hAnsi="David" w:cs="David" w:hint="default"/>
          <w:sz w:val="24"/>
          <w:szCs w:val="24"/>
          <w:rtl/>
        </w:rPr>
        <w:t>משפטי אשר מונע את ההכרה בע</w:t>
      </w:r>
      <w:r w:rsidR="00614361" w:rsidRPr="00B57A8F">
        <w:rPr>
          <w:rFonts w:ascii="David" w:hAnsi="David" w:cs="David" w:hint="default"/>
          <w:sz w:val="24"/>
          <w:szCs w:val="24"/>
          <w:rtl/>
        </w:rPr>
        <w:t>ילת התביעה של ההורים, כאמור עלי</w:t>
      </w:r>
      <w:r w:rsidRPr="00B57A8F">
        <w:rPr>
          <w:rFonts w:ascii="David" w:hAnsi="David" w:cs="David" w:hint="default"/>
          <w:sz w:val="24"/>
          <w:szCs w:val="24"/>
          <w:rtl/>
        </w:rPr>
        <w:t xml:space="preserve">ה לא </w:t>
      </w:r>
      <w:r w:rsidR="00614361" w:rsidRPr="00B57A8F">
        <w:rPr>
          <w:rFonts w:ascii="David" w:hAnsi="David" w:cs="David" w:hint="cs"/>
          <w:sz w:val="24"/>
          <w:szCs w:val="24"/>
          <w:rtl/>
        </w:rPr>
        <w:t>הייתה</w:t>
      </w:r>
      <w:r w:rsidRPr="00B57A8F">
        <w:rPr>
          <w:rFonts w:ascii="David" w:hAnsi="David" w:cs="David" w:hint="default"/>
          <w:sz w:val="24"/>
          <w:szCs w:val="24"/>
          <w:rtl/>
        </w:rPr>
        <w:t xml:space="preserve"> כל מחלוקת. לצד הכרה זו, </w:t>
      </w:r>
      <w:r w:rsidR="00251C6F">
        <w:rPr>
          <w:rFonts w:ascii="David" w:hAnsi="David" w:cs="David" w:hint="cs"/>
          <w:sz w:val="24"/>
          <w:szCs w:val="24"/>
          <w:rtl/>
        </w:rPr>
        <w:t>ביהמ"ש</w:t>
      </w:r>
      <w:r w:rsidRPr="00B57A8F">
        <w:rPr>
          <w:rFonts w:ascii="David" w:hAnsi="David" w:cs="David" w:hint="default"/>
          <w:sz w:val="24"/>
          <w:szCs w:val="24"/>
          <w:rtl/>
        </w:rPr>
        <w:t xml:space="preserve"> נדרש להכריע </w:t>
      </w:r>
      <w:r w:rsidR="00614361" w:rsidRPr="00B57A8F">
        <w:rPr>
          <w:rFonts w:ascii="David" w:hAnsi="David" w:cs="David" w:hint="cs"/>
          <w:sz w:val="24"/>
          <w:szCs w:val="24"/>
          <w:rtl/>
        </w:rPr>
        <w:t>ב</w:t>
      </w:r>
      <w:r w:rsidRPr="00B57A8F">
        <w:rPr>
          <w:rFonts w:ascii="David" w:hAnsi="David" w:cs="David" w:hint="default"/>
          <w:sz w:val="24"/>
          <w:szCs w:val="24"/>
          <w:rtl/>
        </w:rPr>
        <w:t xml:space="preserve">שלוש סוגיות שעוררו קושי ביישום עילה זו, אשר לא הוכרעה בזייצוב והגיעה </w:t>
      </w:r>
      <w:r w:rsidR="00614361" w:rsidRPr="00B57A8F">
        <w:rPr>
          <w:rFonts w:ascii="David" w:hAnsi="David" w:cs="David" w:hint="cs"/>
          <w:sz w:val="24"/>
          <w:szCs w:val="24"/>
          <w:rtl/>
        </w:rPr>
        <w:t>השעה</w:t>
      </w:r>
      <w:r w:rsidRPr="00B57A8F">
        <w:rPr>
          <w:rFonts w:ascii="David" w:hAnsi="David" w:cs="David" w:hint="default"/>
          <w:sz w:val="24"/>
          <w:szCs w:val="24"/>
          <w:rtl/>
        </w:rPr>
        <w:t xml:space="preserve"> לעשות כן. סוגיות אלה נוגעות לשאלת הוכחת הקשר הסיבתי, לשומת הנזק ולראש הנזק של פגיעה באוטונומיה. שאלות </w:t>
      </w:r>
      <w:r w:rsidR="00614361" w:rsidRPr="00B57A8F">
        <w:rPr>
          <w:rFonts w:ascii="David" w:hAnsi="David" w:cs="David" w:hint="cs"/>
          <w:sz w:val="24"/>
          <w:szCs w:val="24"/>
          <w:rtl/>
        </w:rPr>
        <w:t>אלה</w:t>
      </w:r>
      <w:r w:rsidRPr="00B57A8F">
        <w:rPr>
          <w:rFonts w:ascii="David" w:hAnsi="David" w:cs="David" w:hint="default"/>
          <w:sz w:val="24"/>
          <w:szCs w:val="24"/>
          <w:rtl/>
        </w:rPr>
        <w:t xml:space="preserve"> הובילו להרחבת עילתם של ההורים בגין "ההולדה </w:t>
      </w:r>
      <w:r w:rsidRPr="00B57A8F">
        <w:rPr>
          <w:rFonts w:ascii="David" w:hAnsi="David" w:cs="David" w:hint="default"/>
          <w:sz w:val="24"/>
          <w:szCs w:val="24"/>
          <w:rtl/>
        </w:rPr>
        <w:lastRenderedPageBreak/>
        <w:t>בעוולה"</w:t>
      </w:r>
      <w:r w:rsidR="00614361" w:rsidRPr="00B57A8F">
        <w:rPr>
          <w:rFonts w:ascii="David" w:hAnsi="David" w:cs="David" w:hint="cs"/>
          <w:sz w:val="24"/>
          <w:szCs w:val="24"/>
          <w:rtl/>
        </w:rPr>
        <w:t>,</w:t>
      </w:r>
      <w:r w:rsidRPr="00B57A8F">
        <w:rPr>
          <w:rFonts w:ascii="David" w:hAnsi="David" w:cs="David" w:hint="default"/>
          <w:sz w:val="24"/>
          <w:szCs w:val="24"/>
          <w:rtl/>
        </w:rPr>
        <w:t xml:space="preserve"> </w:t>
      </w:r>
      <w:r w:rsidR="00614361" w:rsidRPr="00B57A8F">
        <w:rPr>
          <w:rFonts w:ascii="David" w:hAnsi="David" w:cs="David" w:hint="cs"/>
          <w:sz w:val="24"/>
          <w:szCs w:val="24"/>
          <w:rtl/>
        </w:rPr>
        <w:t>כך שכאמור</w:t>
      </w:r>
      <w:r w:rsidRPr="00B57A8F">
        <w:rPr>
          <w:rFonts w:ascii="David" w:hAnsi="David" w:cs="David" w:hint="default"/>
          <w:sz w:val="24"/>
          <w:szCs w:val="24"/>
          <w:rtl/>
        </w:rPr>
        <w:t xml:space="preserve"> </w:t>
      </w:r>
      <w:r w:rsidRPr="00B57A8F">
        <w:rPr>
          <w:rFonts w:ascii="David" w:hAnsi="David" w:cs="David" w:hint="default"/>
          <w:sz w:val="24"/>
          <w:szCs w:val="24"/>
          <w:rtl/>
        </w:rPr>
        <w:t xml:space="preserve">יינתן להורים פיצוי, שיכסה את הוצאות גידול ומלוא </w:t>
      </w:r>
      <w:r w:rsidR="00614361" w:rsidRPr="00B57A8F">
        <w:rPr>
          <w:rFonts w:ascii="David" w:hAnsi="David" w:cs="David" w:hint="cs"/>
          <w:sz w:val="24"/>
          <w:szCs w:val="24"/>
          <w:rtl/>
        </w:rPr>
        <w:t>צורכי</w:t>
      </w:r>
      <w:r w:rsidRPr="00B57A8F">
        <w:rPr>
          <w:rFonts w:ascii="David" w:hAnsi="David" w:cs="David" w:hint="default"/>
          <w:sz w:val="24"/>
          <w:szCs w:val="24"/>
          <w:rtl/>
        </w:rPr>
        <w:t xml:space="preserve"> הי</w:t>
      </w:r>
      <w:r w:rsidR="00614361" w:rsidRPr="00B57A8F">
        <w:rPr>
          <w:rFonts w:ascii="David" w:hAnsi="David" w:cs="David" w:hint="cs"/>
          <w:sz w:val="24"/>
          <w:szCs w:val="24"/>
          <w:rtl/>
        </w:rPr>
        <w:t>י</w:t>
      </w:r>
      <w:r w:rsidRPr="00B57A8F">
        <w:rPr>
          <w:rFonts w:ascii="David" w:hAnsi="David" w:cs="David" w:hint="default"/>
          <w:sz w:val="24"/>
          <w:szCs w:val="24"/>
          <w:rtl/>
        </w:rPr>
        <w:t xml:space="preserve">לוד גם לאחר בגירותו ולמשך תוחלת חייו. בכך, </w:t>
      </w:r>
      <w:r w:rsidR="00251C6F">
        <w:rPr>
          <w:rFonts w:ascii="David" w:hAnsi="David" w:cs="David" w:hint="cs"/>
          <w:sz w:val="24"/>
          <w:szCs w:val="24"/>
          <w:rtl/>
        </w:rPr>
        <w:t>ביהמ"ש</w:t>
      </w:r>
      <w:r w:rsidRPr="00B57A8F">
        <w:rPr>
          <w:rFonts w:ascii="David" w:hAnsi="David" w:cs="David" w:hint="default"/>
          <w:sz w:val="24"/>
          <w:szCs w:val="24"/>
          <w:rtl/>
        </w:rPr>
        <w:t xml:space="preserve"> הגשים את התכלית הראויה תוך מתן סעד ליילוד על ידי תביעתם של הוריו.</w:t>
      </w:r>
      <w:r w:rsidRPr="007243D2">
        <w:rPr>
          <w:rFonts w:ascii="David" w:hAnsi="David" w:cs="David" w:hint="default"/>
          <w:sz w:val="24"/>
          <w:szCs w:val="24"/>
          <w:rtl/>
        </w:rPr>
        <w:t xml:space="preserve"> </w:t>
      </w:r>
    </w:p>
    <w:p w:rsidR="00AC5264" w:rsidRPr="007243D2" w:rsidRDefault="00BE211D" w:rsidP="000B13C8">
      <w:pPr>
        <w:spacing w:line="360" w:lineRule="auto"/>
        <w:jc w:val="both"/>
        <w:rPr>
          <w:rFonts w:ascii="David" w:hAnsi="David" w:cs="David" w:hint="default"/>
          <w:b/>
          <w:bCs/>
          <w:sz w:val="24"/>
          <w:szCs w:val="24"/>
          <w:u w:val="single"/>
          <w:rtl/>
        </w:rPr>
      </w:pPr>
      <w:r>
        <w:rPr>
          <w:rFonts w:ascii="David" w:hAnsi="David" w:cs="David" w:hint="cs"/>
          <w:b/>
          <w:bCs/>
          <w:sz w:val="24"/>
          <w:szCs w:val="24"/>
          <w:u w:val="single"/>
          <w:rtl/>
        </w:rPr>
        <w:t xml:space="preserve">א4. </w:t>
      </w:r>
      <w:r w:rsidR="00F91604" w:rsidRPr="007243D2">
        <w:rPr>
          <w:rFonts w:ascii="David" w:hAnsi="David" w:cs="David" w:hint="default"/>
          <w:b/>
          <w:bCs/>
          <w:sz w:val="24"/>
          <w:szCs w:val="24"/>
          <w:u w:val="single"/>
          <w:rtl/>
        </w:rPr>
        <w:t>המצב המשפטי כיום</w:t>
      </w:r>
    </w:p>
    <w:p w:rsidR="005352B2" w:rsidRDefault="00BE211D" w:rsidP="0008103D">
      <w:pPr>
        <w:pStyle w:val="Ruller40"/>
        <w:rPr>
          <w:rFonts w:ascii="David" w:hAnsi="David" w:cs="David" w:hint="default"/>
          <w:i/>
          <w:iCs/>
          <w:sz w:val="24"/>
          <w:szCs w:val="24"/>
          <w:rtl/>
        </w:rPr>
      </w:pPr>
      <w:r w:rsidRPr="0008103D">
        <w:rPr>
          <w:rFonts w:ascii="David" w:hAnsi="David" w:cs="David" w:hint="default"/>
          <w:i/>
          <w:iCs/>
          <w:sz w:val="24"/>
          <w:szCs w:val="24"/>
          <w:rtl/>
        </w:rPr>
        <w:t xml:space="preserve">"תוצאת פסק-הדין – ככל שהיא נוגעת לביטול עילת התביעה של היילוד – לא תחול על תיקים תלויים ועומדים (לרבות התיקים שבפנינו) שבהם לא הוגשה תביעת הורים. השופט </w:t>
      </w:r>
      <w:r w:rsidRPr="0008103D">
        <w:rPr>
          <w:rFonts w:ascii="David" w:hAnsi="David" w:cs="David" w:hint="default"/>
          <w:i/>
          <w:iCs/>
          <w:spacing w:val="0"/>
          <w:sz w:val="24"/>
          <w:szCs w:val="24"/>
          <w:rtl/>
        </w:rPr>
        <w:t>א' רובינשטיין</w:t>
      </w:r>
      <w:r w:rsidRPr="0008103D">
        <w:rPr>
          <w:rFonts w:ascii="David" w:hAnsi="David" w:cs="David" w:hint="default"/>
          <w:i/>
          <w:iCs/>
          <w:sz w:val="24"/>
          <w:szCs w:val="24"/>
          <w:rtl/>
        </w:rPr>
        <w:t xml:space="preserve"> סבור היה כי אין להחיל את תוצאת פסק-הדין למשך שנה מהיום, והשופטת </w:t>
      </w:r>
      <w:r w:rsidRPr="0008103D">
        <w:rPr>
          <w:rFonts w:ascii="David" w:hAnsi="David" w:cs="David" w:hint="default"/>
          <w:i/>
          <w:iCs/>
          <w:spacing w:val="0"/>
          <w:sz w:val="24"/>
          <w:szCs w:val="24"/>
          <w:rtl/>
        </w:rPr>
        <w:t>מ' נאור</w:t>
      </w:r>
      <w:r w:rsidRPr="0008103D">
        <w:rPr>
          <w:rFonts w:ascii="David" w:hAnsi="David" w:cs="David" w:hint="default"/>
          <w:i/>
          <w:iCs/>
          <w:sz w:val="24"/>
          <w:szCs w:val="24"/>
          <w:rtl/>
        </w:rPr>
        <w:t xml:space="preserve"> מציינת כי אין מקום</w:t>
      </w:r>
      <w:r w:rsidRPr="0008103D">
        <w:rPr>
          <w:rFonts w:ascii="David" w:hAnsi="David" w:cs="David" w:hint="default"/>
          <w:i/>
          <w:iCs/>
          <w:sz w:val="24"/>
          <w:szCs w:val="24"/>
          <w:rtl/>
        </w:rPr>
        <w:t xml:space="preserve"> להכריע, במסגרת הוראת המעבר בהליך שבפנינו, בשאלה מה דינה של תביעת היילוד שטרם הוגשה."</w:t>
      </w:r>
      <w:r>
        <w:rPr>
          <w:rStyle w:val="a7"/>
          <w:rFonts w:ascii="David" w:hAnsi="David" w:cs="David" w:hint="default"/>
          <w:i/>
          <w:iCs/>
          <w:sz w:val="24"/>
          <w:szCs w:val="24"/>
        </w:rPr>
        <w:footnoteReference w:id="38"/>
      </w:r>
    </w:p>
    <w:p w:rsidR="0008103D" w:rsidRPr="0008103D" w:rsidRDefault="0008103D" w:rsidP="0008103D">
      <w:pPr>
        <w:pStyle w:val="Ruller40"/>
        <w:rPr>
          <w:rFonts w:ascii="David" w:hAnsi="David" w:cs="David" w:hint="default"/>
          <w:i/>
          <w:iCs/>
          <w:sz w:val="24"/>
          <w:szCs w:val="24"/>
          <w:rtl/>
        </w:rPr>
      </w:pPr>
    </w:p>
    <w:p w:rsidR="00256433" w:rsidRPr="007243D2" w:rsidRDefault="00BE211D" w:rsidP="00750DF5">
      <w:pPr>
        <w:pStyle w:val="Ruller40"/>
        <w:rPr>
          <w:rFonts w:ascii="David" w:hAnsi="David" w:cs="David" w:hint="default"/>
          <w:sz w:val="24"/>
          <w:szCs w:val="24"/>
          <w:rtl/>
        </w:rPr>
      </w:pPr>
      <w:r w:rsidRPr="007243D2">
        <w:rPr>
          <w:rFonts w:ascii="David" w:hAnsi="David" w:cs="David" w:hint="default"/>
          <w:sz w:val="24"/>
          <w:szCs w:val="24"/>
          <w:rtl/>
        </w:rPr>
        <w:t xml:space="preserve">הלכת המר ביטלה את הלכת זייצוב בעניין עילת </w:t>
      </w:r>
      <w:r w:rsidR="00750DF5">
        <w:rPr>
          <w:rFonts w:ascii="David" w:hAnsi="David" w:cs="David" w:hint="cs"/>
          <w:sz w:val="24"/>
          <w:szCs w:val="24"/>
          <w:rtl/>
        </w:rPr>
        <w:t>ה</w:t>
      </w:r>
      <w:r w:rsidR="00750DF5">
        <w:rPr>
          <w:rFonts w:ascii="David" w:hAnsi="David" w:cs="David" w:hint="default"/>
          <w:sz w:val="24"/>
          <w:szCs w:val="24"/>
          <w:rtl/>
        </w:rPr>
        <w:t>תביע</w:t>
      </w:r>
      <w:r w:rsidR="00750DF5">
        <w:rPr>
          <w:rFonts w:ascii="David" w:hAnsi="David" w:cs="David" w:hint="cs"/>
          <w:sz w:val="24"/>
          <w:szCs w:val="24"/>
          <w:rtl/>
        </w:rPr>
        <w:t>ה</w:t>
      </w:r>
      <w:r w:rsidRPr="007243D2">
        <w:rPr>
          <w:rFonts w:ascii="David" w:hAnsi="David" w:cs="David" w:hint="default"/>
          <w:sz w:val="24"/>
          <w:szCs w:val="24"/>
          <w:rtl/>
        </w:rPr>
        <w:t xml:space="preserve"> של היילוד וקבעה הוראות מעבר להחלת ההלכה</w:t>
      </w:r>
      <w:r w:rsidR="00B03665" w:rsidRPr="007243D2">
        <w:rPr>
          <w:rFonts w:ascii="David" w:hAnsi="David" w:cs="David" w:hint="default"/>
          <w:sz w:val="24"/>
          <w:szCs w:val="24"/>
          <w:rtl/>
        </w:rPr>
        <w:t xml:space="preserve"> ומועד החלת</w:t>
      </w:r>
      <w:r w:rsidR="00750DF5">
        <w:rPr>
          <w:rFonts w:ascii="David" w:hAnsi="David" w:cs="David" w:hint="cs"/>
          <w:sz w:val="24"/>
          <w:szCs w:val="24"/>
          <w:rtl/>
        </w:rPr>
        <w:t>ה</w:t>
      </w:r>
      <w:r w:rsidRPr="007243D2">
        <w:rPr>
          <w:rFonts w:ascii="David" w:hAnsi="David" w:cs="David" w:hint="default"/>
          <w:sz w:val="24"/>
          <w:szCs w:val="24"/>
          <w:rtl/>
        </w:rPr>
        <w:t xml:space="preserve">. </w:t>
      </w:r>
      <w:r w:rsidR="00750DF5">
        <w:rPr>
          <w:rFonts w:ascii="David" w:hAnsi="David" w:cs="David" w:hint="cs"/>
          <w:sz w:val="24"/>
          <w:szCs w:val="24"/>
          <w:rtl/>
        </w:rPr>
        <w:t xml:space="preserve">כתוצאה מכך נוצרו </w:t>
      </w:r>
      <w:r w:rsidRPr="007243D2">
        <w:rPr>
          <w:rFonts w:ascii="David" w:hAnsi="David" w:cs="David" w:hint="default"/>
          <w:sz w:val="24"/>
          <w:szCs w:val="24"/>
          <w:rtl/>
        </w:rPr>
        <w:t>מספר קבוצות ולכל אחת פתרון משלה, אציג כדלקמן:</w:t>
      </w:r>
    </w:p>
    <w:p w:rsidR="00256433" w:rsidRPr="007243D2" w:rsidRDefault="00BE211D" w:rsidP="00256433">
      <w:pPr>
        <w:pStyle w:val="Ruller40"/>
        <w:rPr>
          <w:rFonts w:ascii="David" w:hAnsi="David" w:cs="David" w:hint="default"/>
          <w:sz w:val="24"/>
          <w:szCs w:val="24"/>
          <w:rtl/>
        </w:rPr>
      </w:pPr>
      <w:r w:rsidRPr="007243D2">
        <w:rPr>
          <w:rFonts w:ascii="David" w:hAnsi="David" w:cs="David" w:hint="default"/>
          <w:sz w:val="24"/>
          <w:szCs w:val="24"/>
          <w:rtl/>
        </w:rPr>
        <w:t>הקבוצות שעוסקות</w:t>
      </w:r>
      <w:r w:rsidR="00986AE3" w:rsidRPr="007243D2">
        <w:rPr>
          <w:rFonts w:ascii="David" w:hAnsi="David" w:cs="David" w:hint="default"/>
          <w:sz w:val="24"/>
          <w:szCs w:val="24"/>
          <w:rtl/>
        </w:rPr>
        <w:t xml:space="preserve"> בתביעות תלויות ועומדות אשר הוגשו </w:t>
      </w:r>
      <w:r w:rsidR="00986AE3" w:rsidRPr="007243D2">
        <w:rPr>
          <w:rFonts w:ascii="David" w:hAnsi="David" w:cs="David" w:hint="default"/>
          <w:sz w:val="24"/>
          <w:szCs w:val="24"/>
          <w:u w:val="single"/>
          <w:rtl/>
        </w:rPr>
        <w:t>לפני</w:t>
      </w:r>
      <w:r w:rsidR="00986AE3" w:rsidRPr="007243D2">
        <w:rPr>
          <w:rFonts w:ascii="David" w:hAnsi="David" w:cs="David" w:hint="default"/>
          <w:sz w:val="24"/>
          <w:szCs w:val="24"/>
          <w:rtl/>
        </w:rPr>
        <w:t xml:space="preserve"> הלכת המר, משמע לפני תאריך 28/05/2012.</w:t>
      </w:r>
    </w:p>
    <w:p w:rsidR="00256433" w:rsidRPr="007243D2" w:rsidRDefault="00256433" w:rsidP="00256433">
      <w:pPr>
        <w:pStyle w:val="Ruller40"/>
        <w:rPr>
          <w:rFonts w:ascii="David" w:hAnsi="David" w:cs="David" w:hint="default"/>
          <w:sz w:val="24"/>
          <w:szCs w:val="24"/>
          <w:rtl/>
        </w:rPr>
      </w:pPr>
    </w:p>
    <w:p w:rsidR="00256433" w:rsidRPr="007243D2" w:rsidRDefault="00BE211D" w:rsidP="00B65383">
      <w:pPr>
        <w:pStyle w:val="Ruller40"/>
        <w:numPr>
          <w:ilvl w:val="0"/>
          <w:numId w:val="1"/>
        </w:numPr>
        <w:rPr>
          <w:rFonts w:ascii="David" w:hAnsi="David" w:cs="David" w:hint="default"/>
          <w:sz w:val="24"/>
          <w:szCs w:val="24"/>
        </w:rPr>
      </w:pPr>
      <w:r w:rsidRPr="007243D2">
        <w:rPr>
          <w:rFonts w:ascii="David" w:hAnsi="David" w:cs="David" w:hint="default"/>
          <w:sz w:val="24"/>
          <w:szCs w:val="24"/>
          <w:rtl/>
        </w:rPr>
        <w:t xml:space="preserve">הוגשה תביעה על ידי היילוד בלבד היא תמשיך להתברר לפי עילת "החיים בעוולה" של היילוד שהוכרה בפרשת זייצוב, זאת לפי הוראת מעבר </w:t>
      </w:r>
      <w:r w:rsidR="00B65383">
        <w:rPr>
          <w:rFonts w:ascii="David" w:hAnsi="David" w:cs="David" w:hint="cs"/>
          <w:sz w:val="24"/>
          <w:szCs w:val="24"/>
          <w:rtl/>
        </w:rPr>
        <w:t>שניתנה</w:t>
      </w:r>
      <w:r w:rsidRPr="007243D2">
        <w:rPr>
          <w:rFonts w:ascii="David" w:hAnsi="David" w:cs="David" w:hint="default"/>
          <w:sz w:val="24"/>
          <w:szCs w:val="24"/>
          <w:rtl/>
        </w:rPr>
        <w:t xml:space="preserve"> בהלכת המר.</w:t>
      </w:r>
      <w:r>
        <w:rPr>
          <w:rStyle w:val="a7"/>
          <w:rFonts w:ascii="David" w:hAnsi="David" w:cs="David" w:hint="default"/>
          <w:sz w:val="24"/>
          <w:szCs w:val="24"/>
        </w:rPr>
        <w:footnoteReference w:id="39"/>
      </w:r>
    </w:p>
    <w:p w:rsidR="00091343" w:rsidRPr="007243D2" w:rsidRDefault="00BE211D" w:rsidP="00256433">
      <w:pPr>
        <w:pStyle w:val="Ruller40"/>
        <w:numPr>
          <w:ilvl w:val="0"/>
          <w:numId w:val="1"/>
        </w:numPr>
        <w:rPr>
          <w:rFonts w:ascii="David" w:hAnsi="David" w:cs="David" w:hint="default"/>
          <w:sz w:val="24"/>
          <w:szCs w:val="24"/>
        </w:rPr>
      </w:pPr>
      <w:r w:rsidRPr="007243D2">
        <w:rPr>
          <w:rFonts w:ascii="David" w:hAnsi="David" w:cs="David" w:hint="default"/>
          <w:sz w:val="24"/>
          <w:szCs w:val="24"/>
          <w:rtl/>
        </w:rPr>
        <w:t>הוג</w:t>
      </w:r>
      <w:r w:rsidR="00B65383">
        <w:rPr>
          <w:rFonts w:ascii="David" w:hAnsi="David" w:cs="David" w:hint="default"/>
          <w:sz w:val="24"/>
          <w:szCs w:val="24"/>
          <w:rtl/>
        </w:rPr>
        <w:t xml:space="preserve">שה תביעה על ידי ההורים והיילוד </w:t>
      </w:r>
      <w:r w:rsidR="00B65383">
        <w:rPr>
          <w:rFonts w:ascii="David" w:hAnsi="David" w:cs="David" w:hint="cs"/>
          <w:sz w:val="24"/>
          <w:szCs w:val="24"/>
          <w:rtl/>
        </w:rPr>
        <w:t>ו</w:t>
      </w:r>
      <w:r w:rsidRPr="007243D2">
        <w:rPr>
          <w:rFonts w:ascii="David" w:hAnsi="David" w:cs="David" w:hint="default"/>
          <w:sz w:val="24"/>
          <w:szCs w:val="24"/>
          <w:rtl/>
        </w:rPr>
        <w:t>תביעת ההורים לא התיישנה, תביעתו של היילוד תסולק וביהמ"ש ידון בתביעת ההורים לפי עילת "הולדה בעוולה", זאת לפי הלכת המר.</w:t>
      </w:r>
      <w:r>
        <w:rPr>
          <w:rStyle w:val="a7"/>
          <w:rFonts w:ascii="David" w:hAnsi="David" w:cs="David" w:hint="default"/>
          <w:sz w:val="24"/>
          <w:szCs w:val="24"/>
        </w:rPr>
        <w:footnoteReference w:id="40"/>
      </w:r>
      <w:r w:rsidRPr="007243D2">
        <w:rPr>
          <w:rFonts w:ascii="David" w:hAnsi="David" w:cs="David" w:hint="default"/>
          <w:sz w:val="24"/>
          <w:szCs w:val="24"/>
          <w:rtl/>
        </w:rPr>
        <w:t xml:space="preserve"> </w:t>
      </w:r>
    </w:p>
    <w:p w:rsidR="006A12FF" w:rsidRPr="007243D2" w:rsidRDefault="00BE211D" w:rsidP="00C4706E">
      <w:pPr>
        <w:pStyle w:val="Ruller40"/>
        <w:numPr>
          <w:ilvl w:val="0"/>
          <w:numId w:val="1"/>
        </w:numPr>
        <w:rPr>
          <w:rFonts w:ascii="David" w:hAnsi="David" w:cs="David" w:hint="default"/>
          <w:sz w:val="24"/>
          <w:szCs w:val="24"/>
        </w:rPr>
      </w:pPr>
      <w:r w:rsidRPr="007243D2">
        <w:rPr>
          <w:rFonts w:ascii="David" w:hAnsi="David" w:cs="David" w:hint="default"/>
          <w:sz w:val="24"/>
          <w:szCs w:val="24"/>
          <w:rtl/>
        </w:rPr>
        <w:t xml:space="preserve">הוגשה תביעה על ידי ההורים והיילוד כאשר תביעת ההורים התיישנה, תביעתם של ההורים תסולק וביהמ"ש ידון בתביעת </w:t>
      </w:r>
      <w:r w:rsidRPr="007243D2">
        <w:rPr>
          <w:rFonts w:ascii="David" w:hAnsi="David" w:cs="David" w:hint="default"/>
          <w:sz w:val="24"/>
          <w:szCs w:val="24"/>
          <w:rtl/>
        </w:rPr>
        <w:t>היילוד לפי עילת "חיים בעוולה", זאת לפי הלכת זאבי שהוא חריג להלכת המר.</w:t>
      </w:r>
      <w:r>
        <w:rPr>
          <w:rStyle w:val="a7"/>
          <w:rFonts w:ascii="David" w:hAnsi="David" w:cs="David" w:hint="default"/>
          <w:sz w:val="24"/>
          <w:szCs w:val="24"/>
        </w:rPr>
        <w:footnoteReference w:id="41"/>
      </w:r>
      <w:r w:rsidRPr="007243D2">
        <w:rPr>
          <w:rFonts w:ascii="David" w:hAnsi="David" w:cs="David" w:hint="default"/>
          <w:sz w:val="24"/>
          <w:szCs w:val="24"/>
          <w:rtl/>
        </w:rPr>
        <w:t xml:space="preserve"> </w:t>
      </w:r>
    </w:p>
    <w:p w:rsidR="001319DA" w:rsidRPr="007243D2" w:rsidRDefault="00BE211D" w:rsidP="00091343">
      <w:pPr>
        <w:pStyle w:val="Ruller40"/>
        <w:numPr>
          <w:ilvl w:val="0"/>
          <w:numId w:val="1"/>
        </w:numPr>
        <w:rPr>
          <w:rFonts w:ascii="David" w:hAnsi="David" w:cs="David" w:hint="default"/>
          <w:sz w:val="24"/>
          <w:szCs w:val="24"/>
        </w:rPr>
      </w:pPr>
      <w:r w:rsidRPr="007243D2">
        <w:rPr>
          <w:rFonts w:ascii="David" w:hAnsi="David" w:cs="David" w:hint="default"/>
          <w:sz w:val="24"/>
          <w:szCs w:val="24"/>
          <w:rtl/>
        </w:rPr>
        <w:t xml:space="preserve">לא הוגשה תביעה על ידי ההורים ולא </w:t>
      </w:r>
      <w:r w:rsidR="00986AE3" w:rsidRPr="007243D2">
        <w:rPr>
          <w:rFonts w:ascii="David" w:hAnsi="David" w:cs="David" w:hint="default"/>
          <w:sz w:val="24"/>
          <w:szCs w:val="24"/>
          <w:rtl/>
        </w:rPr>
        <w:t>על ידי היילוד לפני פרשת המר, תביעת ההורים התיישנה בעת שינוי ההלכה, מועד ההגשה לתביעת היילוד בעילת "חיים בעוולה", יוארך עד ליום 28.8.2015.</w:t>
      </w:r>
      <w:r>
        <w:rPr>
          <w:rStyle w:val="a7"/>
          <w:rFonts w:ascii="David" w:hAnsi="David" w:cs="David" w:hint="default"/>
          <w:sz w:val="24"/>
          <w:szCs w:val="24"/>
        </w:rPr>
        <w:footnoteReference w:id="42"/>
      </w:r>
      <w:r w:rsidR="00986AE3" w:rsidRPr="007243D2">
        <w:rPr>
          <w:rFonts w:ascii="David" w:hAnsi="David" w:cs="David" w:hint="default"/>
          <w:sz w:val="24"/>
          <w:szCs w:val="24"/>
          <w:rtl/>
        </w:rPr>
        <w:t xml:space="preserve"> </w:t>
      </w:r>
    </w:p>
    <w:p w:rsidR="00295868" w:rsidRPr="007243D2" w:rsidRDefault="00295868" w:rsidP="00295868">
      <w:pPr>
        <w:pStyle w:val="Ruller40"/>
        <w:ind w:left="360"/>
        <w:rPr>
          <w:rFonts w:ascii="David" w:hAnsi="David" w:cs="David" w:hint="default"/>
          <w:sz w:val="24"/>
          <w:szCs w:val="24"/>
          <w:rtl/>
        </w:rPr>
      </w:pPr>
    </w:p>
    <w:p w:rsidR="00295868" w:rsidRPr="007243D2" w:rsidRDefault="00BE211D" w:rsidP="00295868">
      <w:pPr>
        <w:pStyle w:val="Ruller40"/>
        <w:rPr>
          <w:rFonts w:ascii="David" w:hAnsi="David" w:cs="David" w:hint="default"/>
          <w:sz w:val="24"/>
          <w:szCs w:val="24"/>
          <w:rtl/>
        </w:rPr>
      </w:pPr>
      <w:r w:rsidRPr="007243D2">
        <w:rPr>
          <w:rFonts w:ascii="David" w:hAnsi="David" w:cs="David" w:hint="default"/>
          <w:sz w:val="24"/>
          <w:szCs w:val="24"/>
          <w:rtl/>
        </w:rPr>
        <w:t>הקבוצות שע</w:t>
      </w:r>
      <w:r w:rsidRPr="007243D2">
        <w:rPr>
          <w:rFonts w:ascii="David" w:hAnsi="David" w:cs="David" w:hint="default"/>
          <w:sz w:val="24"/>
          <w:szCs w:val="24"/>
          <w:rtl/>
        </w:rPr>
        <w:t>וסקות בתביעות שהוגשו לאחר הלכת המר, משמע לאחר תאריך 28/05/2012:</w:t>
      </w:r>
    </w:p>
    <w:p w:rsidR="00295868" w:rsidRPr="007243D2" w:rsidRDefault="00295868" w:rsidP="00BE499B">
      <w:pPr>
        <w:pStyle w:val="Ruller40"/>
        <w:rPr>
          <w:rFonts w:ascii="David" w:hAnsi="David" w:cs="David" w:hint="default"/>
          <w:sz w:val="24"/>
          <w:szCs w:val="24"/>
          <w:rtl/>
        </w:rPr>
      </w:pPr>
    </w:p>
    <w:p w:rsidR="00BE499B" w:rsidRPr="007243D2" w:rsidRDefault="00BE211D" w:rsidP="00BE499B">
      <w:pPr>
        <w:pStyle w:val="Ruller40"/>
        <w:numPr>
          <w:ilvl w:val="0"/>
          <w:numId w:val="3"/>
        </w:numPr>
        <w:rPr>
          <w:rFonts w:ascii="David" w:hAnsi="David" w:cs="David" w:hint="default"/>
          <w:sz w:val="24"/>
          <w:szCs w:val="24"/>
        </w:rPr>
      </w:pPr>
      <w:r w:rsidRPr="007243D2">
        <w:rPr>
          <w:rFonts w:ascii="David" w:hAnsi="David" w:cs="David" w:hint="default"/>
          <w:sz w:val="24"/>
          <w:szCs w:val="24"/>
          <w:rtl/>
        </w:rPr>
        <w:t>תביעתם של ההורים לא התיישנה ביהמ"ש ידון בתביעת ההורים בעילת "הולדה בעוולה", זאת לפי הלכת המר.</w:t>
      </w:r>
      <w:r>
        <w:rPr>
          <w:rStyle w:val="a7"/>
          <w:rFonts w:ascii="David" w:hAnsi="David" w:cs="David" w:hint="default"/>
          <w:sz w:val="24"/>
          <w:szCs w:val="24"/>
        </w:rPr>
        <w:footnoteReference w:id="43"/>
      </w:r>
      <w:r w:rsidRPr="007243D2">
        <w:rPr>
          <w:rFonts w:ascii="David" w:hAnsi="David" w:cs="David" w:hint="default"/>
          <w:sz w:val="24"/>
          <w:szCs w:val="24"/>
          <w:rtl/>
        </w:rPr>
        <w:t xml:space="preserve"> </w:t>
      </w:r>
    </w:p>
    <w:p w:rsidR="00B3246B" w:rsidRPr="007243D2" w:rsidRDefault="00BE211D" w:rsidP="00836D24">
      <w:pPr>
        <w:pStyle w:val="Ruller40"/>
        <w:numPr>
          <w:ilvl w:val="0"/>
          <w:numId w:val="3"/>
        </w:numPr>
        <w:rPr>
          <w:rFonts w:ascii="David" w:hAnsi="David" w:cs="David" w:hint="default"/>
          <w:sz w:val="24"/>
          <w:szCs w:val="24"/>
        </w:rPr>
      </w:pPr>
      <w:r w:rsidRPr="007243D2">
        <w:rPr>
          <w:rFonts w:ascii="David" w:hAnsi="David" w:cs="David" w:hint="default"/>
          <w:sz w:val="24"/>
          <w:szCs w:val="24"/>
          <w:rtl/>
        </w:rPr>
        <w:t>תביעת ההורים התיישנה לפני תאריך 28/5/2012 בזמן הלכת המר, ביהמ"ש ידון בתביעת היילוד "חיים בעוולה</w:t>
      </w:r>
      <w:r w:rsidRPr="007243D2">
        <w:rPr>
          <w:rFonts w:ascii="David" w:hAnsi="David" w:cs="David" w:hint="default"/>
          <w:sz w:val="24"/>
          <w:szCs w:val="24"/>
          <w:rtl/>
        </w:rPr>
        <w:t xml:space="preserve">", </w:t>
      </w:r>
      <w:r w:rsidR="00836D24">
        <w:rPr>
          <w:rFonts w:ascii="David" w:hAnsi="David" w:cs="David" w:hint="cs"/>
          <w:sz w:val="24"/>
          <w:szCs w:val="24"/>
          <w:rtl/>
        </w:rPr>
        <w:t>וזאת ככל</w:t>
      </w:r>
      <w:r w:rsidRPr="007243D2">
        <w:rPr>
          <w:rFonts w:ascii="David" w:hAnsi="David" w:cs="David" w:hint="default"/>
          <w:sz w:val="24"/>
          <w:szCs w:val="24"/>
          <w:rtl/>
        </w:rPr>
        <w:t xml:space="preserve"> שהתביעה לא התיישנה</w:t>
      </w:r>
      <w:r w:rsidR="00836D24">
        <w:rPr>
          <w:rFonts w:ascii="David" w:hAnsi="David" w:cs="David" w:hint="cs"/>
          <w:sz w:val="24"/>
          <w:szCs w:val="24"/>
          <w:rtl/>
        </w:rPr>
        <w:t>, קרי</w:t>
      </w:r>
      <w:r w:rsidR="00836D24">
        <w:rPr>
          <w:rFonts w:ascii="David" w:hAnsi="David" w:cs="David" w:hint="default"/>
          <w:sz w:val="24"/>
          <w:szCs w:val="24"/>
          <w:rtl/>
        </w:rPr>
        <w:t xml:space="preserve"> </w:t>
      </w:r>
      <w:r w:rsidRPr="007243D2">
        <w:rPr>
          <w:rFonts w:ascii="David" w:hAnsi="David" w:cs="David" w:hint="default"/>
          <w:sz w:val="24"/>
          <w:szCs w:val="24"/>
          <w:rtl/>
        </w:rPr>
        <w:t xml:space="preserve">הוגשה לפני שהיילוד הגיע לגיל </w:t>
      </w:r>
      <w:r w:rsidR="00B979CE" w:rsidRPr="007243D2">
        <w:rPr>
          <w:rFonts w:ascii="David" w:hAnsi="David" w:cs="David" w:hint="default"/>
          <w:sz w:val="24"/>
          <w:szCs w:val="24"/>
          <w:rtl/>
        </w:rPr>
        <w:lastRenderedPageBreak/>
        <w:t xml:space="preserve">25, </w:t>
      </w:r>
      <w:r w:rsidR="00836D24">
        <w:rPr>
          <w:rFonts w:ascii="David" w:hAnsi="David" w:cs="David" w:hint="cs"/>
          <w:sz w:val="24"/>
          <w:szCs w:val="24"/>
          <w:rtl/>
        </w:rPr>
        <w:t>ובלבד שהתביעה</w:t>
      </w:r>
      <w:r w:rsidR="00836D24">
        <w:rPr>
          <w:rFonts w:ascii="David" w:hAnsi="David" w:cs="David" w:hint="default"/>
          <w:sz w:val="24"/>
          <w:szCs w:val="24"/>
          <w:rtl/>
        </w:rPr>
        <w:t xml:space="preserve"> תוגשנ</w:t>
      </w:r>
      <w:r w:rsidR="00C94636">
        <w:rPr>
          <w:rFonts w:ascii="David" w:hAnsi="David" w:cs="David" w:hint="cs"/>
          <w:sz w:val="24"/>
          <w:szCs w:val="24"/>
          <w:rtl/>
        </w:rPr>
        <w:t>ה</w:t>
      </w:r>
      <w:r w:rsidR="008C20E3" w:rsidRPr="007243D2">
        <w:rPr>
          <w:rFonts w:ascii="David" w:hAnsi="David" w:cs="David" w:hint="default"/>
          <w:sz w:val="24"/>
          <w:szCs w:val="24"/>
          <w:rtl/>
        </w:rPr>
        <w:t xml:space="preserve"> עד לתאריך 28/8/2014, </w:t>
      </w:r>
      <w:r w:rsidR="00836D24">
        <w:rPr>
          <w:rFonts w:ascii="David" w:hAnsi="David" w:cs="David" w:hint="cs"/>
          <w:sz w:val="24"/>
          <w:szCs w:val="24"/>
          <w:rtl/>
        </w:rPr>
        <w:t xml:space="preserve">וזאת </w:t>
      </w:r>
      <w:r w:rsidR="008C20E3" w:rsidRPr="007243D2">
        <w:rPr>
          <w:rFonts w:ascii="David" w:hAnsi="David" w:cs="David" w:hint="default"/>
          <w:sz w:val="24"/>
          <w:szCs w:val="24"/>
          <w:rtl/>
        </w:rPr>
        <w:t xml:space="preserve">לפי הלכת </w:t>
      </w:r>
      <w:r w:rsidR="00B979CE" w:rsidRPr="007243D2">
        <w:rPr>
          <w:rFonts w:ascii="David" w:hAnsi="David" w:cs="David" w:hint="default"/>
          <w:sz w:val="24"/>
          <w:szCs w:val="24"/>
          <w:rtl/>
        </w:rPr>
        <w:t>הסהר האדום</w:t>
      </w:r>
      <w:r w:rsidR="008C20E3" w:rsidRPr="007243D2">
        <w:rPr>
          <w:rFonts w:ascii="David" w:hAnsi="David" w:cs="David" w:hint="default"/>
          <w:sz w:val="24"/>
          <w:szCs w:val="24"/>
          <w:rtl/>
        </w:rPr>
        <w:t xml:space="preserve"> שהרחיבה את הוראת המעבר שנקבעה </w:t>
      </w:r>
      <w:r w:rsidR="00836D24">
        <w:rPr>
          <w:rFonts w:ascii="David" w:hAnsi="David" w:cs="David" w:hint="cs"/>
          <w:sz w:val="24"/>
          <w:szCs w:val="24"/>
          <w:rtl/>
        </w:rPr>
        <w:t>ב</w:t>
      </w:r>
      <w:r w:rsidR="008C20E3" w:rsidRPr="007243D2">
        <w:rPr>
          <w:rFonts w:ascii="David" w:hAnsi="David" w:cs="David" w:hint="default"/>
          <w:sz w:val="24"/>
          <w:szCs w:val="24"/>
          <w:rtl/>
        </w:rPr>
        <w:t>הלכת המר</w:t>
      </w:r>
      <w:r w:rsidR="00B979CE" w:rsidRPr="007243D2">
        <w:rPr>
          <w:rFonts w:ascii="David" w:hAnsi="David" w:cs="David" w:hint="default"/>
          <w:sz w:val="24"/>
          <w:szCs w:val="24"/>
          <w:rtl/>
        </w:rPr>
        <w:t>.</w:t>
      </w:r>
      <w:r>
        <w:rPr>
          <w:rStyle w:val="a7"/>
          <w:rFonts w:ascii="David" w:hAnsi="David" w:cs="David" w:hint="default"/>
          <w:sz w:val="24"/>
          <w:szCs w:val="24"/>
        </w:rPr>
        <w:footnoteReference w:id="44"/>
      </w:r>
      <w:r w:rsidR="00B979CE" w:rsidRPr="007243D2">
        <w:rPr>
          <w:rFonts w:ascii="David" w:hAnsi="David" w:cs="David" w:hint="default"/>
          <w:sz w:val="24"/>
          <w:szCs w:val="24"/>
          <w:rtl/>
        </w:rPr>
        <w:t xml:space="preserve"> </w:t>
      </w:r>
    </w:p>
    <w:p w:rsidR="008C20E3" w:rsidRPr="007243D2" w:rsidRDefault="00BE211D" w:rsidP="006C3EC3">
      <w:pPr>
        <w:pStyle w:val="Ruller40"/>
        <w:numPr>
          <w:ilvl w:val="0"/>
          <w:numId w:val="3"/>
        </w:numPr>
        <w:rPr>
          <w:rFonts w:ascii="David" w:hAnsi="David" w:cs="David" w:hint="default"/>
          <w:sz w:val="24"/>
          <w:szCs w:val="24"/>
        </w:rPr>
      </w:pPr>
      <w:r w:rsidRPr="007243D2">
        <w:rPr>
          <w:rFonts w:ascii="David" w:hAnsi="David" w:cs="David" w:hint="default"/>
          <w:sz w:val="24"/>
          <w:szCs w:val="24"/>
          <w:rtl/>
        </w:rPr>
        <w:t>תב</w:t>
      </w:r>
      <w:r w:rsidR="00CF250B" w:rsidRPr="007243D2">
        <w:rPr>
          <w:rFonts w:ascii="David" w:hAnsi="David" w:cs="David" w:hint="default"/>
          <w:sz w:val="24"/>
          <w:szCs w:val="24"/>
          <w:rtl/>
        </w:rPr>
        <w:t xml:space="preserve">יעת ההורים התיישנה בשנה </w:t>
      </w:r>
      <w:r w:rsidRPr="007243D2">
        <w:rPr>
          <w:rFonts w:ascii="David" w:hAnsi="David" w:cs="David" w:hint="default"/>
          <w:sz w:val="24"/>
          <w:szCs w:val="24"/>
          <w:rtl/>
        </w:rPr>
        <w:t xml:space="preserve">לאחר הלכת המר, </w:t>
      </w:r>
      <w:r w:rsidR="006C3EC3">
        <w:rPr>
          <w:rFonts w:ascii="David" w:hAnsi="David" w:cs="David" w:hint="default"/>
          <w:sz w:val="24"/>
          <w:szCs w:val="24"/>
          <w:rtl/>
        </w:rPr>
        <w:t>קרי 28/5/2012-28/5/2013, במקרים</w:t>
      </w:r>
      <w:r w:rsidR="006C3EC3">
        <w:rPr>
          <w:rFonts w:ascii="David" w:hAnsi="David" w:cs="David" w:hint="cs"/>
          <w:sz w:val="24"/>
          <w:szCs w:val="24"/>
          <w:rtl/>
        </w:rPr>
        <w:t xml:space="preserve"> אלה</w:t>
      </w:r>
      <w:r w:rsidRPr="007243D2">
        <w:rPr>
          <w:rFonts w:ascii="David" w:hAnsi="David" w:cs="David" w:hint="default"/>
          <w:sz w:val="24"/>
          <w:szCs w:val="24"/>
          <w:rtl/>
        </w:rPr>
        <w:t xml:space="preserve"> תביע</w:t>
      </w:r>
      <w:r w:rsidR="00894AB9" w:rsidRPr="007243D2">
        <w:rPr>
          <w:rFonts w:ascii="David" w:hAnsi="David" w:cs="David" w:hint="default"/>
          <w:sz w:val="24"/>
          <w:szCs w:val="24"/>
          <w:rtl/>
        </w:rPr>
        <w:t>ת</w:t>
      </w:r>
      <w:r w:rsidRPr="007243D2">
        <w:rPr>
          <w:rFonts w:ascii="David" w:hAnsi="David" w:cs="David" w:hint="default"/>
          <w:sz w:val="24"/>
          <w:szCs w:val="24"/>
          <w:rtl/>
        </w:rPr>
        <w:t xml:space="preserve"> היילוד תתקבל בגין "חיים בעוולה" כל עוד התביעה </w:t>
      </w:r>
      <w:r w:rsidR="006C3EC3">
        <w:rPr>
          <w:rFonts w:ascii="David" w:hAnsi="David" w:cs="David" w:hint="cs"/>
          <w:sz w:val="24"/>
          <w:szCs w:val="24"/>
          <w:rtl/>
        </w:rPr>
        <w:t>תוגש</w:t>
      </w:r>
      <w:r w:rsidRPr="007243D2">
        <w:rPr>
          <w:rFonts w:ascii="David" w:hAnsi="David" w:cs="David" w:hint="default"/>
          <w:sz w:val="24"/>
          <w:szCs w:val="24"/>
          <w:rtl/>
        </w:rPr>
        <w:t xml:space="preserve"> עד לתאריך 28/5/2015, </w:t>
      </w:r>
      <w:r w:rsidR="006C3EC3">
        <w:rPr>
          <w:rFonts w:ascii="David" w:hAnsi="David" w:cs="David" w:hint="cs"/>
          <w:sz w:val="24"/>
          <w:szCs w:val="24"/>
          <w:rtl/>
        </w:rPr>
        <w:t xml:space="preserve">וזאת </w:t>
      </w:r>
      <w:r w:rsidRPr="007243D2">
        <w:rPr>
          <w:rFonts w:ascii="David" w:hAnsi="David" w:cs="David" w:hint="default"/>
          <w:sz w:val="24"/>
          <w:szCs w:val="24"/>
          <w:rtl/>
        </w:rPr>
        <w:t>לפי הלכת פלונית שהרחיבה את הוראת מעבר שנקבעה בהלכת המר.</w:t>
      </w:r>
      <w:r>
        <w:rPr>
          <w:rStyle w:val="a7"/>
          <w:rFonts w:ascii="David" w:hAnsi="David" w:cs="David" w:hint="default"/>
          <w:sz w:val="24"/>
          <w:szCs w:val="24"/>
        </w:rPr>
        <w:footnoteReference w:id="45"/>
      </w:r>
    </w:p>
    <w:p w:rsidR="00CF250B" w:rsidRPr="007243D2" w:rsidRDefault="00BE211D" w:rsidP="006C3EC3">
      <w:pPr>
        <w:pStyle w:val="Ruller40"/>
        <w:numPr>
          <w:ilvl w:val="0"/>
          <w:numId w:val="3"/>
        </w:numPr>
        <w:rPr>
          <w:rFonts w:ascii="David" w:hAnsi="David" w:cs="David" w:hint="default"/>
          <w:sz w:val="24"/>
          <w:szCs w:val="24"/>
        </w:rPr>
      </w:pPr>
      <w:r w:rsidRPr="007243D2">
        <w:rPr>
          <w:rFonts w:ascii="David" w:hAnsi="David" w:cs="David" w:hint="default"/>
          <w:sz w:val="24"/>
          <w:szCs w:val="24"/>
          <w:rtl/>
        </w:rPr>
        <w:t>בתביעות יילודים כאשר תביעת ההורים התיישנה למעלה משנה לאחר הלכת המר, בעניינם בלבד של היילודים, נקבעה הוראת מעבר מתוק</w:t>
      </w:r>
      <w:r w:rsidRPr="007243D2">
        <w:rPr>
          <w:rFonts w:ascii="David" w:hAnsi="David" w:cs="David" w:hint="default"/>
          <w:sz w:val="24"/>
          <w:szCs w:val="24"/>
          <w:rtl/>
        </w:rPr>
        <w:t xml:space="preserve">נת </w:t>
      </w:r>
      <w:r w:rsidR="006C3EC3">
        <w:rPr>
          <w:rFonts w:ascii="David" w:hAnsi="David" w:cs="David" w:hint="cs"/>
          <w:sz w:val="24"/>
          <w:szCs w:val="24"/>
          <w:rtl/>
        </w:rPr>
        <w:t>המאפשרת</w:t>
      </w:r>
      <w:r w:rsidRPr="007243D2">
        <w:rPr>
          <w:rFonts w:ascii="David" w:hAnsi="David" w:cs="David" w:hint="default"/>
          <w:sz w:val="24"/>
          <w:szCs w:val="24"/>
          <w:rtl/>
        </w:rPr>
        <w:t xml:space="preserve"> להגיש את תביעת היילוד, קרי "חיים בעוולה"</w:t>
      </w:r>
      <w:r w:rsidR="006C3EC3">
        <w:rPr>
          <w:rFonts w:ascii="David" w:hAnsi="David" w:cs="David" w:hint="cs"/>
          <w:sz w:val="24"/>
          <w:szCs w:val="24"/>
          <w:rtl/>
        </w:rPr>
        <w:t>,</w:t>
      </w:r>
      <w:r w:rsidRPr="007243D2">
        <w:rPr>
          <w:rFonts w:ascii="David" w:hAnsi="David" w:cs="David" w:hint="default"/>
          <w:sz w:val="24"/>
          <w:szCs w:val="24"/>
          <w:rtl/>
        </w:rPr>
        <w:t xml:space="preserve"> עד לתאריך 31/12/2017.</w:t>
      </w:r>
      <w:r>
        <w:rPr>
          <w:rStyle w:val="a7"/>
          <w:rFonts w:ascii="David" w:hAnsi="David" w:cs="David" w:hint="default"/>
          <w:sz w:val="24"/>
          <w:szCs w:val="24"/>
        </w:rPr>
        <w:footnoteReference w:id="46"/>
      </w:r>
    </w:p>
    <w:p w:rsidR="00A309EF" w:rsidRPr="007243D2" w:rsidRDefault="00BE211D" w:rsidP="0003289D">
      <w:pPr>
        <w:pStyle w:val="Ruller40"/>
        <w:numPr>
          <w:ilvl w:val="0"/>
          <w:numId w:val="3"/>
        </w:numPr>
        <w:rPr>
          <w:rFonts w:ascii="David" w:hAnsi="David" w:cs="David" w:hint="default"/>
          <w:sz w:val="24"/>
          <w:szCs w:val="24"/>
        </w:rPr>
      </w:pPr>
      <w:r w:rsidRPr="007243D2">
        <w:rPr>
          <w:rFonts w:ascii="David" w:hAnsi="David" w:cs="David" w:hint="default"/>
          <w:sz w:val="24"/>
          <w:szCs w:val="24"/>
          <w:rtl/>
        </w:rPr>
        <w:t xml:space="preserve">תביעת ההורים התיישנה </w:t>
      </w:r>
      <w:r w:rsidR="0003289D" w:rsidRPr="007243D2">
        <w:rPr>
          <w:rFonts w:ascii="David" w:hAnsi="David" w:cs="David" w:hint="default"/>
          <w:sz w:val="24"/>
          <w:szCs w:val="24"/>
          <w:rtl/>
        </w:rPr>
        <w:t>עד ל</w:t>
      </w:r>
      <w:r w:rsidRPr="007243D2">
        <w:rPr>
          <w:rFonts w:ascii="David" w:hAnsi="David" w:cs="David" w:hint="default"/>
          <w:sz w:val="24"/>
          <w:szCs w:val="24"/>
          <w:rtl/>
        </w:rPr>
        <w:t>תאריך 28/8/2015, תחול עילת היילוד של "חיים בעוולה" גם כנגד נתבעים נוספים</w:t>
      </w:r>
      <w:r w:rsidR="0003289D" w:rsidRPr="007243D2">
        <w:rPr>
          <w:rFonts w:ascii="David" w:hAnsi="David" w:cs="David" w:hint="default"/>
          <w:sz w:val="24"/>
          <w:szCs w:val="24"/>
          <w:rtl/>
        </w:rPr>
        <w:t>, זאת לפי פסק דינה של כבוד השופטת בלהה טולוקובסקי בעניין פלוני</w:t>
      </w:r>
      <w:r w:rsidRPr="007243D2">
        <w:rPr>
          <w:rFonts w:ascii="David" w:hAnsi="David" w:cs="David" w:hint="default"/>
          <w:sz w:val="24"/>
          <w:szCs w:val="24"/>
          <w:rtl/>
        </w:rPr>
        <w:t>.</w:t>
      </w:r>
      <w:r>
        <w:rPr>
          <w:rStyle w:val="a7"/>
          <w:rFonts w:ascii="David" w:hAnsi="David" w:cs="David" w:hint="default"/>
          <w:sz w:val="24"/>
          <w:szCs w:val="24"/>
        </w:rPr>
        <w:footnoteReference w:id="47"/>
      </w:r>
      <w:r w:rsidRPr="007243D2">
        <w:rPr>
          <w:rFonts w:ascii="David" w:hAnsi="David" w:cs="David" w:hint="default"/>
          <w:sz w:val="24"/>
          <w:szCs w:val="24"/>
          <w:rtl/>
        </w:rPr>
        <w:t xml:space="preserve"> </w:t>
      </w:r>
    </w:p>
    <w:p w:rsidR="00C56FA3" w:rsidRPr="007243D2" w:rsidRDefault="00C56FA3" w:rsidP="006A12FF">
      <w:pPr>
        <w:pStyle w:val="3"/>
        <w:shd w:val="clear" w:color="auto" w:fill="FFFFFF"/>
        <w:spacing w:before="0" w:after="0"/>
        <w:textAlignment w:val="top"/>
        <w:rPr>
          <w:rFonts w:ascii="David" w:hAnsi="David" w:cs="David" w:hint="default"/>
          <w:color w:val="FF6600"/>
          <w:sz w:val="24"/>
          <w:szCs w:val="24"/>
          <w:bdr w:val="nil"/>
          <w:rtl/>
        </w:rPr>
      </w:pPr>
    </w:p>
    <w:p w:rsidR="0008103D" w:rsidRDefault="00BE211D" w:rsidP="00B2634C">
      <w:pPr>
        <w:spacing w:line="360" w:lineRule="auto"/>
        <w:jc w:val="both"/>
        <w:rPr>
          <w:rFonts w:ascii="David" w:hAnsi="David" w:cs="David" w:hint="default"/>
          <w:sz w:val="24"/>
          <w:szCs w:val="24"/>
          <w:rtl/>
        </w:rPr>
      </w:pPr>
      <w:r w:rsidRPr="00D734A4">
        <w:rPr>
          <w:rFonts w:ascii="David" w:hAnsi="David" w:cs="David" w:hint="default"/>
          <w:sz w:val="24"/>
          <w:szCs w:val="24"/>
          <w:rtl/>
        </w:rPr>
        <w:t xml:space="preserve">לסיכום יש לומר כי ילדים שטרם מלאו להם </w:t>
      </w:r>
      <w:r w:rsidR="006C3EC3">
        <w:rPr>
          <w:rFonts w:ascii="David" w:hAnsi="David" w:cs="David" w:hint="cs"/>
          <w:sz w:val="24"/>
          <w:szCs w:val="24"/>
          <w:rtl/>
        </w:rPr>
        <w:t>שבע</w:t>
      </w:r>
      <w:r w:rsidRPr="00D734A4">
        <w:rPr>
          <w:rFonts w:ascii="David" w:hAnsi="David" w:cs="David" w:hint="default"/>
          <w:sz w:val="24"/>
          <w:szCs w:val="24"/>
          <w:rtl/>
        </w:rPr>
        <w:t xml:space="preserve"> שנים, הוריהם זכאים לתבוע בגין עילת "הולדה בעוולה". </w:t>
      </w:r>
      <w:r w:rsidR="00F36821" w:rsidRPr="00D734A4">
        <w:rPr>
          <w:rFonts w:ascii="David" w:hAnsi="David" w:cs="David" w:hint="default"/>
          <w:sz w:val="24"/>
          <w:szCs w:val="24"/>
          <w:rtl/>
        </w:rPr>
        <w:t xml:space="preserve">פסקי דין, מאמרים והתקשורת עסקו בשאלה דחופה </w:t>
      </w:r>
      <w:r w:rsidR="006C3EC3">
        <w:rPr>
          <w:rFonts w:ascii="David" w:hAnsi="David" w:cs="David" w:hint="cs"/>
          <w:sz w:val="24"/>
          <w:szCs w:val="24"/>
          <w:rtl/>
        </w:rPr>
        <w:t>הנוגעת</w:t>
      </w:r>
      <w:r w:rsidR="00F36821" w:rsidRPr="00D734A4">
        <w:rPr>
          <w:rFonts w:ascii="David" w:hAnsi="David" w:cs="David" w:hint="default"/>
          <w:sz w:val="24"/>
          <w:szCs w:val="24"/>
          <w:rtl/>
        </w:rPr>
        <w:t xml:space="preserve"> </w:t>
      </w:r>
      <w:r w:rsidR="006C3EC3">
        <w:rPr>
          <w:rFonts w:ascii="David" w:hAnsi="David" w:cs="David" w:hint="cs"/>
          <w:sz w:val="24"/>
          <w:szCs w:val="24"/>
          <w:rtl/>
        </w:rPr>
        <w:t>ל</w:t>
      </w:r>
      <w:r w:rsidR="00F36821" w:rsidRPr="00D734A4">
        <w:rPr>
          <w:rFonts w:ascii="David" w:hAnsi="David" w:cs="David" w:hint="default"/>
          <w:sz w:val="24"/>
          <w:szCs w:val="24"/>
          <w:rtl/>
        </w:rPr>
        <w:t>נושא הגשת תביעות בגין עילת תביעה ההולדה בעוולה.</w:t>
      </w:r>
      <w:r>
        <w:rPr>
          <w:rStyle w:val="a7"/>
          <w:rFonts w:ascii="David" w:hAnsi="David" w:cs="David" w:hint="default"/>
          <w:sz w:val="24"/>
          <w:szCs w:val="24"/>
          <w:rtl/>
        </w:rPr>
        <w:footnoteReference w:id="48"/>
      </w:r>
      <w:r w:rsidR="00F36821" w:rsidRPr="00D734A4">
        <w:rPr>
          <w:rFonts w:ascii="David" w:hAnsi="David" w:cs="David" w:hint="default"/>
          <w:sz w:val="24"/>
          <w:szCs w:val="24"/>
          <w:rtl/>
        </w:rPr>
        <w:t xml:space="preserve"> </w:t>
      </w:r>
      <w:r w:rsidR="006C3EC3">
        <w:rPr>
          <w:rFonts w:ascii="David" w:hAnsi="David" w:cs="David" w:hint="cs"/>
          <w:sz w:val="24"/>
          <w:szCs w:val="24"/>
          <w:rtl/>
        </w:rPr>
        <w:t>עד לפס"ד המר</w:t>
      </w:r>
      <w:r w:rsidR="00F36821" w:rsidRPr="00D734A4">
        <w:rPr>
          <w:rFonts w:ascii="David" w:hAnsi="David" w:cs="David" w:hint="default"/>
          <w:sz w:val="24"/>
          <w:szCs w:val="24"/>
          <w:rtl/>
        </w:rPr>
        <w:t xml:space="preserve"> ההורים היו יכולים </w:t>
      </w:r>
      <w:r w:rsidR="00754473">
        <w:rPr>
          <w:rFonts w:ascii="David" w:hAnsi="David" w:cs="David" w:hint="cs"/>
          <w:sz w:val="24"/>
          <w:szCs w:val="24"/>
          <w:rtl/>
        </w:rPr>
        <w:t>לתבוע</w:t>
      </w:r>
      <w:r w:rsidR="00F36821" w:rsidRPr="00D734A4">
        <w:rPr>
          <w:rFonts w:ascii="David" w:hAnsi="David" w:cs="David" w:hint="default"/>
          <w:sz w:val="24"/>
          <w:szCs w:val="24"/>
          <w:rtl/>
        </w:rPr>
        <w:t xml:space="preserve"> </w:t>
      </w:r>
      <w:r w:rsidR="006C3EC3">
        <w:rPr>
          <w:rFonts w:ascii="David" w:hAnsi="David" w:cs="David" w:hint="cs"/>
          <w:sz w:val="24"/>
          <w:szCs w:val="24"/>
          <w:rtl/>
        </w:rPr>
        <w:t>בשמם</w:t>
      </w:r>
      <w:r w:rsidR="00F36821" w:rsidRPr="00D734A4">
        <w:rPr>
          <w:rFonts w:ascii="David" w:hAnsi="David" w:cs="David" w:hint="default"/>
          <w:sz w:val="24"/>
          <w:szCs w:val="24"/>
          <w:rtl/>
        </w:rPr>
        <w:t xml:space="preserve"> של היילודים </w:t>
      </w:r>
      <w:r w:rsidR="006C3EC3">
        <w:rPr>
          <w:rFonts w:ascii="David" w:hAnsi="David" w:cs="David" w:hint="cs"/>
          <w:sz w:val="24"/>
          <w:szCs w:val="24"/>
          <w:rtl/>
        </w:rPr>
        <w:t>סעד של פיצויים</w:t>
      </w:r>
      <w:r w:rsidR="006C3EC3">
        <w:rPr>
          <w:rFonts w:ascii="David" w:hAnsi="David" w:cs="David" w:hint="default"/>
          <w:sz w:val="24"/>
          <w:szCs w:val="24"/>
          <w:rtl/>
        </w:rPr>
        <w:t xml:space="preserve"> מבית משפט, זאת עד לגיל 25</w:t>
      </w:r>
      <w:r w:rsidR="006C3EC3">
        <w:rPr>
          <w:rFonts w:ascii="David" w:hAnsi="David" w:cs="David" w:hint="cs"/>
          <w:sz w:val="24"/>
          <w:szCs w:val="24"/>
          <w:rtl/>
        </w:rPr>
        <w:t>, שכן</w:t>
      </w:r>
      <w:r w:rsidR="00F36821" w:rsidRPr="00D734A4">
        <w:rPr>
          <w:rFonts w:ascii="David" w:hAnsi="David" w:cs="David" w:hint="default"/>
          <w:sz w:val="24"/>
          <w:szCs w:val="24"/>
          <w:rtl/>
        </w:rPr>
        <w:t xml:space="preserve"> תקופת ההתיישנות של היילוד נספרת </w:t>
      </w:r>
      <w:r w:rsidR="006C3EC3">
        <w:rPr>
          <w:rFonts w:ascii="David" w:hAnsi="David" w:cs="David" w:hint="cs"/>
          <w:sz w:val="24"/>
          <w:szCs w:val="24"/>
          <w:rtl/>
        </w:rPr>
        <w:t>שבע</w:t>
      </w:r>
      <w:r w:rsidR="00F36821" w:rsidRPr="00D734A4">
        <w:rPr>
          <w:rFonts w:ascii="David" w:hAnsi="David" w:cs="David" w:hint="default"/>
          <w:sz w:val="24"/>
          <w:szCs w:val="24"/>
          <w:rtl/>
        </w:rPr>
        <w:t xml:space="preserve"> שנים לאחר גיל 18. </w:t>
      </w:r>
      <w:r w:rsidR="006C3EC3">
        <w:rPr>
          <w:rFonts w:ascii="David" w:hAnsi="David" w:cs="David" w:hint="cs"/>
          <w:sz w:val="24"/>
          <w:szCs w:val="24"/>
          <w:rtl/>
        </w:rPr>
        <w:t xml:space="preserve">ואולם, </w:t>
      </w:r>
      <w:r w:rsidR="00F36821" w:rsidRPr="00D734A4">
        <w:rPr>
          <w:rFonts w:ascii="David" w:hAnsi="David" w:cs="David" w:hint="default"/>
          <w:sz w:val="24"/>
          <w:szCs w:val="24"/>
          <w:rtl/>
        </w:rPr>
        <w:t xml:space="preserve">בתאריך 28/05/2012 קבע ביהמ"ש העליון בפרשת המר כי לא ניתן עוד להכיר בעילת היילוד "חיים בעוולה". מה שהופך הלכה למעשה את תקופת ההתיישנות </w:t>
      </w:r>
      <w:r w:rsidR="006C3EC3">
        <w:rPr>
          <w:rFonts w:ascii="David" w:hAnsi="David" w:cs="David" w:hint="cs"/>
          <w:sz w:val="24"/>
          <w:szCs w:val="24"/>
          <w:rtl/>
        </w:rPr>
        <w:t>ומצמצמה</w:t>
      </w:r>
      <w:r w:rsidR="00F36821" w:rsidRPr="00D734A4">
        <w:rPr>
          <w:rFonts w:ascii="David" w:hAnsi="David" w:cs="David" w:hint="default"/>
          <w:sz w:val="24"/>
          <w:szCs w:val="24"/>
          <w:rtl/>
        </w:rPr>
        <w:t xml:space="preserve"> מ25 שנה </w:t>
      </w:r>
      <w:r w:rsidR="006C3EC3">
        <w:rPr>
          <w:rFonts w:ascii="David" w:hAnsi="David" w:cs="David" w:hint="cs"/>
          <w:sz w:val="24"/>
          <w:szCs w:val="24"/>
          <w:rtl/>
        </w:rPr>
        <w:t>לשבע</w:t>
      </w:r>
      <w:r w:rsidR="00F36821" w:rsidRPr="00D734A4">
        <w:rPr>
          <w:rFonts w:ascii="David" w:hAnsi="David" w:cs="David" w:hint="default"/>
          <w:sz w:val="24"/>
          <w:szCs w:val="24"/>
          <w:rtl/>
        </w:rPr>
        <w:t xml:space="preserve"> שנים בלבד. </w:t>
      </w:r>
      <w:r>
        <w:rPr>
          <w:rStyle w:val="a7"/>
          <w:rFonts w:ascii="David" w:hAnsi="David" w:cs="David" w:hint="default"/>
          <w:sz w:val="24"/>
          <w:szCs w:val="24"/>
          <w:rtl/>
        </w:rPr>
        <w:footnoteReference w:id="49"/>
      </w:r>
      <w:r w:rsidR="00F36821" w:rsidRPr="00D734A4">
        <w:rPr>
          <w:rFonts w:ascii="David" w:hAnsi="David" w:cs="David" w:hint="default"/>
          <w:sz w:val="24"/>
          <w:szCs w:val="24"/>
          <w:rtl/>
        </w:rPr>
        <w:t xml:space="preserve"> </w:t>
      </w:r>
      <w:r w:rsidR="00754473">
        <w:rPr>
          <w:rFonts w:ascii="David" w:hAnsi="David" w:cs="David" w:hint="cs"/>
          <w:sz w:val="24"/>
          <w:szCs w:val="24"/>
          <w:rtl/>
        </w:rPr>
        <w:t>מכיוון</w:t>
      </w:r>
      <w:r w:rsidR="00F36821" w:rsidRPr="00D734A4">
        <w:rPr>
          <w:rFonts w:ascii="David" w:hAnsi="David" w:cs="David" w:hint="default"/>
          <w:sz w:val="24"/>
          <w:szCs w:val="24"/>
          <w:rtl/>
        </w:rPr>
        <w:t xml:space="preserve"> </w:t>
      </w:r>
      <w:r w:rsidR="00754473">
        <w:rPr>
          <w:rFonts w:ascii="David" w:hAnsi="David" w:cs="David" w:hint="cs"/>
          <w:sz w:val="24"/>
          <w:szCs w:val="24"/>
          <w:rtl/>
        </w:rPr>
        <w:t>ש</w:t>
      </w:r>
      <w:r w:rsidR="00F36821" w:rsidRPr="00D734A4">
        <w:rPr>
          <w:rFonts w:ascii="David" w:hAnsi="David" w:cs="David" w:hint="default"/>
          <w:sz w:val="24"/>
          <w:szCs w:val="24"/>
          <w:rtl/>
        </w:rPr>
        <w:t>מדובר בהחלטה תקדימית, ביהמ"ש העליון נדרש להגמיש החלטה זו וניתנה האפשרות להגיש תביעות עבור היילודים (עד הגיעם לגיל 25 שנה) ולאחר מכן דלתות בתי המשפט יסגרו בפניהם.</w:t>
      </w:r>
      <w:r>
        <w:rPr>
          <w:rStyle w:val="a7"/>
          <w:rFonts w:ascii="David" w:hAnsi="David" w:cs="David" w:hint="default"/>
          <w:sz w:val="24"/>
          <w:szCs w:val="24"/>
          <w:rtl/>
        </w:rPr>
        <w:footnoteReference w:id="50"/>
      </w:r>
      <w:r w:rsidR="00F36821" w:rsidRPr="00D734A4">
        <w:rPr>
          <w:rFonts w:ascii="David" w:hAnsi="David" w:cs="David" w:hint="default"/>
          <w:sz w:val="24"/>
          <w:szCs w:val="24"/>
          <w:rtl/>
        </w:rPr>
        <w:t xml:space="preserve"> </w:t>
      </w:r>
      <w:r w:rsidR="006C3EC3">
        <w:rPr>
          <w:rFonts w:ascii="David" w:hAnsi="David" w:cs="David" w:hint="cs"/>
          <w:sz w:val="24"/>
          <w:szCs w:val="24"/>
          <w:rtl/>
        </w:rPr>
        <w:t>בהמשך</w:t>
      </w:r>
      <w:r w:rsidR="004D5833" w:rsidRPr="00D734A4">
        <w:rPr>
          <w:rFonts w:ascii="David" w:hAnsi="David" w:cs="David" w:hint="default"/>
          <w:sz w:val="24"/>
          <w:szCs w:val="24"/>
          <w:rtl/>
        </w:rPr>
        <w:t>, ביהמ"ש קבע כי ניתן יהיה להגיש תביעות בגין הולדה בעוולה עד סוף שנת 2017, קרי 31/12/2017.</w:t>
      </w:r>
      <w:r>
        <w:rPr>
          <w:rStyle w:val="a7"/>
          <w:rFonts w:ascii="David" w:hAnsi="David" w:cs="David" w:hint="default"/>
          <w:sz w:val="24"/>
          <w:szCs w:val="24"/>
          <w:rtl/>
        </w:rPr>
        <w:footnoteReference w:id="51"/>
      </w:r>
      <w:r w:rsidR="004444C1">
        <w:rPr>
          <w:rFonts w:ascii="David" w:hAnsi="David" w:cs="David" w:hint="cs"/>
          <w:sz w:val="24"/>
          <w:szCs w:val="24"/>
          <w:rtl/>
        </w:rPr>
        <w:t xml:space="preserve"> לדידי, על </w:t>
      </w:r>
      <w:r w:rsidR="00B2634C">
        <w:rPr>
          <w:rFonts w:ascii="David" w:hAnsi="David" w:cs="David" w:hint="cs"/>
          <w:sz w:val="24"/>
          <w:szCs w:val="24"/>
          <w:rtl/>
        </w:rPr>
        <w:t>ביהמ"ש</w:t>
      </w:r>
      <w:r w:rsidR="004444C1">
        <w:rPr>
          <w:rFonts w:ascii="David" w:hAnsi="David" w:cs="David" w:hint="cs"/>
          <w:sz w:val="24"/>
          <w:szCs w:val="24"/>
          <w:rtl/>
        </w:rPr>
        <w:t xml:space="preserve"> לקבוע מבחן שיתמודד עם הקשיים בגינם עילת תביעת ההורים תתיישן והמשפחה תותר ללא סעד </w:t>
      </w:r>
      <w:r w:rsidR="006C3EC3">
        <w:rPr>
          <w:rFonts w:ascii="David" w:hAnsi="David" w:cs="David" w:hint="cs"/>
          <w:sz w:val="24"/>
          <w:szCs w:val="24"/>
          <w:rtl/>
        </w:rPr>
        <w:t>המפצה עבור</w:t>
      </w:r>
      <w:r w:rsidR="004444C1">
        <w:rPr>
          <w:rFonts w:ascii="David" w:hAnsi="David" w:cs="David" w:hint="cs"/>
          <w:sz w:val="24"/>
          <w:szCs w:val="24"/>
          <w:rtl/>
        </w:rPr>
        <w:t xml:space="preserve"> הנזק שאירע לה. </w:t>
      </w:r>
      <w:r w:rsidR="00B2634C">
        <w:rPr>
          <w:rFonts w:ascii="David" w:hAnsi="David" w:cs="David" w:hint="cs"/>
          <w:sz w:val="24"/>
          <w:szCs w:val="24"/>
          <w:rtl/>
        </w:rPr>
        <w:t>ביהמ"ש</w:t>
      </w:r>
      <w:r w:rsidR="004444C1">
        <w:rPr>
          <w:rFonts w:ascii="David" w:hAnsi="David" w:cs="David" w:hint="cs"/>
          <w:sz w:val="24"/>
          <w:szCs w:val="24"/>
          <w:rtl/>
        </w:rPr>
        <w:t xml:space="preserve"> לא לקח </w:t>
      </w:r>
      <w:r w:rsidR="006C3EC3">
        <w:rPr>
          <w:rFonts w:ascii="David" w:hAnsi="David" w:cs="David" w:hint="cs"/>
          <w:sz w:val="24"/>
          <w:szCs w:val="24"/>
          <w:rtl/>
        </w:rPr>
        <w:t xml:space="preserve">זאת </w:t>
      </w:r>
      <w:r w:rsidR="004444C1">
        <w:rPr>
          <w:rFonts w:ascii="David" w:hAnsi="David" w:cs="David" w:hint="cs"/>
          <w:sz w:val="24"/>
          <w:szCs w:val="24"/>
          <w:rtl/>
        </w:rPr>
        <w:t>בחשבון מהסיבה שיש להכיר בסופיות הדיון</w:t>
      </w:r>
      <w:r w:rsidR="006C3EC3">
        <w:rPr>
          <w:rFonts w:ascii="David" w:hAnsi="David" w:cs="David" w:hint="cs"/>
          <w:sz w:val="24"/>
          <w:szCs w:val="24"/>
          <w:rtl/>
        </w:rPr>
        <w:t>,</w:t>
      </w:r>
      <w:r w:rsidR="004444C1">
        <w:rPr>
          <w:rFonts w:ascii="David" w:hAnsi="David" w:cs="David" w:hint="cs"/>
          <w:sz w:val="24"/>
          <w:szCs w:val="24"/>
          <w:rtl/>
        </w:rPr>
        <w:t xml:space="preserve"> אך </w:t>
      </w:r>
      <w:r w:rsidR="006C3EC3">
        <w:rPr>
          <w:rFonts w:ascii="David" w:hAnsi="David" w:cs="David" w:hint="cs"/>
          <w:sz w:val="24"/>
          <w:szCs w:val="24"/>
          <w:rtl/>
        </w:rPr>
        <w:t>הדבר מעורר</w:t>
      </w:r>
      <w:r w:rsidR="004444C1">
        <w:rPr>
          <w:rFonts w:ascii="David" w:hAnsi="David" w:cs="David" w:hint="cs"/>
          <w:sz w:val="24"/>
          <w:szCs w:val="24"/>
          <w:rtl/>
        </w:rPr>
        <w:t xml:space="preserve"> קשיים רבים ונזקים כלכליים חמורים למשפחה. </w:t>
      </w:r>
    </w:p>
    <w:p w:rsidR="005B061C" w:rsidRDefault="005B061C" w:rsidP="00754473">
      <w:pPr>
        <w:spacing w:line="360" w:lineRule="auto"/>
        <w:jc w:val="both"/>
        <w:rPr>
          <w:rFonts w:ascii="David" w:hAnsi="David" w:cs="David" w:hint="default"/>
          <w:sz w:val="24"/>
          <w:szCs w:val="24"/>
          <w:rtl/>
        </w:rPr>
      </w:pPr>
    </w:p>
    <w:p w:rsidR="005B061C" w:rsidRDefault="005B061C" w:rsidP="00754473">
      <w:pPr>
        <w:spacing w:line="360" w:lineRule="auto"/>
        <w:jc w:val="both"/>
        <w:rPr>
          <w:rFonts w:ascii="David" w:hAnsi="David" w:cs="David" w:hint="default"/>
          <w:sz w:val="24"/>
          <w:szCs w:val="24"/>
          <w:rtl/>
        </w:rPr>
      </w:pPr>
    </w:p>
    <w:p w:rsidR="005B061C" w:rsidRDefault="005B061C" w:rsidP="00754473">
      <w:pPr>
        <w:spacing w:line="360" w:lineRule="auto"/>
        <w:jc w:val="both"/>
        <w:rPr>
          <w:rFonts w:ascii="David" w:hAnsi="David" w:cs="David" w:hint="default"/>
          <w:sz w:val="24"/>
          <w:szCs w:val="24"/>
          <w:rtl/>
        </w:rPr>
      </w:pPr>
    </w:p>
    <w:p w:rsidR="0094270A" w:rsidRDefault="0094270A" w:rsidP="00754473">
      <w:pPr>
        <w:spacing w:line="360" w:lineRule="auto"/>
        <w:jc w:val="both"/>
        <w:rPr>
          <w:rFonts w:ascii="David" w:hAnsi="David" w:cs="David" w:hint="default"/>
          <w:sz w:val="24"/>
          <w:szCs w:val="24"/>
          <w:rtl/>
        </w:rPr>
      </w:pPr>
    </w:p>
    <w:p w:rsidR="0029242C" w:rsidRPr="00B0750A" w:rsidRDefault="0029242C" w:rsidP="00754473">
      <w:pPr>
        <w:spacing w:line="360" w:lineRule="auto"/>
        <w:jc w:val="both"/>
        <w:rPr>
          <w:rFonts w:ascii="David" w:hAnsi="David" w:cs="David" w:hint="default"/>
          <w:sz w:val="24"/>
          <w:szCs w:val="24"/>
          <w:rtl/>
        </w:rPr>
      </w:pPr>
    </w:p>
    <w:p w:rsidR="00FF48D8" w:rsidRDefault="00BE211D" w:rsidP="00FF48D8">
      <w:pPr>
        <w:spacing w:line="360" w:lineRule="auto"/>
        <w:jc w:val="both"/>
        <w:rPr>
          <w:rFonts w:ascii="David" w:hAnsi="David" w:cs="David" w:hint="default"/>
          <w:b/>
          <w:bCs/>
          <w:sz w:val="24"/>
          <w:szCs w:val="24"/>
          <w:u w:val="single"/>
          <w:rtl/>
        </w:rPr>
      </w:pPr>
      <w:r>
        <w:rPr>
          <w:rFonts w:ascii="David" w:hAnsi="David" w:cs="David" w:hint="cs"/>
          <w:b/>
          <w:bCs/>
          <w:sz w:val="24"/>
          <w:szCs w:val="24"/>
          <w:u w:val="single"/>
          <w:rtl/>
        </w:rPr>
        <w:lastRenderedPageBreak/>
        <w:t>פרק ב' -  התיישנות</w:t>
      </w:r>
    </w:p>
    <w:p w:rsidR="00FF48D8" w:rsidRDefault="00BE211D" w:rsidP="00FC03E1">
      <w:pPr>
        <w:spacing w:line="360" w:lineRule="auto"/>
        <w:jc w:val="both"/>
        <w:rPr>
          <w:rFonts w:ascii="David" w:hAnsi="David" w:cs="David" w:hint="default"/>
          <w:b/>
          <w:bCs/>
          <w:sz w:val="24"/>
          <w:szCs w:val="24"/>
          <w:u w:val="single"/>
          <w:rtl/>
        </w:rPr>
      </w:pPr>
      <w:r>
        <w:rPr>
          <w:rFonts w:ascii="David" w:hAnsi="David" w:cs="David" w:hint="cs"/>
          <w:sz w:val="24"/>
          <w:szCs w:val="24"/>
          <w:rtl/>
        </w:rPr>
        <w:t>ניתן למצוא את ההסדר הכללי של ההתיישנות בחוק ההתיישנות, תשי"ח-1958, בחוק זה מצוי גם כן ההסדר הספציפי בנוגע לעוולות נזיקין.</w:t>
      </w:r>
      <w:r>
        <w:rPr>
          <w:rStyle w:val="a7"/>
          <w:rFonts w:ascii="David" w:hAnsi="David" w:hint="default"/>
          <w:sz w:val="24"/>
          <w:szCs w:val="24"/>
          <w:rtl/>
        </w:rPr>
        <w:footnoteReference w:id="52"/>
      </w:r>
      <w:r>
        <w:rPr>
          <w:rFonts w:ascii="David" w:hAnsi="David" w:cs="David" w:hint="cs"/>
          <w:sz w:val="24"/>
          <w:szCs w:val="24"/>
          <w:rtl/>
        </w:rPr>
        <w:t xml:space="preserve"> שני הסדרים אלה הם בעלי תחולה מצטברת ומתקיימים האחד לצד השני.</w:t>
      </w:r>
      <w:r>
        <w:rPr>
          <w:rStyle w:val="a7"/>
          <w:rFonts w:ascii="David" w:hAnsi="David" w:hint="default"/>
          <w:sz w:val="24"/>
          <w:szCs w:val="24"/>
          <w:rtl/>
        </w:rPr>
        <w:footnoteReference w:id="53"/>
      </w:r>
      <w:r>
        <w:rPr>
          <w:rFonts w:ascii="David" w:hAnsi="David" w:cs="David" w:hint="cs"/>
          <w:sz w:val="24"/>
          <w:szCs w:val="24"/>
          <w:rtl/>
        </w:rPr>
        <w:t xml:space="preserve"> אם נע</w:t>
      </w:r>
      <w:r>
        <w:rPr>
          <w:rFonts w:ascii="David" w:hAnsi="David" w:cs="David" w:hint="cs"/>
          <w:sz w:val="24"/>
          <w:szCs w:val="24"/>
          <w:rtl/>
        </w:rPr>
        <w:t>למו עובדות המהוות את עילת התובענה מן התובע, חוק ההתיישנות קובע כי אם התובע לא הגיש תובענה שבזהירות סבירה לא יכול היה למנוע אותן ומסיבות שלא היו תלויות בו, תקופת ההתיישנות תחל ביום שבו נודע לתובע עובדות אלה.</w:t>
      </w:r>
      <w:r>
        <w:rPr>
          <w:rStyle w:val="a7"/>
          <w:rFonts w:ascii="David" w:hAnsi="David" w:hint="default"/>
          <w:sz w:val="24"/>
          <w:szCs w:val="24"/>
          <w:rtl/>
        </w:rPr>
        <w:footnoteReference w:id="54"/>
      </w:r>
      <w:r>
        <w:rPr>
          <w:rFonts w:ascii="David" w:hAnsi="David" w:cs="David" w:hint="cs"/>
          <w:sz w:val="24"/>
          <w:szCs w:val="24"/>
          <w:rtl/>
        </w:rPr>
        <w:t xml:space="preserve"> הסדר זה ניתן למצוא בפקודת הנזיקין,</w:t>
      </w:r>
      <w:r>
        <w:rPr>
          <w:rStyle w:val="a7"/>
          <w:rFonts w:ascii="David" w:hAnsi="David" w:hint="default"/>
          <w:sz w:val="24"/>
          <w:szCs w:val="24"/>
          <w:rtl/>
        </w:rPr>
        <w:footnoteReference w:id="55"/>
      </w:r>
      <w:r>
        <w:rPr>
          <w:rFonts w:ascii="David" w:hAnsi="David" w:cs="David" w:hint="cs"/>
          <w:sz w:val="24"/>
          <w:szCs w:val="24"/>
          <w:rtl/>
        </w:rPr>
        <w:t xml:space="preserve"> הקובעת כי במ</w:t>
      </w:r>
      <w:r>
        <w:rPr>
          <w:rFonts w:ascii="David" w:hAnsi="David" w:cs="David" w:hint="cs"/>
          <w:sz w:val="24"/>
          <w:szCs w:val="24"/>
          <w:rtl/>
        </w:rPr>
        <w:t>קום בו הנזק נגרם על ידי מעשה או מחדל, היום שבו אירע הנזק זהו היום שבו "נולדה עילת התובענה". במקרים בהם האירוע לא התגלה ביום שאירע הנזק התובענה עלולה להתיישן אם לא הוגשה תוך עשר שנים.</w:t>
      </w:r>
      <w:r>
        <w:rPr>
          <w:rStyle w:val="a7"/>
          <w:rFonts w:ascii="David" w:hAnsi="David" w:hint="default"/>
          <w:sz w:val="24"/>
          <w:szCs w:val="24"/>
          <w:rtl/>
        </w:rPr>
        <w:footnoteReference w:id="56"/>
      </w:r>
      <w:r>
        <w:rPr>
          <w:rFonts w:ascii="David" w:hAnsi="David" w:cs="David" w:hint="cs"/>
          <w:sz w:val="24"/>
          <w:szCs w:val="24"/>
          <w:rtl/>
        </w:rPr>
        <w:t xml:space="preserve"> לפי סעיף 8 לחוק ההתיישנות ניתן ״לעצור״ את מרוץ ההתיישנות בכל הנוגע לעילו</w:t>
      </w:r>
      <w:r>
        <w:rPr>
          <w:rFonts w:ascii="David" w:hAnsi="David" w:cs="David" w:hint="cs"/>
          <w:sz w:val="24"/>
          <w:szCs w:val="24"/>
          <w:rtl/>
        </w:rPr>
        <w:t>ת אשר משכללות את עילת התובענה. כאמור בפקודת הנזיקין, כאשר הנזק הוא עילת התובענה שכלול העילה מותנה בקיומם של קשר סיבתי ונזק וזאת בין מעשה או המחדל לבין הנזק.</w:t>
      </w:r>
      <w:r>
        <w:rPr>
          <w:rStyle w:val="a7"/>
          <w:rFonts w:ascii="David" w:hAnsi="David" w:hint="default"/>
          <w:sz w:val="24"/>
          <w:szCs w:val="24"/>
          <w:rtl/>
        </w:rPr>
        <w:footnoteReference w:id="57"/>
      </w:r>
      <w:r>
        <w:rPr>
          <w:rFonts w:ascii="David" w:hAnsi="David" w:cs="David" w:hint="cs"/>
          <w:sz w:val="24"/>
          <w:szCs w:val="24"/>
          <w:rtl/>
        </w:rPr>
        <w:t xml:space="preserve"> בעניין הקשר סיבתי אין לו ביטוי פיזי ומוחשי ובכך הוא שונה מהיסודות האחרים של הנזק המעשה או המחדל. ה</w:t>
      </w:r>
      <w:r>
        <w:rPr>
          <w:rFonts w:ascii="David" w:hAnsi="David" w:cs="David" w:hint="cs"/>
          <w:sz w:val="24"/>
          <w:szCs w:val="24"/>
          <w:rtl/>
        </w:rPr>
        <w:t xml:space="preserve">מבחן שעומד לגילוי יסוד הזיקה הסיבתית הוא הגילוי של הקשר בין הנזק לבין האירוע. למשל כאשר נזק גוף שאינו מתגלה מיד לאחר האירוע, כמו למשל בענייננו חוסר התפתחות היילוד, נשימה רק באמצעות מכונת הנשמה, ריתוק לכיסא גלגלים שבקטנות לא ניתן עוד לאבחן זאת, גילוי הזיקה </w:t>
      </w:r>
      <w:r>
        <w:rPr>
          <w:rFonts w:ascii="David" w:hAnsi="David" w:cs="David" w:hint="cs"/>
          <w:sz w:val="24"/>
          <w:szCs w:val="24"/>
          <w:rtl/>
        </w:rPr>
        <w:t xml:space="preserve">המשפטית מתבטא בגילוי רפואי </w:t>
      </w:r>
      <w:r>
        <w:rPr>
          <w:rFonts w:ascii="David" w:hAnsi="David" w:cs="David" w:hint="default"/>
          <w:sz w:val="24"/>
          <w:szCs w:val="24"/>
          <w:rtl/>
        </w:rPr>
        <w:t>–</w:t>
      </w:r>
      <w:r>
        <w:rPr>
          <w:rFonts w:ascii="David" w:hAnsi="David" w:cs="David" w:hint="cs"/>
          <w:sz w:val="24"/>
          <w:szCs w:val="24"/>
          <w:rtl/>
        </w:rPr>
        <w:t xml:space="preserve"> מדעי שלהקשר שבין הנזק הגופני לבין המעשה או המחדל. דוגמא אחרת ניתן למצוא בתאונת דרכים כשבעת האירוע טרם יודעים את ההשלכות הרפואיות ונזקי הגוף של הנפגע. בשביל שמרוץ ההתיישנות יחל, דרוש שהתובע יגלה על מנת שהדבר יקשר מבחינה רפואית-מ</w:t>
      </w:r>
      <w:r>
        <w:rPr>
          <w:rFonts w:ascii="David" w:hAnsi="David" w:cs="David" w:hint="cs"/>
          <w:sz w:val="24"/>
          <w:szCs w:val="24"/>
          <w:rtl/>
        </w:rPr>
        <w:t>דעית בין המעשה או המחדל לבין הנזק המאוחר. הפירוש "ביום שנודע לתובע עובדות אלו" יש לפרש בצורה הגיונית בעלת אחיזה מינימלית במציאות. סבירות הגילוי הוא המידע שכבר הצטבר אצל התובע ולכן יש לראותו כגודל הנזק ובסיכויי מניעתו, בסיכויי ההצלחה של תביעה פוטנציאלית.</w:t>
      </w:r>
      <w:r>
        <w:rPr>
          <w:rStyle w:val="a7"/>
          <w:rFonts w:ascii="David" w:hAnsi="David" w:hint="default"/>
          <w:sz w:val="24"/>
          <w:szCs w:val="24"/>
          <w:rtl/>
        </w:rPr>
        <w:footnoteReference w:id="58"/>
      </w:r>
      <w:r>
        <w:rPr>
          <w:rFonts w:ascii="David" w:hAnsi="David" w:cs="David" w:hint="cs"/>
          <w:sz w:val="24"/>
          <w:szCs w:val="24"/>
          <w:rtl/>
        </w:rPr>
        <w:t xml:space="preserve"> ר</w:t>
      </w:r>
      <w:r>
        <w:rPr>
          <w:rFonts w:ascii="David" w:hAnsi="David" w:cs="David" w:hint="cs"/>
          <w:sz w:val="24"/>
          <w:szCs w:val="24"/>
          <w:rtl/>
        </w:rPr>
        <w:t xml:space="preserve">אוי לציין כי הנתבע נושא בעול ההוכחה משום שהתביעה התיישנה. </w:t>
      </w:r>
    </w:p>
    <w:p w:rsidR="003E6D72" w:rsidRPr="007243D2" w:rsidRDefault="00BE211D" w:rsidP="00EE2DC0">
      <w:pPr>
        <w:rPr>
          <w:rFonts w:ascii="David" w:hAnsi="David" w:cs="David" w:hint="default"/>
          <w:b/>
          <w:bCs/>
          <w:sz w:val="24"/>
          <w:szCs w:val="24"/>
          <w:u w:val="single"/>
          <w:rtl/>
        </w:rPr>
      </w:pPr>
      <w:r>
        <w:rPr>
          <w:rFonts w:ascii="David" w:hAnsi="David" w:cs="David" w:hint="cs"/>
          <w:b/>
          <w:bCs/>
          <w:sz w:val="24"/>
          <w:szCs w:val="24"/>
          <w:u w:val="single"/>
          <w:rtl/>
        </w:rPr>
        <w:t>ב1.</w:t>
      </w:r>
      <w:r w:rsidR="004444C1">
        <w:rPr>
          <w:rFonts w:ascii="David" w:hAnsi="David" w:cs="David" w:hint="cs"/>
          <w:b/>
          <w:bCs/>
          <w:sz w:val="24"/>
          <w:szCs w:val="24"/>
          <w:u w:val="single"/>
          <w:rtl/>
        </w:rPr>
        <w:t xml:space="preserve"> ה</w:t>
      </w:r>
      <w:r w:rsidR="00F91604" w:rsidRPr="007243D2">
        <w:rPr>
          <w:rFonts w:ascii="David" w:hAnsi="David" w:cs="David" w:hint="default"/>
          <w:b/>
          <w:bCs/>
          <w:sz w:val="24"/>
          <w:szCs w:val="24"/>
          <w:u w:val="single"/>
          <w:rtl/>
        </w:rPr>
        <w:t>שפעת פסק הדין המר הש</w:t>
      </w:r>
      <w:r w:rsidR="00EE2DC0">
        <w:rPr>
          <w:rFonts w:ascii="David" w:hAnsi="David" w:cs="David" w:hint="default"/>
          <w:b/>
          <w:bCs/>
          <w:sz w:val="24"/>
          <w:szCs w:val="24"/>
          <w:u w:val="single"/>
          <w:rtl/>
        </w:rPr>
        <w:t>לכותיו</w:t>
      </w:r>
      <w:r w:rsidR="00EE2DC0">
        <w:rPr>
          <w:rFonts w:ascii="David" w:hAnsi="David" w:cs="David" w:hint="cs"/>
          <w:b/>
          <w:bCs/>
          <w:sz w:val="24"/>
          <w:szCs w:val="24"/>
          <w:u w:val="single"/>
          <w:rtl/>
        </w:rPr>
        <w:t xml:space="preserve"> בכל הקשור ל</w:t>
      </w:r>
      <w:r w:rsidR="00940D43">
        <w:rPr>
          <w:rFonts w:ascii="David" w:hAnsi="David" w:cs="David" w:hint="default"/>
          <w:b/>
          <w:bCs/>
          <w:sz w:val="24"/>
          <w:szCs w:val="24"/>
          <w:u w:val="single"/>
          <w:rtl/>
        </w:rPr>
        <w:t>די</w:t>
      </w:r>
      <w:r w:rsidR="00940D43">
        <w:rPr>
          <w:rFonts w:ascii="David" w:hAnsi="David" w:cs="David" w:hint="cs"/>
          <w:b/>
          <w:bCs/>
          <w:sz w:val="24"/>
          <w:szCs w:val="24"/>
          <w:u w:val="single"/>
          <w:rtl/>
        </w:rPr>
        <w:t>ני</w:t>
      </w:r>
      <w:r w:rsidR="00F91604" w:rsidRPr="007243D2">
        <w:rPr>
          <w:rFonts w:ascii="David" w:hAnsi="David" w:cs="David" w:hint="default"/>
          <w:b/>
          <w:bCs/>
          <w:sz w:val="24"/>
          <w:szCs w:val="24"/>
          <w:u w:val="single"/>
          <w:rtl/>
        </w:rPr>
        <w:t xml:space="preserve"> ההתיישנות</w:t>
      </w:r>
    </w:p>
    <w:p w:rsidR="00A35FB0" w:rsidRPr="007243D2" w:rsidRDefault="00BE211D" w:rsidP="001F47D1">
      <w:pPr>
        <w:spacing w:line="360" w:lineRule="auto"/>
        <w:jc w:val="both"/>
        <w:rPr>
          <w:rFonts w:ascii="David" w:hAnsi="David" w:cs="David" w:hint="default"/>
          <w:sz w:val="24"/>
          <w:szCs w:val="24"/>
          <w:rtl/>
        </w:rPr>
      </w:pPr>
      <w:r w:rsidRPr="007243D2">
        <w:rPr>
          <w:rFonts w:ascii="David" w:hAnsi="David" w:cs="David" w:hint="default"/>
          <w:sz w:val="24"/>
          <w:szCs w:val="24"/>
          <w:rtl/>
        </w:rPr>
        <w:t xml:space="preserve">במסגרת הלכת המר בוטלה זכותו של היילוד לתבוע בגין עילת "החיים בעוולה", מה שהותיר על כנו את עילת תביעתם של ההורים בגין "ההולדה בעוולה" </w:t>
      </w:r>
      <w:r w:rsidR="001F47D1">
        <w:rPr>
          <w:rFonts w:ascii="David" w:hAnsi="David" w:cs="David" w:hint="cs"/>
          <w:sz w:val="24"/>
          <w:szCs w:val="24"/>
          <w:rtl/>
        </w:rPr>
        <w:t>והוסיף</w:t>
      </w:r>
      <w:r w:rsidRPr="007243D2">
        <w:rPr>
          <w:rFonts w:ascii="David" w:hAnsi="David" w:cs="David" w:hint="default"/>
          <w:sz w:val="24"/>
          <w:szCs w:val="24"/>
          <w:rtl/>
        </w:rPr>
        <w:t xml:space="preserve"> לעילה זו פיצויים נוספים למשך תוחלת חייו של היילוד.</w:t>
      </w:r>
      <w:r w:rsidR="00941604" w:rsidRPr="007243D2">
        <w:rPr>
          <w:rFonts w:ascii="David" w:hAnsi="David" w:cs="David" w:hint="default"/>
          <w:sz w:val="24"/>
          <w:szCs w:val="24"/>
          <w:rtl/>
        </w:rPr>
        <w:t xml:space="preserve"> תיקים תלויים ועומדים, וכן תביעות חדשות שהוגשו לאחר הלכת המר הושפעו רבות. </w:t>
      </w:r>
      <w:r w:rsidR="001151AF" w:rsidRPr="007243D2">
        <w:rPr>
          <w:rFonts w:ascii="David" w:hAnsi="David" w:cs="David" w:hint="default"/>
          <w:sz w:val="24"/>
          <w:szCs w:val="24"/>
          <w:rtl/>
        </w:rPr>
        <w:t>נוכח ביטול עילתו של היילוד, על פי חוק ההתיישנות רשאים ההורים להגיש תביעה בעילת "ההולדה בעוולה" עד שבע שנים מהגחתו לעולם של היילוד.</w:t>
      </w:r>
      <w:r>
        <w:rPr>
          <w:rStyle w:val="a7"/>
          <w:rFonts w:ascii="David" w:hAnsi="David" w:cs="David" w:hint="default"/>
          <w:sz w:val="24"/>
          <w:szCs w:val="24"/>
          <w:rtl/>
        </w:rPr>
        <w:footnoteReference w:id="59"/>
      </w:r>
      <w:r w:rsidR="001151AF" w:rsidRPr="007243D2">
        <w:rPr>
          <w:rFonts w:ascii="David" w:hAnsi="David" w:cs="David" w:hint="default"/>
          <w:sz w:val="24"/>
          <w:szCs w:val="24"/>
          <w:rtl/>
        </w:rPr>
        <w:t xml:space="preserve"> מקרים בהם תביעת היילוד בטלה ותביעת ההורים התיישנה הובילו לכך כי אין באפשרותם </w:t>
      </w:r>
      <w:r w:rsidR="001151AF" w:rsidRPr="007243D2">
        <w:rPr>
          <w:rFonts w:ascii="David" w:hAnsi="David" w:cs="David" w:hint="default"/>
          <w:sz w:val="24"/>
          <w:szCs w:val="24"/>
          <w:rtl/>
        </w:rPr>
        <w:lastRenderedPageBreak/>
        <w:t>לתבוע בגין אף עילה. משכך, הנתבעים מיהרו להעלות את הטענה – מחמת חו</w:t>
      </w:r>
      <w:r w:rsidR="001F47D1">
        <w:rPr>
          <w:rFonts w:ascii="David" w:hAnsi="David" w:cs="David" w:hint="default"/>
          <w:sz w:val="24"/>
          <w:szCs w:val="24"/>
          <w:rtl/>
        </w:rPr>
        <w:t>סר עילה, ולסלק על הסף תביעות אל</w:t>
      </w:r>
      <w:r w:rsidR="001F47D1">
        <w:rPr>
          <w:rFonts w:ascii="David" w:hAnsi="David" w:cs="David" w:hint="cs"/>
          <w:sz w:val="24"/>
          <w:szCs w:val="24"/>
          <w:rtl/>
        </w:rPr>
        <w:t>ה.</w:t>
      </w:r>
      <w:r>
        <w:rPr>
          <w:rStyle w:val="a7"/>
          <w:rFonts w:ascii="David" w:hAnsi="David" w:cs="David" w:hint="default"/>
          <w:sz w:val="24"/>
          <w:szCs w:val="24"/>
          <w:rtl/>
        </w:rPr>
        <w:footnoteReference w:id="60"/>
      </w:r>
    </w:p>
    <w:p w:rsidR="00137B14" w:rsidRPr="007243D2" w:rsidRDefault="00BE211D" w:rsidP="00154F81">
      <w:pPr>
        <w:spacing w:line="360" w:lineRule="auto"/>
        <w:jc w:val="both"/>
        <w:rPr>
          <w:rFonts w:ascii="David" w:hAnsi="David" w:cs="David" w:hint="default"/>
          <w:sz w:val="24"/>
          <w:szCs w:val="24"/>
        </w:rPr>
      </w:pPr>
      <w:r w:rsidRPr="007243D2">
        <w:rPr>
          <w:rFonts w:ascii="David" w:hAnsi="David" w:cs="David" w:hint="default"/>
          <w:sz w:val="24"/>
          <w:szCs w:val="24"/>
          <w:rtl/>
        </w:rPr>
        <w:t xml:space="preserve">ניתן לראות כי הדין איננו מכיר בזכותם העצמאית של ההורים להגיש תביעה בעילה </w:t>
      </w:r>
      <w:r w:rsidR="00154F81">
        <w:rPr>
          <w:rFonts w:ascii="David" w:hAnsi="David" w:cs="David" w:hint="cs"/>
          <w:sz w:val="24"/>
          <w:szCs w:val="24"/>
          <w:rtl/>
        </w:rPr>
        <w:t>נזיקית</w:t>
      </w:r>
      <w:r w:rsidRPr="007243D2">
        <w:rPr>
          <w:rFonts w:ascii="David" w:hAnsi="David" w:cs="David" w:hint="default"/>
          <w:sz w:val="24"/>
          <w:szCs w:val="24"/>
          <w:rtl/>
        </w:rPr>
        <w:t xml:space="preserve">, </w:t>
      </w:r>
      <w:r w:rsidR="00154F81">
        <w:rPr>
          <w:rFonts w:ascii="David" w:hAnsi="David" w:cs="David" w:hint="cs"/>
          <w:sz w:val="24"/>
          <w:szCs w:val="24"/>
          <w:rtl/>
        </w:rPr>
        <w:t>כנפגעים</w:t>
      </w:r>
      <w:r w:rsidRPr="007243D2">
        <w:rPr>
          <w:rFonts w:ascii="David" w:hAnsi="David" w:cs="David" w:hint="default"/>
          <w:sz w:val="24"/>
          <w:szCs w:val="24"/>
          <w:rtl/>
        </w:rPr>
        <w:t xml:space="preserve"> ישירים </w:t>
      </w:r>
      <w:r w:rsidR="00986AE3" w:rsidRPr="007243D2">
        <w:rPr>
          <w:rFonts w:ascii="David" w:hAnsi="David" w:cs="David" w:hint="default"/>
          <w:sz w:val="24"/>
          <w:szCs w:val="24"/>
          <w:rtl/>
        </w:rPr>
        <w:t xml:space="preserve"> </w:t>
      </w:r>
      <w:r w:rsidR="00722DDE" w:rsidRPr="007243D2">
        <w:rPr>
          <w:rFonts w:ascii="David" w:hAnsi="David" w:cs="David" w:hint="default"/>
          <w:sz w:val="24"/>
          <w:szCs w:val="24"/>
          <w:rtl/>
        </w:rPr>
        <w:t>בשל לידת ילד עם מום, מה שאפשרי היום לפי פרשת המר. בכך, ניתן לראות שזוהי העילה היחידה שעומדת בפניי ההורים להגשת תובענה בבית משפט עבור נזקי היילוד.</w:t>
      </w:r>
      <w:r>
        <w:rPr>
          <w:rStyle w:val="a7"/>
          <w:rFonts w:ascii="David" w:hAnsi="David" w:cs="David" w:hint="default"/>
          <w:sz w:val="24"/>
          <w:szCs w:val="24"/>
          <w:rtl/>
        </w:rPr>
        <w:footnoteReference w:id="61"/>
      </w:r>
      <w:r w:rsidR="00722DDE" w:rsidRPr="007243D2">
        <w:rPr>
          <w:rFonts w:ascii="David" w:hAnsi="David" w:cs="David" w:hint="default"/>
          <w:sz w:val="24"/>
          <w:szCs w:val="24"/>
          <w:rtl/>
        </w:rPr>
        <w:t xml:space="preserve"> </w:t>
      </w:r>
    </w:p>
    <w:p w:rsidR="00657E13" w:rsidRDefault="00BE211D" w:rsidP="00F346A3">
      <w:pPr>
        <w:spacing w:line="360" w:lineRule="auto"/>
        <w:jc w:val="both"/>
        <w:rPr>
          <w:rFonts w:ascii="David" w:hAnsi="David" w:cs="David" w:hint="default"/>
          <w:sz w:val="24"/>
          <w:szCs w:val="24"/>
          <w:rtl/>
        </w:rPr>
      </w:pPr>
      <w:r>
        <w:rPr>
          <w:rFonts w:ascii="David" w:hAnsi="David" w:cs="David" w:hint="cs"/>
          <w:sz w:val="24"/>
          <w:szCs w:val="24"/>
          <w:rtl/>
        </w:rPr>
        <w:t>ב</w:t>
      </w:r>
      <w:r w:rsidR="005275FE" w:rsidRPr="007243D2">
        <w:rPr>
          <w:rFonts w:ascii="David" w:hAnsi="David" w:cs="David" w:hint="default"/>
          <w:sz w:val="24"/>
          <w:szCs w:val="24"/>
          <w:rtl/>
        </w:rPr>
        <w:t xml:space="preserve">מצב דברים בו ההורים תובעים את הוצאות הקטין יש צורך </w:t>
      </w:r>
      <w:r w:rsidR="00575E9E" w:rsidRPr="007243D2">
        <w:rPr>
          <w:rFonts w:ascii="David" w:hAnsi="David" w:cs="David" w:hint="default"/>
          <w:sz w:val="24"/>
          <w:szCs w:val="24"/>
          <w:rtl/>
        </w:rPr>
        <w:t>ממשי כי נזקי הקטין יהיו מגובשים ו</w:t>
      </w:r>
      <w:r w:rsidR="005275FE" w:rsidRPr="007243D2">
        <w:rPr>
          <w:rFonts w:ascii="David" w:hAnsi="David" w:cs="David" w:hint="default"/>
          <w:sz w:val="24"/>
          <w:szCs w:val="24"/>
          <w:rtl/>
        </w:rPr>
        <w:t xml:space="preserve">ניתנים להערכה בזמן התביעה, זאת בשביל שיהיה אפשר לקיים דיון ענייני </w:t>
      </w:r>
      <w:r w:rsidR="00F346A3">
        <w:rPr>
          <w:rFonts w:ascii="David" w:hAnsi="David" w:cs="David" w:hint="cs"/>
          <w:sz w:val="24"/>
          <w:szCs w:val="24"/>
          <w:rtl/>
        </w:rPr>
        <w:t>בביהמ"ש</w:t>
      </w:r>
      <w:r w:rsidR="005275FE" w:rsidRPr="007243D2">
        <w:rPr>
          <w:rFonts w:ascii="David" w:hAnsi="David" w:cs="David" w:hint="default"/>
          <w:sz w:val="24"/>
          <w:szCs w:val="24"/>
          <w:rtl/>
        </w:rPr>
        <w:t>.</w:t>
      </w:r>
      <w:r>
        <w:rPr>
          <w:rStyle w:val="a7"/>
          <w:rFonts w:ascii="David" w:hAnsi="David" w:cs="David" w:hint="default"/>
          <w:sz w:val="24"/>
          <w:szCs w:val="24"/>
          <w:rtl/>
        </w:rPr>
        <w:footnoteReference w:id="62"/>
      </w:r>
      <w:r w:rsidR="005275FE" w:rsidRPr="007243D2">
        <w:rPr>
          <w:rFonts w:ascii="David" w:hAnsi="David" w:cs="David" w:hint="default"/>
          <w:sz w:val="24"/>
          <w:szCs w:val="24"/>
          <w:rtl/>
        </w:rPr>
        <w:t xml:space="preserve"> </w:t>
      </w:r>
      <w:r w:rsidR="00575E9E" w:rsidRPr="007243D2">
        <w:rPr>
          <w:rFonts w:ascii="David" w:hAnsi="David" w:cs="David" w:hint="default"/>
          <w:sz w:val="24"/>
          <w:szCs w:val="24"/>
          <w:rtl/>
        </w:rPr>
        <w:t xml:space="preserve">הגשת תביעה לפני שהקטין הגיע לגיל </w:t>
      </w:r>
      <w:r>
        <w:rPr>
          <w:rFonts w:ascii="David" w:hAnsi="David" w:cs="David" w:hint="cs"/>
          <w:sz w:val="24"/>
          <w:szCs w:val="24"/>
          <w:rtl/>
        </w:rPr>
        <w:t>שבע</w:t>
      </w:r>
      <w:r w:rsidR="00575E9E" w:rsidRPr="007243D2">
        <w:rPr>
          <w:rFonts w:ascii="David" w:hAnsi="David" w:cs="David" w:hint="default"/>
          <w:sz w:val="24"/>
          <w:szCs w:val="24"/>
          <w:rtl/>
        </w:rPr>
        <w:t xml:space="preserve"> </w:t>
      </w:r>
      <w:r>
        <w:rPr>
          <w:rFonts w:ascii="David" w:hAnsi="David" w:cs="David" w:hint="cs"/>
          <w:sz w:val="24"/>
          <w:szCs w:val="24"/>
          <w:rtl/>
        </w:rPr>
        <w:t>ל</w:t>
      </w:r>
      <w:r w:rsidR="00520DF7" w:rsidRPr="007243D2">
        <w:rPr>
          <w:rFonts w:ascii="David" w:hAnsi="David" w:cs="David" w:hint="default"/>
          <w:sz w:val="24"/>
          <w:szCs w:val="24"/>
          <w:rtl/>
        </w:rPr>
        <w:t>הורים, אשר מתמודדים באינטנסיביות עם נזקי היילוד</w:t>
      </w:r>
      <w:r w:rsidR="00257EFD" w:rsidRPr="007243D2">
        <w:rPr>
          <w:rFonts w:ascii="David" w:hAnsi="David" w:cs="David" w:hint="default"/>
          <w:sz w:val="24"/>
          <w:szCs w:val="24"/>
          <w:rtl/>
        </w:rPr>
        <w:t xml:space="preserve"> ומומיו</w:t>
      </w:r>
      <w:r w:rsidR="00520DF7" w:rsidRPr="007243D2">
        <w:rPr>
          <w:rFonts w:ascii="David" w:hAnsi="David" w:cs="David" w:hint="default"/>
          <w:sz w:val="24"/>
          <w:szCs w:val="24"/>
          <w:rtl/>
        </w:rPr>
        <w:t xml:space="preserve">, </w:t>
      </w:r>
      <w:r w:rsidR="00154F81">
        <w:rPr>
          <w:rFonts w:ascii="David" w:hAnsi="David" w:cs="David" w:hint="cs"/>
          <w:sz w:val="24"/>
          <w:szCs w:val="24"/>
          <w:rtl/>
        </w:rPr>
        <w:t xml:space="preserve">מערימה עליהם </w:t>
      </w:r>
      <w:r>
        <w:rPr>
          <w:rFonts w:ascii="David" w:hAnsi="David" w:cs="David" w:hint="cs"/>
          <w:sz w:val="24"/>
          <w:szCs w:val="24"/>
          <w:rtl/>
        </w:rPr>
        <w:t xml:space="preserve">קושי ניכר שכן </w:t>
      </w:r>
      <w:r w:rsidR="00520DF7" w:rsidRPr="007243D2">
        <w:rPr>
          <w:rFonts w:ascii="David" w:hAnsi="David" w:cs="David" w:hint="default"/>
          <w:sz w:val="24"/>
          <w:szCs w:val="24"/>
          <w:rtl/>
        </w:rPr>
        <w:t>הם ידרשו לפנות זמן ומשאבים להגשת התביעה בסמוך ללידת היילוד.</w:t>
      </w:r>
      <w:r>
        <w:rPr>
          <w:rStyle w:val="a7"/>
          <w:rFonts w:ascii="David" w:hAnsi="David" w:cs="David" w:hint="default"/>
          <w:sz w:val="24"/>
          <w:szCs w:val="24"/>
          <w:rtl/>
        </w:rPr>
        <w:footnoteReference w:id="63"/>
      </w:r>
      <w:r w:rsidR="00520DF7" w:rsidRPr="007243D2">
        <w:rPr>
          <w:rFonts w:ascii="David" w:hAnsi="David" w:cs="David" w:hint="default"/>
          <w:sz w:val="24"/>
          <w:szCs w:val="24"/>
          <w:rtl/>
        </w:rPr>
        <w:t xml:space="preserve"> </w:t>
      </w:r>
    </w:p>
    <w:p w:rsidR="00273A32" w:rsidRDefault="00BE211D" w:rsidP="00EB3EE6">
      <w:pPr>
        <w:spacing w:line="360" w:lineRule="auto"/>
        <w:jc w:val="both"/>
        <w:rPr>
          <w:rFonts w:ascii="David" w:hAnsi="David" w:cs="David" w:hint="default"/>
          <w:sz w:val="24"/>
          <w:szCs w:val="24"/>
          <w:rtl/>
        </w:rPr>
      </w:pPr>
      <w:r>
        <w:rPr>
          <w:rFonts w:ascii="David" w:hAnsi="David" w:cs="David" w:hint="cs"/>
          <w:sz w:val="24"/>
          <w:szCs w:val="24"/>
          <w:rtl/>
        </w:rPr>
        <w:t>פסיקות שונות נקבעו עקב הלכת המר בעניין תחולת ההתיישנות והוראות מעבר. הוראת המעבר שניתנה בהלכת המר הייתה עמומה ולפסיקות שונות שבאו לאחר מכן היה קשה להכריע בצורה אחידה. דוגמא לכך ניתן לראות בהתחבטות ולבטים קשים של השופטת ג</w:t>
      </w:r>
      <w:r w:rsidR="00BC1F7A">
        <w:rPr>
          <w:rFonts w:ascii="David" w:hAnsi="David" w:cs="David" w:hint="cs"/>
          <w:sz w:val="24"/>
          <w:szCs w:val="24"/>
          <w:rtl/>
        </w:rPr>
        <w:t>נות בעניין ד"</w:t>
      </w:r>
      <w:r>
        <w:rPr>
          <w:rFonts w:ascii="David" w:hAnsi="David" w:cs="David" w:hint="cs"/>
          <w:sz w:val="24"/>
          <w:szCs w:val="24"/>
          <w:rtl/>
        </w:rPr>
        <w:t>ר ליאון פריש.</w:t>
      </w:r>
      <w:r>
        <w:rPr>
          <w:rStyle w:val="a7"/>
          <w:rFonts w:ascii="David" w:hAnsi="David" w:hint="default"/>
          <w:sz w:val="24"/>
          <w:szCs w:val="24"/>
          <w:rtl/>
        </w:rPr>
        <w:footnoteReference w:id="64"/>
      </w:r>
      <w:r w:rsidR="00BC1F7A">
        <w:rPr>
          <w:rFonts w:ascii="David" w:hAnsi="David" w:cs="David" w:hint="cs"/>
          <w:sz w:val="24"/>
          <w:szCs w:val="24"/>
          <w:rtl/>
        </w:rPr>
        <w:t xml:space="preserve"> </w:t>
      </w:r>
      <w:r>
        <w:rPr>
          <w:rFonts w:ascii="David" w:hAnsi="David" w:cs="David" w:hint="cs"/>
          <w:sz w:val="24"/>
          <w:szCs w:val="24"/>
          <w:rtl/>
        </w:rPr>
        <w:t xml:space="preserve">בעניין זה הוגשה תביעה הן ע"י הקטינה והן ע"י הוריה. לכאורה, לפי הלכת המר תביעת הקטינה אמורה </w:t>
      </w:r>
      <w:r w:rsidR="00EB3EE6">
        <w:rPr>
          <w:rFonts w:ascii="David" w:hAnsi="David" w:cs="David" w:hint="cs"/>
          <w:sz w:val="24"/>
          <w:szCs w:val="24"/>
          <w:rtl/>
        </w:rPr>
        <w:t>להידחות משום שעילת "חיים בעוולה</w:t>
      </w:r>
      <w:r>
        <w:rPr>
          <w:rFonts w:ascii="David" w:hAnsi="David" w:cs="David" w:hint="cs"/>
          <w:sz w:val="24"/>
          <w:szCs w:val="24"/>
          <w:rtl/>
        </w:rPr>
        <w:t>"</w:t>
      </w:r>
      <w:r w:rsidR="00EB3EE6">
        <w:rPr>
          <w:rFonts w:ascii="David" w:hAnsi="David" w:cs="David" w:hint="cs"/>
          <w:sz w:val="24"/>
          <w:szCs w:val="24"/>
          <w:rtl/>
        </w:rPr>
        <w:t xml:space="preserve"> בוטלה</w:t>
      </w:r>
      <w:r>
        <w:rPr>
          <w:rFonts w:ascii="David" w:hAnsi="David" w:cs="David" w:hint="cs"/>
          <w:sz w:val="24"/>
          <w:szCs w:val="24"/>
          <w:rtl/>
        </w:rPr>
        <w:t xml:space="preserve"> וכל שנותר הוא להתעסק בעילת תביעת ההורים, קרי "הולדה בעוולה". </w:t>
      </w:r>
      <w:r w:rsidR="001D7631">
        <w:rPr>
          <w:rFonts w:ascii="David" w:hAnsi="David" w:cs="David" w:hint="cs"/>
          <w:sz w:val="24"/>
          <w:szCs w:val="24"/>
          <w:rtl/>
        </w:rPr>
        <w:t xml:space="preserve">בהתאם, עילת ההורים אמורה להידחות וזאת מחמת ההתיישנות. הועלתה השאלה בפס"ד המר האם הייתה זאת מטרתה? בשל כך, השופטת גנות נאלצה להכריע ולקבוע ולפי עמדתה העקרונית בעניין סבוך זה. </w:t>
      </w:r>
    </w:p>
    <w:p w:rsidR="00C66F24" w:rsidRDefault="00BE211D" w:rsidP="002D4018">
      <w:pPr>
        <w:spacing w:line="360" w:lineRule="auto"/>
        <w:jc w:val="both"/>
        <w:rPr>
          <w:rFonts w:ascii="David" w:hAnsi="David" w:cs="David" w:hint="default"/>
          <w:sz w:val="24"/>
          <w:szCs w:val="24"/>
          <w:rtl/>
        </w:rPr>
      </w:pPr>
      <w:r>
        <w:rPr>
          <w:rFonts w:ascii="David" w:hAnsi="David" w:cs="David" w:hint="cs"/>
          <w:sz w:val="24"/>
          <w:szCs w:val="24"/>
          <w:rtl/>
        </w:rPr>
        <w:t>השופטת גנות סברה כי לא ייתכן שמשמעות הלכת המר תהא בפגיעה בתביעות קיימות שהוגשו בהתאם לדין הקודם, קרי הלכת זייצוב. לדידה, מהות התביעה לא השתנתה, מה</w:t>
      </w:r>
      <w:r>
        <w:rPr>
          <w:rFonts w:ascii="David" w:hAnsi="David" w:cs="David" w:hint="cs"/>
          <w:sz w:val="24"/>
          <w:szCs w:val="24"/>
          <w:rtl/>
        </w:rPr>
        <w:t xml:space="preserve"> שכן </w:t>
      </w:r>
      <w:r w:rsidR="002E1AD4">
        <w:rPr>
          <w:rFonts w:ascii="David" w:hAnsi="David" w:cs="David" w:hint="cs"/>
          <w:sz w:val="24"/>
          <w:szCs w:val="24"/>
          <w:rtl/>
        </w:rPr>
        <w:t xml:space="preserve">הזכות לקבלת הפיצוי </w:t>
      </w:r>
      <w:r w:rsidR="002D4018">
        <w:rPr>
          <w:rFonts w:ascii="David" w:hAnsi="David" w:cs="David" w:hint="cs"/>
          <w:sz w:val="24"/>
          <w:szCs w:val="24"/>
          <w:rtl/>
        </w:rPr>
        <w:t>הועברה מהילוד</w:t>
      </w:r>
      <w:r w:rsidR="002E1AD4">
        <w:rPr>
          <w:rFonts w:ascii="David" w:hAnsi="David" w:cs="David" w:hint="cs"/>
          <w:sz w:val="24"/>
          <w:szCs w:val="24"/>
          <w:rtl/>
        </w:rPr>
        <w:t xml:space="preserve"> להוריו, באופן </w:t>
      </w:r>
      <w:r w:rsidR="002D4018">
        <w:rPr>
          <w:rFonts w:ascii="David" w:hAnsi="David" w:cs="David" w:hint="cs"/>
          <w:sz w:val="24"/>
          <w:szCs w:val="24"/>
          <w:rtl/>
        </w:rPr>
        <w:t>שכעת ההורים</w:t>
      </w:r>
      <w:r w:rsidR="002E1AD4">
        <w:rPr>
          <w:rFonts w:ascii="David" w:hAnsi="David" w:cs="David" w:hint="cs"/>
          <w:sz w:val="24"/>
          <w:szCs w:val="24"/>
          <w:rtl/>
        </w:rPr>
        <w:t xml:space="preserve"> יכולים לתבוע כניזוקים ישירים וראשיים. למעשה, הלכת המר משנה את הכתובת לפיצויים </w:t>
      </w:r>
      <w:r w:rsidR="002E1AD4">
        <w:rPr>
          <w:rFonts w:ascii="David" w:hAnsi="David" w:cs="David" w:hint="default"/>
          <w:sz w:val="24"/>
          <w:szCs w:val="24"/>
          <w:rtl/>
        </w:rPr>
        <w:t>–</w:t>
      </w:r>
      <w:r w:rsidR="002E1AD4">
        <w:rPr>
          <w:rFonts w:ascii="David" w:hAnsi="David" w:cs="David" w:hint="cs"/>
          <w:sz w:val="24"/>
          <w:szCs w:val="24"/>
          <w:rtl/>
        </w:rPr>
        <w:t xml:space="preserve"> מהיילוד להוריו. בהתאם לכך, זכות הפיצוי של היילודים והוריהם נותרה על כנה, שכן השינוי היחידי הינו העברת זכות התביעה מהיילוד להורים.</w:t>
      </w:r>
      <w:r>
        <w:rPr>
          <w:rStyle w:val="a7"/>
          <w:rFonts w:ascii="David" w:hAnsi="David" w:hint="default"/>
          <w:sz w:val="24"/>
          <w:szCs w:val="24"/>
          <w:rtl/>
        </w:rPr>
        <w:footnoteReference w:id="65"/>
      </w:r>
      <w:r w:rsidR="002E1AD4">
        <w:rPr>
          <w:rFonts w:ascii="David" w:hAnsi="David" w:cs="David" w:hint="cs"/>
          <w:sz w:val="24"/>
          <w:szCs w:val="24"/>
          <w:rtl/>
        </w:rPr>
        <w:t xml:space="preserve"> </w:t>
      </w:r>
    </w:p>
    <w:p w:rsidR="003F73E5" w:rsidRDefault="00BE211D" w:rsidP="00B64DED">
      <w:pPr>
        <w:spacing w:line="360" w:lineRule="auto"/>
        <w:jc w:val="both"/>
        <w:rPr>
          <w:rFonts w:ascii="David" w:hAnsi="David" w:cs="David" w:hint="default"/>
          <w:sz w:val="24"/>
          <w:szCs w:val="24"/>
          <w:rtl/>
        </w:rPr>
      </w:pPr>
      <w:r>
        <w:rPr>
          <w:rFonts w:ascii="David" w:hAnsi="David" w:cs="David" w:hint="cs"/>
          <w:sz w:val="24"/>
          <w:szCs w:val="24"/>
          <w:rtl/>
        </w:rPr>
        <w:t>אין להתעלם מהעובדה כי יישום הלכת המר בצורה בה יידחו תביעותיהם של הקטינים וגם של הוריהם אשר הגישו את תביעתם מאוחר משבע שנים ממועד לידת הקטין, עלולים לגרום לנזקים קשים מאוד ולמספר לא ידוע של ייל</w:t>
      </w:r>
      <w:r w:rsidR="000A30A8">
        <w:rPr>
          <w:rFonts w:ascii="David" w:hAnsi="David" w:cs="David" w:hint="cs"/>
          <w:sz w:val="24"/>
          <w:szCs w:val="24"/>
          <w:rtl/>
        </w:rPr>
        <w:t>ודים שעלולים לאבד את זכותם לקבל</w:t>
      </w:r>
      <w:r>
        <w:rPr>
          <w:rFonts w:ascii="David" w:hAnsi="David" w:cs="David" w:hint="cs"/>
          <w:sz w:val="24"/>
          <w:szCs w:val="24"/>
          <w:rtl/>
        </w:rPr>
        <w:t xml:space="preserve"> פיצוי בשל הע</w:t>
      </w:r>
      <w:r>
        <w:rPr>
          <w:rFonts w:ascii="David" w:hAnsi="David" w:cs="David" w:hint="cs"/>
          <w:sz w:val="24"/>
          <w:szCs w:val="24"/>
          <w:rtl/>
        </w:rPr>
        <w:t>וול שנגרם בהולדתם.</w:t>
      </w:r>
      <w:r>
        <w:rPr>
          <w:rStyle w:val="a7"/>
          <w:rFonts w:ascii="David" w:hAnsi="David" w:hint="default"/>
          <w:sz w:val="24"/>
          <w:szCs w:val="24"/>
          <w:rtl/>
        </w:rPr>
        <w:footnoteReference w:id="66"/>
      </w:r>
      <w:r>
        <w:rPr>
          <w:rFonts w:ascii="David" w:hAnsi="David" w:cs="David" w:hint="cs"/>
          <w:sz w:val="24"/>
          <w:szCs w:val="24"/>
          <w:rtl/>
        </w:rPr>
        <w:t xml:space="preserve"> </w:t>
      </w:r>
      <w:r w:rsidR="004D3FB3">
        <w:rPr>
          <w:rFonts w:ascii="David" w:hAnsi="David" w:cs="David" w:hint="cs"/>
          <w:sz w:val="24"/>
          <w:szCs w:val="24"/>
          <w:rtl/>
        </w:rPr>
        <w:t xml:space="preserve">מן הצד השני, קבעה השופטת גנות את הקביעה לפיה תקופת ההתיישנות של עילת ההורים </w:t>
      </w:r>
      <w:r w:rsidR="001D0461">
        <w:rPr>
          <w:rFonts w:ascii="David" w:hAnsi="David" w:cs="David" w:hint="cs"/>
          <w:sz w:val="24"/>
          <w:szCs w:val="24"/>
          <w:rtl/>
        </w:rPr>
        <w:t xml:space="preserve">תחל ממועד הלכת המר בכך היא לא תגרום לנזק למזיק, זאת בשל העובדה שאין זה הגיוני שהלכה </w:t>
      </w:r>
      <w:r w:rsidR="00B64DED">
        <w:rPr>
          <w:rFonts w:ascii="David" w:hAnsi="David" w:cs="David" w:hint="cs"/>
          <w:sz w:val="24"/>
          <w:szCs w:val="24"/>
          <w:rtl/>
        </w:rPr>
        <w:t>זו</w:t>
      </w:r>
      <w:r w:rsidR="001D0461">
        <w:rPr>
          <w:rFonts w:ascii="David" w:hAnsi="David" w:cs="David" w:hint="cs"/>
          <w:sz w:val="24"/>
          <w:szCs w:val="24"/>
          <w:rtl/>
        </w:rPr>
        <w:t xml:space="preserve"> תטיב עם המזיק.</w:t>
      </w:r>
      <w:r>
        <w:rPr>
          <w:rStyle w:val="a7"/>
          <w:rFonts w:ascii="David" w:hAnsi="David" w:hint="default"/>
          <w:sz w:val="24"/>
          <w:szCs w:val="24"/>
          <w:rtl/>
        </w:rPr>
        <w:footnoteReference w:id="67"/>
      </w:r>
      <w:r w:rsidR="001D0461">
        <w:rPr>
          <w:rFonts w:ascii="David" w:hAnsi="David" w:cs="David" w:hint="cs"/>
          <w:sz w:val="24"/>
          <w:szCs w:val="24"/>
          <w:rtl/>
        </w:rPr>
        <w:t xml:space="preserve"> </w:t>
      </w:r>
      <w:r w:rsidR="002301A2">
        <w:rPr>
          <w:rFonts w:ascii="David" w:hAnsi="David" w:cs="David" w:hint="cs"/>
          <w:sz w:val="24"/>
          <w:szCs w:val="24"/>
          <w:rtl/>
        </w:rPr>
        <w:t>לאור כך, קבעה השופטת גנות כי במקרים מסוימים יש להחיל את הלכת המר באופן שי</w:t>
      </w:r>
      <w:r w:rsidR="000A30A8">
        <w:rPr>
          <w:rFonts w:ascii="David" w:hAnsi="David" w:cs="David" w:hint="cs"/>
          <w:sz w:val="24"/>
          <w:szCs w:val="24"/>
          <w:rtl/>
        </w:rPr>
        <w:t>אפשר להורים למצות את זכותם לקבל</w:t>
      </w:r>
      <w:r w:rsidR="002301A2">
        <w:rPr>
          <w:rFonts w:ascii="David" w:hAnsi="David" w:cs="David" w:hint="cs"/>
          <w:sz w:val="24"/>
          <w:szCs w:val="24"/>
          <w:rtl/>
        </w:rPr>
        <w:t xml:space="preserve"> פיצוי ברמה </w:t>
      </w:r>
      <w:r w:rsidR="002301A2">
        <w:rPr>
          <w:rFonts w:ascii="David" w:hAnsi="David" w:cs="David" w:hint="cs"/>
          <w:sz w:val="24"/>
          <w:szCs w:val="24"/>
          <w:rtl/>
        </w:rPr>
        <w:lastRenderedPageBreak/>
        <w:t>המקסימלית בגין הנזקים ובגין הוצאות גידול הילד. זאת ועוד קבעה השופטת גנות שבשביל שזכות ההורים לא תפגע, תקופת ההתיישנות תספר ממועד מתן פס"ד המר, זאת בין היתר בשל העובדה שהזכות אמורה להעניק פיצוי גם ליילודים עבור הוצאות עתידיות.</w:t>
      </w:r>
      <w:r>
        <w:rPr>
          <w:rStyle w:val="a7"/>
          <w:rFonts w:ascii="David" w:hAnsi="David" w:hint="default"/>
          <w:sz w:val="24"/>
          <w:szCs w:val="24"/>
          <w:rtl/>
        </w:rPr>
        <w:footnoteReference w:id="68"/>
      </w:r>
      <w:r w:rsidR="002301A2">
        <w:rPr>
          <w:rFonts w:ascii="David" w:hAnsi="David" w:cs="David" w:hint="cs"/>
          <w:sz w:val="24"/>
          <w:szCs w:val="24"/>
          <w:rtl/>
        </w:rPr>
        <w:t xml:space="preserve"> </w:t>
      </w:r>
    </w:p>
    <w:p w:rsidR="00A5250B" w:rsidRDefault="00BE211D" w:rsidP="000A30A8">
      <w:pPr>
        <w:spacing w:line="360" w:lineRule="auto"/>
        <w:jc w:val="both"/>
        <w:rPr>
          <w:rFonts w:ascii="David" w:hAnsi="David" w:cs="David" w:hint="default"/>
          <w:sz w:val="24"/>
          <w:szCs w:val="24"/>
          <w:rtl/>
        </w:rPr>
      </w:pPr>
      <w:r>
        <w:rPr>
          <w:rFonts w:ascii="David" w:hAnsi="David" w:cs="David" w:hint="cs"/>
          <w:sz w:val="24"/>
          <w:szCs w:val="24"/>
          <w:rtl/>
        </w:rPr>
        <w:t xml:space="preserve">לאור זאת, החלטת השופטת גנות הייתה מחיקת תביעת הקטינה ודחיית </w:t>
      </w:r>
      <w:r w:rsidR="000A30A8">
        <w:rPr>
          <w:rFonts w:ascii="David" w:hAnsi="David" w:cs="David" w:hint="cs"/>
          <w:sz w:val="24"/>
          <w:szCs w:val="24"/>
          <w:rtl/>
        </w:rPr>
        <w:t>ה</w:t>
      </w:r>
      <w:r>
        <w:rPr>
          <w:rFonts w:ascii="David" w:hAnsi="David" w:cs="David" w:hint="cs"/>
          <w:sz w:val="24"/>
          <w:szCs w:val="24"/>
          <w:rtl/>
        </w:rPr>
        <w:t>טענ</w:t>
      </w:r>
      <w:r w:rsidR="000A30A8">
        <w:rPr>
          <w:rFonts w:ascii="David" w:hAnsi="David" w:cs="David" w:hint="cs"/>
          <w:sz w:val="24"/>
          <w:szCs w:val="24"/>
          <w:rtl/>
        </w:rPr>
        <w:t xml:space="preserve">ה לפיה תביעת ההורים התיישנה. </w:t>
      </w:r>
      <w:r>
        <w:rPr>
          <w:rFonts w:ascii="David" w:hAnsi="David" w:cs="David" w:hint="cs"/>
          <w:sz w:val="24"/>
          <w:szCs w:val="24"/>
          <w:rtl/>
        </w:rPr>
        <w:t>בעצם כך השופטת אפשרה להורים להגיש את כתב התביעה מתוקן, בהתאם להלכת המר.</w:t>
      </w:r>
      <w:r>
        <w:rPr>
          <w:rStyle w:val="a7"/>
          <w:rFonts w:ascii="David" w:hAnsi="David" w:hint="default"/>
          <w:sz w:val="24"/>
          <w:szCs w:val="24"/>
          <w:rtl/>
        </w:rPr>
        <w:footnoteReference w:id="69"/>
      </w:r>
      <w:r>
        <w:rPr>
          <w:rFonts w:ascii="David" w:hAnsi="David" w:cs="David" w:hint="cs"/>
          <w:sz w:val="24"/>
          <w:szCs w:val="24"/>
          <w:rtl/>
        </w:rPr>
        <w:t xml:space="preserve"> </w:t>
      </w:r>
    </w:p>
    <w:p w:rsidR="003D5352" w:rsidRPr="003D5352" w:rsidRDefault="00BE211D" w:rsidP="00F346A3">
      <w:pPr>
        <w:spacing w:line="360" w:lineRule="auto"/>
        <w:jc w:val="both"/>
        <w:rPr>
          <w:rFonts w:ascii="David" w:hAnsi="David" w:cs="David" w:hint="default"/>
          <w:sz w:val="24"/>
          <w:szCs w:val="24"/>
          <w:rtl/>
        </w:rPr>
      </w:pPr>
      <w:r>
        <w:rPr>
          <w:rFonts w:ascii="David" w:hAnsi="David" w:cs="David" w:hint="cs"/>
          <w:sz w:val="24"/>
          <w:szCs w:val="24"/>
          <w:rtl/>
        </w:rPr>
        <w:t xml:space="preserve">כפי שכבר ציינתי מעלה, </w:t>
      </w:r>
      <w:r w:rsidR="00F346A3">
        <w:rPr>
          <w:rFonts w:ascii="David" w:hAnsi="David" w:cs="David" w:hint="cs"/>
          <w:sz w:val="24"/>
          <w:szCs w:val="24"/>
          <w:rtl/>
        </w:rPr>
        <w:t>ביהמ"ש</w:t>
      </w:r>
      <w:r>
        <w:rPr>
          <w:rFonts w:ascii="David" w:hAnsi="David" w:cs="David" w:hint="cs"/>
          <w:sz w:val="24"/>
          <w:szCs w:val="24"/>
          <w:rtl/>
        </w:rPr>
        <w:t xml:space="preserve"> בקובעו את הלכת המר, יכול היה</w:t>
      </w:r>
      <w:r>
        <w:rPr>
          <w:rFonts w:ascii="David" w:hAnsi="David" w:cs="David" w:hint="cs"/>
          <w:sz w:val="24"/>
          <w:szCs w:val="24"/>
          <w:rtl/>
        </w:rPr>
        <w:t xml:space="preserve"> לקבוע הוראות ברורות וחד משמעיות לעניין זה, דבר שהיה מונע מהשופטת גנות בעניין זה ובפסקי דין אחריו את הצורך לקבוע מהו העיקרון הראוי מבלי להפוך עיקרון זה להלכה. </w:t>
      </w:r>
    </w:p>
    <w:p w:rsidR="00273A32" w:rsidRDefault="00BE211D" w:rsidP="00F346A3">
      <w:pPr>
        <w:spacing w:line="360" w:lineRule="auto"/>
        <w:jc w:val="both"/>
        <w:rPr>
          <w:rFonts w:ascii="David" w:hAnsi="David" w:cs="David" w:hint="default"/>
          <w:sz w:val="24"/>
          <w:szCs w:val="24"/>
          <w:rtl/>
        </w:rPr>
      </w:pPr>
      <w:r>
        <w:rPr>
          <w:rFonts w:ascii="David" w:hAnsi="David" w:cs="David" w:hint="default"/>
          <w:sz w:val="24"/>
          <w:szCs w:val="24"/>
          <w:rtl/>
        </w:rPr>
        <w:t xml:space="preserve">ראוי לציין כי דיני ההתיישנות </w:t>
      </w:r>
      <w:r w:rsidR="005275FE" w:rsidRPr="007243D2">
        <w:rPr>
          <w:rFonts w:ascii="David" w:hAnsi="David" w:cs="David" w:hint="default"/>
          <w:sz w:val="24"/>
          <w:szCs w:val="24"/>
          <w:rtl/>
        </w:rPr>
        <w:t>חלים ברגע שההורים אינם מגישים את התביעה בתקופה של שבע שנים מרגע לידת היילוד, זאת מתוך הסתמכות של פרשת זייצוב</w:t>
      </w:r>
      <w:r>
        <w:rPr>
          <w:rFonts w:ascii="David" w:hAnsi="David" w:cs="David" w:hint="cs"/>
          <w:sz w:val="24"/>
          <w:szCs w:val="24"/>
          <w:rtl/>
        </w:rPr>
        <w:t>,</w:t>
      </w:r>
      <w:r w:rsidR="005275FE" w:rsidRPr="007243D2">
        <w:rPr>
          <w:rFonts w:ascii="David" w:hAnsi="David" w:cs="David" w:hint="default"/>
          <w:sz w:val="24"/>
          <w:szCs w:val="24"/>
          <w:rtl/>
        </w:rPr>
        <w:t xml:space="preserve"> ובכך הם עלולים להימצא ללא עילת תביעה בפני </w:t>
      </w:r>
      <w:r w:rsidR="00F346A3">
        <w:rPr>
          <w:rFonts w:ascii="David" w:hAnsi="David" w:cs="David" w:hint="cs"/>
          <w:sz w:val="24"/>
          <w:szCs w:val="24"/>
          <w:rtl/>
        </w:rPr>
        <w:t>ביהמ"ש</w:t>
      </w:r>
      <w:r w:rsidR="005275FE" w:rsidRPr="007243D2">
        <w:rPr>
          <w:rFonts w:ascii="David" w:hAnsi="David" w:cs="David" w:hint="default"/>
          <w:sz w:val="24"/>
          <w:szCs w:val="24"/>
          <w:rtl/>
        </w:rPr>
        <w:t>.</w:t>
      </w:r>
      <w:r w:rsidR="00B64DED">
        <w:rPr>
          <w:rFonts w:ascii="David" w:hAnsi="David" w:cs="David" w:hint="default"/>
          <w:sz w:val="24"/>
          <w:szCs w:val="24"/>
          <w:rtl/>
        </w:rPr>
        <w:t xml:space="preserve"> </w:t>
      </w:r>
      <w:r>
        <w:rPr>
          <w:rFonts w:ascii="David" w:hAnsi="David" w:cs="David" w:hint="cs"/>
          <w:sz w:val="24"/>
          <w:szCs w:val="24"/>
          <w:rtl/>
        </w:rPr>
        <w:t>בהקשר</w:t>
      </w:r>
      <w:r w:rsidR="005275FE" w:rsidRPr="007243D2">
        <w:rPr>
          <w:rFonts w:ascii="David" w:hAnsi="David" w:cs="David" w:hint="default"/>
          <w:sz w:val="24"/>
          <w:szCs w:val="24"/>
          <w:rtl/>
        </w:rPr>
        <w:t xml:space="preserve"> זה </w:t>
      </w:r>
      <w:r>
        <w:rPr>
          <w:rFonts w:ascii="David" w:hAnsi="David" w:cs="David" w:hint="cs"/>
          <w:sz w:val="24"/>
          <w:szCs w:val="24"/>
          <w:rtl/>
        </w:rPr>
        <w:t xml:space="preserve">עולה </w:t>
      </w:r>
      <w:r w:rsidR="005275FE" w:rsidRPr="007243D2">
        <w:rPr>
          <w:rFonts w:ascii="David" w:hAnsi="David" w:cs="David" w:hint="default"/>
          <w:sz w:val="24"/>
          <w:szCs w:val="24"/>
          <w:rtl/>
        </w:rPr>
        <w:t xml:space="preserve">שאלת חובת היידוע של המדינה אשר ארחיב עלייה בפרק הבא. </w:t>
      </w:r>
    </w:p>
    <w:p w:rsidR="00657E13" w:rsidRDefault="00BE211D" w:rsidP="00FE563C">
      <w:pPr>
        <w:rPr>
          <w:rFonts w:ascii="David" w:hAnsi="David" w:cs="David" w:hint="default"/>
          <w:b/>
          <w:bCs/>
          <w:sz w:val="24"/>
          <w:szCs w:val="24"/>
          <w:u w:val="single"/>
          <w:rtl/>
        </w:rPr>
      </w:pPr>
      <w:r>
        <w:rPr>
          <w:rFonts w:ascii="David" w:hAnsi="David" w:cs="David" w:hint="cs"/>
          <w:b/>
          <w:bCs/>
          <w:sz w:val="24"/>
          <w:szCs w:val="24"/>
          <w:u w:val="single"/>
          <w:rtl/>
        </w:rPr>
        <w:t>ב</w:t>
      </w:r>
      <w:r w:rsidR="00FE563C">
        <w:rPr>
          <w:rFonts w:ascii="David" w:hAnsi="David" w:cs="David" w:hint="cs"/>
          <w:b/>
          <w:bCs/>
          <w:sz w:val="24"/>
          <w:szCs w:val="24"/>
          <w:u w:val="single"/>
          <w:rtl/>
        </w:rPr>
        <w:t>2</w:t>
      </w:r>
      <w:r>
        <w:rPr>
          <w:rFonts w:ascii="David" w:hAnsi="David" w:cs="David" w:hint="cs"/>
          <w:b/>
          <w:bCs/>
          <w:sz w:val="24"/>
          <w:szCs w:val="24"/>
          <w:u w:val="single"/>
          <w:rtl/>
        </w:rPr>
        <w:t xml:space="preserve">. </w:t>
      </w:r>
      <w:r w:rsidR="00257EFD" w:rsidRPr="007243D2">
        <w:rPr>
          <w:rFonts w:ascii="David" w:hAnsi="David" w:cs="David" w:hint="default"/>
          <w:b/>
          <w:bCs/>
          <w:sz w:val="24"/>
          <w:szCs w:val="24"/>
          <w:u w:val="single"/>
          <w:rtl/>
        </w:rPr>
        <w:t>סיווג עילת ההתיישנות</w:t>
      </w:r>
      <w:r w:rsidR="008F5AD8">
        <w:rPr>
          <w:rFonts w:ascii="David" w:hAnsi="David" w:cs="David" w:hint="cs"/>
          <w:b/>
          <w:bCs/>
          <w:sz w:val="24"/>
          <w:szCs w:val="24"/>
          <w:u w:val="single"/>
          <w:rtl/>
        </w:rPr>
        <w:t xml:space="preserve"> </w:t>
      </w:r>
      <w:r w:rsidR="008F5AD8">
        <w:rPr>
          <w:rFonts w:ascii="David" w:hAnsi="David" w:cs="David" w:hint="default"/>
          <w:b/>
          <w:bCs/>
          <w:sz w:val="24"/>
          <w:szCs w:val="24"/>
          <w:u w:val="single"/>
          <w:rtl/>
        </w:rPr>
        <w:t>–</w:t>
      </w:r>
      <w:r w:rsidR="008F5AD8">
        <w:rPr>
          <w:rFonts w:ascii="David" w:hAnsi="David" w:cs="David" w:hint="cs"/>
          <w:b/>
          <w:bCs/>
          <w:sz w:val="24"/>
          <w:szCs w:val="24"/>
          <w:u w:val="single"/>
          <w:rtl/>
        </w:rPr>
        <w:t xml:space="preserve"> דין מהותי או דין דיוני?</w:t>
      </w:r>
    </w:p>
    <w:p w:rsidR="00657E13" w:rsidRDefault="00BE211D" w:rsidP="00F346A3">
      <w:pPr>
        <w:spacing w:line="360" w:lineRule="auto"/>
        <w:jc w:val="both"/>
        <w:rPr>
          <w:rFonts w:ascii="David" w:hAnsi="David" w:cs="David" w:hint="default"/>
          <w:sz w:val="24"/>
          <w:szCs w:val="24"/>
          <w:rtl/>
        </w:rPr>
      </w:pPr>
      <w:r>
        <w:rPr>
          <w:rFonts w:ascii="David" w:hAnsi="David" w:cs="David" w:hint="cs"/>
          <w:sz w:val="24"/>
          <w:szCs w:val="24"/>
          <w:rtl/>
        </w:rPr>
        <w:t xml:space="preserve">אחת מההבחנות הבסיסיות </w:t>
      </w:r>
      <w:r w:rsidR="00331A7A">
        <w:rPr>
          <w:rFonts w:ascii="David" w:hAnsi="David" w:cs="David" w:hint="cs"/>
          <w:sz w:val="24"/>
          <w:szCs w:val="24"/>
          <w:rtl/>
        </w:rPr>
        <w:t xml:space="preserve">הקלאסיות בספרות </w:t>
      </w:r>
      <w:r>
        <w:rPr>
          <w:rFonts w:ascii="David" w:hAnsi="David" w:cs="David" w:hint="cs"/>
          <w:sz w:val="24"/>
          <w:szCs w:val="24"/>
          <w:rtl/>
        </w:rPr>
        <w:t>ניתן לראות בחוק היא אותה הבחנה בין הדין המהותי לבין הדין הדיוני (הפרוצדורלי). הדין המהותי עוסק בתוכן. הוא בעצם קובע האם קיימת זכות או האם מוטלת חובה</w:t>
      </w:r>
      <w:r w:rsidR="00331A7A">
        <w:rPr>
          <w:rFonts w:ascii="David" w:hAnsi="David" w:cs="David" w:hint="cs"/>
          <w:sz w:val="24"/>
          <w:szCs w:val="24"/>
          <w:rtl/>
        </w:rPr>
        <w:t xml:space="preserve">, במילים אחרות הדין המהותי עוסק בקביעת זכויות, הוא קובע אילו זכויות יש לצדדים ומהו ההיקף </w:t>
      </w:r>
      <w:r w:rsidR="00CC14D2">
        <w:rPr>
          <w:rFonts w:ascii="David" w:hAnsi="David" w:cs="David" w:hint="cs"/>
          <w:sz w:val="24"/>
          <w:szCs w:val="24"/>
          <w:rtl/>
        </w:rPr>
        <w:t>שלהן</w:t>
      </w:r>
      <w:r>
        <w:rPr>
          <w:rFonts w:ascii="David" w:hAnsi="David" w:cs="David" w:hint="cs"/>
          <w:sz w:val="24"/>
          <w:szCs w:val="24"/>
          <w:rtl/>
        </w:rPr>
        <w:t>. לעומת זאת, הד</w:t>
      </w:r>
      <w:r>
        <w:rPr>
          <w:rFonts w:ascii="David" w:hAnsi="David" w:cs="David" w:hint="cs"/>
          <w:sz w:val="24"/>
          <w:szCs w:val="24"/>
          <w:rtl/>
        </w:rPr>
        <w:t xml:space="preserve">ין הדיוני (הפרוצדורלי) </w:t>
      </w:r>
      <w:r w:rsidR="00331A7A">
        <w:rPr>
          <w:rFonts w:ascii="David" w:hAnsi="David" w:cs="David" w:hint="cs"/>
          <w:sz w:val="24"/>
          <w:szCs w:val="24"/>
          <w:rtl/>
        </w:rPr>
        <w:t>עוסק ב"כיצד". כאמור, בדרך שבה אנשים בחברה ממשים את הזכויות המהותיות שלהם. הדין הדיוני מתווה את הדרך שבאמצעותה ניתנת האפשרות לממש זכות זו.</w:t>
      </w:r>
      <w:r w:rsidR="00CC18B9">
        <w:rPr>
          <w:rFonts w:ascii="David" w:hAnsi="David" w:cs="David" w:hint="cs"/>
          <w:sz w:val="24"/>
          <w:szCs w:val="24"/>
          <w:rtl/>
        </w:rPr>
        <w:t xml:space="preserve"> הוא נועד לשמור על מאזן אינטרסים של הצדדים בינם לבין </w:t>
      </w:r>
      <w:r w:rsidR="00F346A3">
        <w:rPr>
          <w:rFonts w:ascii="David" w:hAnsi="David" w:cs="David" w:hint="cs"/>
          <w:sz w:val="24"/>
          <w:szCs w:val="24"/>
          <w:rtl/>
        </w:rPr>
        <w:t>ביהמ"ש</w:t>
      </w:r>
      <w:r w:rsidR="00CC18B9">
        <w:rPr>
          <w:rFonts w:ascii="David" w:hAnsi="David" w:cs="David" w:hint="cs"/>
          <w:sz w:val="24"/>
          <w:szCs w:val="24"/>
          <w:rtl/>
        </w:rPr>
        <w:t>, ומורה כיצד נכון וצריך לנהוג כל זאת תוך הגנה על זכויות של כל צד במשפט.</w:t>
      </w:r>
      <w:r>
        <w:rPr>
          <w:rStyle w:val="a7"/>
          <w:rFonts w:ascii="David" w:hAnsi="David" w:hint="default"/>
          <w:sz w:val="24"/>
          <w:szCs w:val="24"/>
          <w:rtl/>
        </w:rPr>
        <w:footnoteReference w:id="70"/>
      </w:r>
      <w:r w:rsidR="00CC18B9">
        <w:rPr>
          <w:rFonts w:ascii="David" w:hAnsi="David" w:cs="David" w:hint="cs"/>
          <w:sz w:val="24"/>
          <w:szCs w:val="24"/>
          <w:rtl/>
        </w:rPr>
        <w:t xml:space="preserve"> </w:t>
      </w:r>
    </w:p>
    <w:p w:rsidR="0017349D" w:rsidRDefault="00BE211D" w:rsidP="006B4383">
      <w:pPr>
        <w:spacing w:line="360" w:lineRule="auto"/>
        <w:jc w:val="both"/>
        <w:rPr>
          <w:rFonts w:ascii="David" w:hAnsi="David" w:cs="David" w:hint="default"/>
          <w:sz w:val="24"/>
          <w:szCs w:val="24"/>
          <w:rtl/>
        </w:rPr>
      </w:pPr>
      <w:r>
        <w:rPr>
          <w:rFonts w:ascii="David" w:hAnsi="David" w:cs="David" w:hint="cs"/>
          <w:sz w:val="24"/>
          <w:szCs w:val="24"/>
          <w:rtl/>
        </w:rPr>
        <w:t>נהוג לסווג בדין הדיוני התיישנות של תביעות. התיישנות זאת לא מפקיעה זכויות מהותיות וגם לא יוצרת אותן. היא איננה עוסקת בשאלה האם הדין המהותי מקנה לתובע זכות מהותית או לא. הכלל הוא, שההתיישנות מקנה לנתבע מגן אשר משמש אותו מ</w:t>
      </w:r>
      <w:r>
        <w:rPr>
          <w:rFonts w:ascii="David" w:hAnsi="David" w:cs="David" w:hint="cs"/>
          <w:sz w:val="24"/>
          <w:szCs w:val="24"/>
          <w:rtl/>
        </w:rPr>
        <w:t xml:space="preserve">פני תביעות בפני </w:t>
      </w:r>
      <w:r w:rsidR="006B4383">
        <w:rPr>
          <w:rFonts w:ascii="David" w:hAnsi="David" w:cs="David" w:hint="cs"/>
          <w:sz w:val="24"/>
          <w:szCs w:val="24"/>
          <w:rtl/>
        </w:rPr>
        <w:t>ביהמ"ש</w:t>
      </w:r>
      <w:r>
        <w:rPr>
          <w:rFonts w:ascii="David" w:hAnsi="David" w:cs="David" w:hint="cs"/>
          <w:sz w:val="24"/>
          <w:szCs w:val="24"/>
          <w:rtl/>
        </w:rPr>
        <w:t xml:space="preserve"> ומחוצה לו הוא איננו רלוונטי עוד.</w:t>
      </w:r>
      <w:r>
        <w:rPr>
          <w:rStyle w:val="a7"/>
          <w:rFonts w:ascii="David" w:hAnsi="David" w:hint="default"/>
          <w:sz w:val="24"/>
          <w:szCs w:val="24"/>
          <w:rtl/>
        </w:rPr>
        <w:footnoteReference w:id="71"/>
      </w:r>
      <w:r>
        <w:rPr>
          <w:rFonts w:ascii="David" w:hAnsi="David" w:cs="David" w:hint="cs"/>
          <w:sz w:val="24"/>
          <w:szCs w:val="24"/>
          <w:rtl/>
        </w:rPr>
        <w:t xml:space="preserve"> </w:t>
      </w:r>
    </w:p>
    <w:p w:rsidR="007305B2" w:rsidRDefault="00BE211D" w:rsidP="00CC14D2">
      <w:pPr>
        <w:spacing w:line="360" w:lineRule="auto"/>
        <w:jc w:val="both"/>
        <w:rPr>
          <w:rFonts w:ascii="David" w:hAnsi="David" w:cs="David" w:hint="default"/>
          <w:sz w:val="24"/>
          <w:szCs w:val="24"/>
          <w:rtl/>
        </w:rPr>
      </w:pPr>
      <w:r>
        <w:rPr>
          <w:rFonts w:ascii="David" w:hAnsi="David" w:cs="David" w:hint="cs"/>
          <w:sz w:val="24"/>
          <w:szCs w:val="24"/>
          <w:rtl/>
        </w:rPr>
        <w:t xml:space="preserve">לצורך הדוגמא, אם המחוקק החליט לשנות את אורך תקופת </w:t>
      </w:r>
      <w:r w:rsidR="00CC14D2">
        <w:rPr>
          <w:rFonts w:ascii="David" w:hAnsi="David" w:cs="David" w:hint="cs"/>
          <w:sz w:val="24"/>
          <w:szCs w:val="24"/>
          <w:rtl/>
        </w:rPr>
        <w:t>ההתיישנות הקבועה בחוק,</w:t>
      </w:r>
      <w:r>
        <w:rPr>
          <w:rFonts w:ascii="David" w:hAnsi="David" w:cs="David" w:hint="cs"/>
          <w:sz w:val="24"/>
          <w:szCs w:val="24"/>
          <w:rtl/>
        </w:rPr>
        <w:t xml:space="preserve"> עולה השאלה, האם תחול הוראה חדשה על התיישנותן של תביעות שטרם הוכרעו? לכאורה, ניתן לומר כי הוראה חדשה זו תחול גם על הליך תלוי ו</w:t>
      </w:r>
      <w:r>
        <w:rPr>
          <w:rFonts w:ascii="David" w:hAnsi="David" w:cs="David" w:hint="cs"/>
          <w:sz w:val="24"/>
          <w:szCs w:val="24"/>
          <w:rtl/>
        </w:rPr>
        <w:t>עומד בבית משפט.</w:t>
      </w:r>
      <w:r>
        <w:rPr>
          <w:rStyle w:val="a7"/>
          <w:rFonts w:ascii="David" w:hAnsi="David" w:hint="default"/>
          <w:sz w:val="24"/>
          <w:szCs w:val="24"/>
          <w:rtl/>
        </w:rPr>
        <w:footnoteReference w:id="72"/>
      </w:r>
      <w:r>
        <w:rPr>
          <w:rFonts w:ascii="David" w:hAnsi="David" w:cs="David" w:hint="cs"/>
          <w:sz w:val="24"/>
          <w:szCs w:val="24"/>
          <w:rtl/>
        </w:rPr>
        <w:t xml:space="preserve"> </w:t>
      </w:r>
      <w:r w:rsidR="00CC3B4B">
        <w:rPr>
          <w:rFonts w:ascii="David" w:hAnsi="David" w:cs="David" w:hint="cs"/>
          <w:sz w:val="24"/>
          <w:szCs w:val="24"/>
          <w:rtl/>
        </w:rPr>
        <w:t>בישראל הפסיקה הבחינה בין שתי סיטואציות: האחת, כאשר חוק שמאריך את תקופת ההתיישנות נכנס לתוקף. אם טרם חלפה תקופת ההתיישנות שקבע החוק הקודם והחוק החדש נכנס לתוקף, החוק החדש יחול באופן אקטיבי</w:t>
      </w:r>
      <w:r w:rsidR="00483773">
        <w:rPr>
          <w:rFonts w:ascii="David" w:hAnsi="David" w:cs="David" w:hint="cs"/>
          <w:sz w:val="24"/>
          <w:szCs w:val="24"/>
          <w:rtl/>
        </w:rPr>
        <w:t>.</w:t>
      </w:r>
      <w:r w:rsidR="00CC3B4B" w:rsidRPr="00CC3B4B">
        <w:rPr>
          <w:rFonts w:ascii="David" w:hAnsi="David" w:cs="David" w:hint="cs"/>
          <w:color w:val="FF0000"/>
          <w:sz w:val="24"/>
          <w:szCs w:val="24"/>
          <w:rtl/>
        </w:rPr>
        <w:t xml:space="preserve"> </w:t>
      </w:r>
      <w:r w:rsidR="00CC3B4B">
        <w:rPr>
          <w:rFonts w:ascii="David" w:hAnsi="David" w:cs="David" w:hint="cs"/>
          <w:sz w:val="24"/>
          <w:szCs w:val="24"/>
          <w:rtl/>
        </w:rPr>
        <w:t xml:space="preserve">במילים אחרות, תביעה שחלה לפי החוק הקודם וטרם התיישנה, תקופת ההתיישנות שלה כעת עם החוק החדש היא ארוכה לפי ההוראה החדשה. אולם, אם תקופת ההתיישנות </w:t>
      </w:r>
      <w:r w:rsidR="00CC3B4B">
        <w:rPr>
          <w:rFonts w:ascii="David" w:hAnsi="David" w:cs="David" w:hint="cs"/>
          <w:sz w:val="24"/>
          <w:szCs w:val="24"/>
          <w:rtl/>
        </w:rPr>
        <w:lastRenderedPageBreak/>
        <w:t xml:space="preserve">חלפה (לפי החוק הישן) לאחר כניסת החוק החדש, הוא לא </w:t>
      </w:r>
      <w:r w:rsidR="00CC14D2">
        <w:rPr>
          <w:rFonts w:ascii="David" w:hAnsi="David" w:cs="David" w:hint="cs"/>
          <w:sz w:val="24"/>
          <w:szCs w:val="24"/>
          <w:rtl/>
        </w:rPr>
        <w:t>יחול</w:t>
      </w:r>
      <w:r w:rsidR="00CC3B4B">
        <w:rPr>
          <w:rFonts w:ascii="David" w:hAnsi="David" w:cs="David" w:hint="cs"/>
          <w:sz w:val="24"/>
          <w:szCs w:val="24"/>
          <w:rtl/>
        </w:rPr>
        <w:t xml:space="preserve"> בצורה רטרואקטיבית.</w:t>
      </w:r>
      <w:r>
        <w:rPr>
          <w:rStyle w:val="a7"/>
          <w:rFonts w:ascii="David" w:hAnsi="David" w:hint="default"/>
          <w:sz w:val="24"/>
          <w:szCs w:val="24"/>
          <w:rtl/>
        </w:rPr>
        <w:footnoteReference w:id="73"/>
      </w:r>
      <w:r w:rsidR="00CC3B4B">
        <w:rPr>
          <w:rFonts w:ascii="David" w:hAnsi="David" w:cs="David" w:hint="cs"/>
          <w:sz w:val="24"/>
          <w:szCs w:val="24"/>
          <w:rtl/>
        </w:rPr>
        <w:t xml:space="preserve"> הסיבה לכך, כי תקופת ההתיישנות לא יכולה להתעורר מחדש.  </w:t>
      </w:r>
    </w:p>
    <w:p w:rsidR="007305B2" w:rsidRDefault="00BE211D" w:rsidP="00656C8D">
      <w:pPr>
        <w:spacing w:line="360" w:lineRule="auto"/>
        <w:jc w:val="both"/>
        <w:rPr>
          <w:rFonts w:ascii="David" w:hAnsi="David" w:cs="David" w:hint="default"/>
          <w:sz w:val="24"/>
          <w:szCs w:val="24"/>
          <w:rtl/>
        </w:rPr>
      </w:pPr>
      <w:r>
        <w:rPr>
          <w:rFonts w:ascii="David" w:hAnsi="David" w:cs="David" w:hint="cs"/>
          <w:sz w:val="24"/>
          <w:szCs w:val="24"/>
          <w:rtl/>
        </w:rPr>
        <w:t xml:space="preserve">בנסיבות המקרה שלנו, אם תקופת ההתיישנות בגין עילת "ההולדה בעוולה", קרי </w:t>
      </w:r>
      <w:r w:rsidR="00656C8D">
        <w:rPr>
          <w:rFonts w:ascii="David" w:hAnsi="David" w:cs="David" w:hint="cs"/>
          <w:sz w:val="24"/>
          <w:szCs w:val="24"/>
          <w:rtl/>
        </w:rPr>
        <w:t>שבע</w:t>
      </w:r>
      <w:r>
        <w:rPr>
          <w:rFonts w:ascii="David" w:hAnsi="David" w:cs="David" w:hint="cs"/>
          <w:sz w:val="24"/>
          <w:szCs w:val="24"/>
          <w:rtl/>
        </w:rPr>
        <w:t xml:space="preserve"> שנים טרם התיישנה, החוק החדש שנכנס לתוקף יאריך את תקופת ההתיישנות ובכך ההורים יוכלו לתבוע בתקופת זמן ארוכה יותר מזו שניתנה להם עד כה. כלומר</w:t>
      </w:r>
      <w:r w:rsidR="00656C8D">
        <w:rPr>
          <w:rFonts w:ascii="David" w:hAnsi="David" w:cs="David" w:hint="cs"/>
          <w:sz w:val="24"/>
          <w:szCs w:val="24"/>
          <w:rtl/>
        </w:rPr>
        <w:t xml:space="preserve"> יותר משבע </w:t>
      </w:r>
      <w:r>
        <w:rPr>
          <w:rFonts w:ascii="David" w:hAnsi="David" w:cs="David" w:hint="cs"/>
          <w:sz w:val="24"/>
          <w:szCs w:val="24"/>
          <w:rtl/>
        </w:rPr>
        <w:t>שנים מרגע הגחתו</w:t>
      </w:r>
      <w:r>
        <w:rPr>
          <w:rFonts w:ascii="David" w:hAnsi="David" w:cs="David" w:hint="cs"/>
          <w:sz w:val="24"/>
          <w:szCs w:val="24"/>
          <w:rtl/>
        </w:rPr>
        <w:t xml:space="preserve"> של היילוד לעולם. </w:t>
      </w:r>
      <w:r w:rsidR="00656C8D">
        <w:rPr>
          <w:rFonts w:ascii="David" w:hAnsi="David" w:cs="David" w:hint="cs"/>
          <w:sz w:val="24"/>
          <w:szCs w:val="24"/>
          <w:rtl/>
        </w:rPr>
        <w:t xml:space="preserve">ואולם, </w:t>
      </w:r>
      <w:r>
        <w:rPr>
          <w:rFonts w:ascii="David" w:hAnsi="David" w:cs="David" w:hint="cs"/>
          <w:sz w:val="24"/>
          <w:szCs w:val="24"/>
          <w:rtl/>
        </w:rPr>
        <w:t xml:space="preserve">במצב בו תקופת ההתיישנות (7 שנים) בגין עילת "ההולדה בעוולה" </w:t>
      </w:r>
      <w:r w:rsidR="00656C8D">
        <w:rPr>
          <w:rFonts w:ascii="David" w:hAnsi="David" w:cs="David" w:hint="cs"/>
          <w:sz w:val="24"/>
          <w:szCs w:val="24"/>
          <w:rtl/>
        </w:rPr>
        <w:t>חלפה כבר</w:t>
      </w:r>
      <w:r>
        <w:rPr>
          <w:rFonts w:ascii="David" w:hAnsi="David" w:cs="David" w:hint="cs"/>
          <w:sz w:val="24"/>
          <w:szCs w:val="24"/>
          <w:rtl/>
        </w:rPr>
        <w:t xml:space="preserve">, החוק החדש לא יכול להחיות מחדש, לכן העילה לא תקבל סעד בבית משפט. </w:t>
      </w:r>
    </w:p>
    <w:p w:rsidR="00584992" w:rsidRDefault="00BE211D" w:rsidP="005935B9">
      <w:pPr>
        <w:spacing w:line="360" w:lineRule="auto"/>
        <w:jc w:val="both"/>
        <w:rPr>
          <w:rFonts w:ascii="David" w:hAnsi="David" w:cs="David" w:hint="default"/>
          <w:sz w:val="24"/>
          <w:szCs w:val="24"/>
          <w:rtl/>
        </w:rPr>
      </w:pPr>
      <w:r>
        <w:rPr>
          <w:rFonts w:ascii="David" w:hAnsi="David" w:cs="David" w:hint="cs"/>
          <w:sz w:val="24"/>
          <w:szCs w:val="24"/>
          <w:rtl/>
        </w:rPr>
        <w:t>בסיטואציה אחרת</w:t>
      </w:r>
      <w:r w:rsidR="00483773">
        <w:rPr>
          <w:rFonts w:ascii="David" w:hAnsi="David" w:cs="David" w:hint="cs"/>
          <w:sz w:val="24"/>
          <w:szCs w:val="24"/>
          <w:rtl/>
        </w:rPr>
        <w:t>,</w:t>
      </w:r>
      <w:r>
        <w:rPr>
          <w:rFonts w:ascii="David" w:hAnsi="David" w:cs="David" w:hint="cs"/>
          <w:sz w:val="24"/>
          <w:szCs w:val="24"/>
          <w:rtl/>
        </w:rPr>
        <w:t xml:space="preserve"> </w:t>
      </w:r>
      <w:r w:rsidR="0049332C">
        <w:rPr>
          <w:rFonts w:ascii="David" w:hAnsi="David" w:cs="David" w:hint="cs"/>
          <w:sz w:val="24"/>
          <w:szCs w:val="24"/>
          <w:rtl/>
        </w:rPr>
        <w:t xml:space="preserve">כאשר חוק מקצר את תקופת ההתיישנות והוא נכנס לתוקף. </w:t>
      </w:r>
      <w:r w:rsidR="00483773">
        <w:rPr>
          <w:rFonts w:ascii="David" w:hAnsi="David" w:cs="David" w:hint="cs"/>
          <w:sz w:val="24"/>
          <w:szCs w:val="24"/>
          <w:rtl/>
        </w:rPr>
        <w:t xml:space="preserve"> </w:t>
      </w:r>
      <w:r w:rsidR="00A074D5">
        <w:rPr>
          <w:rFonts w:ascii="David" w:hAnsi="David" w:cs="David" w:hint="cs"/>
          <w:sz w:val="24"/>
          <w:szCs w:val="24"/>
          <w:rtl/>
        </w:rPr>
        <w:t>אם טרם חלפה תקופת ההתיישנות שקובע החוק החדש שנכנס לתוקף , הוא יחול באופן אקטיבי.</w:t>
      </w:r>
      <w:r>
        <w:rPr>
          <w:rStyle w:val="a7"/>
          <w:rFonts w:ascii="David" w:hAnsi="David" w:hint="default"/>
          <w:sz w:val="24"/>
          <w:szCs w:val="24"/>
          <w:rtl/>
        </w:rPr>
        <w:footnoteReference w:id="74"/>
      </w:r>
      <w:r w:rsidR="00A074D5">
        <w:rPr>
          <w:rFonts w:ascii="David" w:hAnsi="David" w:cs="David" w:hint="cs"/>
          <w:sz w:val="24"/>
          <w:szCs w:val="24"/>
          <w:rtl/>
        </w:rPr>
        <w:t xml:space="preserve"> במילים אחרות, תביעה שעדיין לא התיישנה לפי החוק הקודם, תקופת ההתיישנות כעת התקצרה וזאת לפי החוק החדש שנכנס לתוקף. מנגד, אם החוק החדש שמקצר את תקופת ההתיישנות נכנס לתוקף אחרי שחלפה תקופת ההתיישנות של החוק החדש, הוא לא יחול בצורה רטרואקטיבית. במקרה כזה, תביעה </w:t>
      </w:r>
      <w:r w:rsidR="005935B9">
        <w:rPr>
          <w:rFonts w:ascii="David" w:hAnsi="David" w:cs="David" w:hint="cs"/>
          <w:sz w:val="24"/>
          <w:szCs w:val="24"/>
          <w:rtl/>
        </w:rPr>
        <w:t>מעין</w:t>
      </w:r>
      <w:r w:rsidR="00A074D5">
        <w:rPr>
          <w:rFonts w:ascii="David" w:hAnsi="David" w:cs="David" w:hint="cs"/>
          <w:sz w:val="24"/>
          <w:szCs w:val="24"/>
          <w:rtl/>
        </w:rPr>
        <w:t xml:space="preserve"> זו תחול לפי תקופת ההתיישנות הקודמת, קרי החוק הישן.</w:t>
      </w:r>
      <w:r>
        <w:rPr>
          <w:rStyle w:val="a7"/>
          <w:rFonts w:ascii="David" w:hAnsi="David" w:hint="default"/>
          <w:sz w:val="24"/>
          <w:szCs w:val="24"/>
          <w:rtl/>
        </w:rPr>
        <w:footnoteReference w:id="75"/>
      </w:r>
      <w:r w:rsidR="00A074D5">
        <w:rPr>
          <w:rFonts w:ascii="David" w:hAnsi="David" w:cs="David" w:hint="cs"/>
          <w:sz w:val="24"/>
          <w:szCs w:val="24"/>
          <w:rtl/>
        </w:rPr>
        <w:t xml:space="preserve"> </w:t>
      </w:r>
    </w:p>
    <w:p w:rsidR="00150D5F" w:rsidRPr="006E68F3" w:rsidRDefault="00BE211D" w:rsidP="005935B9">
      <w:pPr>
        <w:spacing w:line="360" w:lineRule="auto"/>
        <w:jc w:val="both"/>
        <w:rPr>
          <w:rFonts w:ascii="David" w:hAnsi="David" w:cs="David" w:hint="default"/>
          <w:sz w:val="24"/>
          <w:szCs w:val="24"/>
          <w:rtl/>
        </w:rPr>
      </w:pPr>
      <w:r>
        <w:rPr>
          <w:rFonts w:ascii="David" w:hAnsi="David" w:cs="David" w:hint="cs"/>
          <w:sz w:val="24"/>
          <w:szCs w:val="24"/>
          <w:rtl/>
        </w:rPr>
        <w:t xml:space="preserve">אחזור לנסיבות המקרה שלנו, אם תקופת ההתיישנות של החוק החדש טרם התיישן, לצורך הדוגמא נאמר </w:t>
      </w:r>
      <w:r w:rsidR="005935B9">
        <w:rPr>
          <w:rFonts w:ascii="David" w:hAnsi="David" w:cs="David" w:hint="cs"/>
          <w:sz w:val="24"/>
          <w:szCs w:val="24"/>
          <w:rtl/>
        </w:rPr>
        <w:t>חמש</w:t>
      </w:r>
      <w:r>
        <w:rPr>
          <w:rFonts w:ascii="David" w:hAnsi="David" w:cs="David" w:hint="cs"/>
          <w:sz w:val="24"/>
          <w:szCs w:val="24"/>
          <w:rtl/>
        </w:rPr>
        <w:t xml:space="preserve"> שנים, אזי עילת ההורים "ההולדה בעוולה" יתקצר בשנתיים ובכך החוק החדש יחול באופן אקטיבי. </w:t>
      </w:r>
      <w:r w:rsidR="00DA0A77">
        <w:rPr>
          <w:rFonts w:ascii="David" w:hAnsi="David" w:cs="David" w:hint="cs"/>
          <w:sz w:val="24"/>
          <w:szCs w:val="24"/>
          <w:rtl/>
        </w:rPr>
        <w:t xml:space="preserve">אם תקופת ההתיישנות החדשה, קרי </w:t>
      </w:r>
      <w:r w:rsidR="005935B9">
        <w:rPr>
          <w:rFonts w:ascii="David" w:hAnsi="David" w:cs="David" w:hint="cs"/>
          <w:sz w:val="24"/>
          <w:szCs w:val="24"/>
          <w:rtl/>
        </w:rPr>
        <w:t>חמש</w:t>
      </w:r>
      <w:r w:rsidR="00DA0A77">
        <w:rPr>
          <w:rFonts w:ascii="David" w:hAnsi="David" w:cs="David" w:hint="cs"/>
          <w:sz w:val="24"/>
          <w:szCs w:val="24"/>
          <w:rtl/>
        </w:rPr>
        <w:t xml:space="preserve"> שנים נכנס לתוקף לאחר חלוף </w:t>
      </w:r>
      <w:r w:rsidR="005935B9">
        <w:rPr>
          <w:rFonts w:ascii="David" w:hAnsi="David" w:cs="David" w:hint="cs"/>
          <w:sz w:val="24"/>
          <w:szCs w:val="24"/>
          <w:rtl/>
        </w:rPr>
        <w:t>שבע</w:t>
      </w:r>
      <w:r w:rsidR="00DA0A77">
        <w:rPr>
          <w:rFonts w:ascii="David" w:hAnsi="David" w:cs="David" w:hint="cs"/>
          <w:sz w:val="24"/>
          <w:szCs w:val="24"/>
          <w:rtl/>
        </w:rPr>
        <w:t xml:space="preserve"> שנים שזוהי התיישנות עילת "ההולדה בעוולה", הוא אינו יחול בצורה רטרואקטיבית ומכאן שתקופת ההתיישנות הישנה, קרי </w:t>
      </w:r>
      <w:r w:rsidR="005935B9">
        <w:rPr>
          <w:rFonts w:ascii="David" w:hAnsi="David" w:cs="David" w:hint="cs"/>
          <w:sz w:val="24"/>
          <w:szCs w:val="24"/>
          <w:rtl/>
        </w:rPr>
        <w:t>שבע</w:t>
      </w:r>
      <w:r w:rsidR="00DA0A77">
        <w:rPr>
          <w:rFonts w:ascii="David" w:hAnsi="David" w:cs="David" w:hint="cs"/>
          <w:sz w:val="24"/>
          <w:szCs w:val="24"/>
          <w:rtl/>
        </w:rPr>
        <w:t xml:space="preserve"> שנים תותר על כנה. </w:t>
      </w:r>
    </w:p>
    <w:p w:rsidR="00150D5F" w:rsidRPr="005F1B62" w:rsidRDefault="00BE211D" w:rsidP="00FE563C">
      <w:pPr>
        <w:rPr>
          <w:rFonts w:ascii="David" w:hAnsi="David" w:cs="David" w:hint="default"/>
          <w:b/>
          <w:bCs/>
          <w:sz w:val="24"/>
          <w:szCs w:val="24"/>
          <w:u w:val="single"/>
          <w:rtl/>
        </w:rPr>
      </w:pPr>
      <w:r w:rsidRPr="005F1B62">
        <w:rPr>
          <w:rFonts w:ascii="David" w:hAnsi="David" w:cs="David" w:hint="cs"/>
          <w:b/>
          <w:bCs/>
          <w:sz w:val="24"/>
          <w:szCs w:val="24"/>
          <w:u w:val="single"/>
          <w:rtl/>
        </w:rPr>
        <w:t>ב</w:t>
      </w:r>
      <w:r w:rsidR="00FE563C">
        <w:rPr>
          <w:rFonts w:ascii="David" w:hAnsi="David" w:cs="David" w:hint="cs"/>
          <w:b/>
          <w:bCs/>
          <w:sz w:val="24"/>
          <w:szCs w:val="24"/>
          <w:u w:val="single"/>
          <w:rtl/>
        </w:rPr>
        <w:t>3</w:t>
      </w:r>
      <w:r w:rsidRPr="005F1B62">
        <w:rPr>
          <w:rFonts w:ascii="David" w:hAnsi="David" w:cs="David" w:hint="cs"/>
          <w:b/>
          <w:bCs/>
          <w:sz w:val="24"/>
          <w:szCs w:val="24"/>
          <w:u w:val="single"/>
          <w:rtl/>
        </w:rPr>
        <w:t>. חוק הנזיקים האזרחיים (אחריות המדינה), התשי"ב -1952</w:t>
      </w:r>
    </w:p>
    <w:p w:rsidR="006E68F3" w:rsidRPr="005F1B62" w:rsidRDefault="00BE211D" w:rsidP="006B4383">
      <w:pPr>
        <w:spacing w:line="360" w:lineRule="auto"/>
        <w:jc w:val="both"/>
        <w:rPr>
          <w:rFonts w:ascii="David" w:hAnsi="David" w:cs="David" w:hint="default"/>
          <w:b/>
          <w:bCs/>
          <w:sz w:val="24"/>
          <w:szCs w:val="24"/>
          <w:u w:val="single"/>
          <w:rtl/>
        </w:rPr>
      </w:pPr>
      <w:r w:rsidRPr="005F1B62">
        <w:rPr>
          <w:rFonts w:ascii="David" w:hAnsi="David" w:cs="David" w:hint="cs"/>
          <w:sz w:val="24"/>
          <w:szCs w:val="24"/>
          <w:rtl/>
        </w:rPr>
        <w:t xml:space="preserve">ס' 5א (3) לחוק קובע כי </w:t>
      </w:r>
      <w:r w:rsidR="006B4383">
        <w:rPr>
          <w:rFonts w:ascii="David" w:hAnsi="David" w:cs="David" w:hint="cs"/>
          <w:sz w:val="24"/>
          <w:szCs w:val="24"/>
          <w:rtl/>
        </w:rPr>
        <w:t>ביהמ"ש</w:t>
      </w:r>
      <w:r w:rsidRPr="005F1B62">
        <w:rPr>
          <w:rFonts w:ascii="David" w:hAnsi="David" w:cs="David" w:hint="cs"/>
          <w:sz w:val="24"/>
          <w:szCs w:val="24"/>
          <w:rtl/>
        </w:rPr>
        <w:t xml:space="preserve"> לא ידון בתובענה שהוגשה לאחר שחלפו שנתיים מיום המעשה של אותו נושא תביעה. אך, </w:t>
      </w:r>
      <w:r w:rsidR="006B4383">
        <w:rPr>
          <w:rFonts w:ascii="David" w:hAnsi="David" w:cs="David" w:hint="cs"/>
          <w:sz w:val="24"/>
          <w:szCs w:val="24"/>
          <w:rtl/>
        </w:rPr>
        <w:t>ביהמ"ש</w:t>
      </w:r>
      <w:r w:rsidRPr="005F1B62">
        <w:rPr>
          <w:rFonts w:ascii="David" w:hAnsi="David" w:cs="David" w:hint="cs"/>
          <w:sz w:val="24"/>
          <w:szCs w:val="24"/>
          <w:rtl/>
        </w:rPr>
        <w:t xml:space="preserve"> רשאי אם שוכנע שלא הייתה לתובע אפשרות סבירה להגיש את תביעתו במשך תקופה זו, להאריך בתקופה נוספת שלא תעלה על שנה אחת, בנסיבות בהם היה התובע קטין ביום המעשה.</w:t>
      </w:r>
      <w:r>
        <w:rPr>
          <w:rStyle w:val="a7"/>
          <w:rFonts w:ascii="David" w:hAnsi="David" w:hint="default"/>
          <w:sz w:val="24"/>
          <w:szCs w:val="24"/>
          <w:rtl/>
        </w:rPr>
        <w:footnoteReference w:id="76"/>
      </w:r>
      <w:r w:rsidRPr="005F1B62">
        <w:rPr>
          <w:rFonts w:ascii="David" w:hAnsi="David" w:cs="David" w:hint="cs"/>
          <w:sz w:val="24"/>
          <w:szCs w:val="24"/>
          <w:rtl/>
        </w:rPr>
        <w:t xml:space="preserve"> </w:t>
      </w:r>
    </w:p>
    <w:p w:rsidR="009D0BCE" w:rsidRDefault="00BE211D" w:rsidP="008F73E6">
      <w:pPr>
        <w:spacing w:line="360" w:lineRule="auto"/>
        <w:jc w:val="both"/>
        <w:rPr>
          <w:rFonts w:ascii="David" w:hAnsi="David" w:cs="David" w:hint="default"/>
          <w:sz w:val="24"/>
          <w:szCs w:val="24"/>
          <w:rtl/>
        </w:rPr>
      </w:pPr>
      <w:r>
        <w:rPr>
          <w:rFonts w:ascii="David" w:hAnsi="David" w:cs="David" w:hint="cs"/>
          <w:sz w:val="24"/>
          <w:szCs w:val="24"/>
          <w:rtl/>
        </w:rPr>
        <w:t>ה</w:t>
      </w:r>
      <w:r w:rsidR="00D71681" w:rsidRPr="005F1B62">
        <w:rPr>
          <w:rFonts w:ascii="David" w:hAnsi="David" w:cs="David" w:hint="cs"/>
          <w:sz w:val="24"/>
          <w:szCs w:val="24"/>
          <w:rtl/>
        </w:rPr>
        <w:t>סעיף</w:t>
      </w:r>
      <w:r w:rsidR="00847A75">
        <w:rPr>
          <w:rFonts w:ascii="David" w:hAnsi="David" w:cs="David" w:hint="cs"/>
          <w:sz w:val="24"/>
          <w:szCs w:val="24"/>
          <w:rtl/>
        </w:rPr>
        <w:t xml:space="preserve"> קובע שתי מגבלות של הגשת תביעה נגד המדינה בשל נזקים שגרמו כוחות המדינה באזורי חבל עזה, יהודה ושומרון: מגבלה ראשונה, על המדינה חלה חובה להודיע על אותו המעשה של התובענה במגבלת הזמנים אשר קבועה בסעיף, זאת כתנאי להזדקקות </w:t>
      </w:r>
      <w:r w:rsidR="008F73E6">
        <w:rPr>
          <w:rFonts w:ascii="David" w:hAnsi="David" w:cs="David" w:hint="cs"/>
          <w:sz w:val="24"/>
          <w:szCs w:val="24"/>
          <w:rtl/>
        </w:rPr>
        <w:t>ביהמ"ש</w:t>
      </w:r>
      <w:r w:rsidR="00847A75">
        <w:rPr>
          <w:rFonts w:ascii="David" w:hAnsi="David" w:cs="David" w:hint="cs"/>
          <w:sz w:val="24"/>
          <w:szCs w:val="24"/>
          <w:rtl/>
        </w:rPr>
        <w:t xml:space="preserve"> לתביעה.</w:t>
      </w:r>
      <w:r>
        <w:rPr>
          <w:rStyle w:val="a7"/>
          <w:rFonts w:ascii="David" w:hAnsi="David" w:hint="default"/>
          <w:sz w:val="24"/>
          <w:szCs w:val="24"/>
          <w:rtl/>
        </w:rPr>
        <w:footnoteReference w:id="77"/>
      </w:r>
      <w:r w:rsidR="00847A75">
        <w:rPr>
          <w:rFonts w:ascii="David" w:hAnsi="David" w:cs="David" w:hint="cs"/>
          <w:sz w:val="24"/>
          <w:szCs w:val="24"/>
          <w:rtl/>
        </w:rPr>
        <w:t xml:space="preserve"> מגבלה שנייה,</w:t>
      </w:r>
      <w:r w:rsidR="00D71681" w:rsidRPr="005F1B62">
        <w:rPr>
          <w:rFonts w:ascii="David" w:hAnsi="David" w:cs="David" w:hint="cs"/>
          <w:sz w:val="24"/>
          <w:szCs w:val="24"/>
          <w:rtl/>
        </w:rPr>
        <w:t xml:space="preserve"> </w:t>
      </w:r>
      <w:r w:rsidR="00D71681">
        <w:rPr>
          <w:rFonts w:ascii="David" w:hAnsi="David" w:cs="David" w:hint="cs"/>
          <w:sz w:val="24"/>
          <w:szCs w:val="24"/>
          <w:rtl/>
        </w:rPr>
        <w:t xml:space="preserve">לפי הסעיף ניתן לראות כי תקופת ההתיישנות היא בת שנתיים מיום המעשה נשוא התובענה, אך הסעיף מקנה </w:t>
      </w:r>
      <w:r w:rsidR="006B4383">
        <w:rPr>
          <w:rFonts w:ascii="David" w:hAnsi="David" w:cs="David" w:hint="cs"/>
          <w:sz w:val="24"/>
          <w:szCs w:val="24"/>
          <w:rtl/>
        </w:rPr>
        <w:t>לביהמ"ש</w:t>
      </w:r>
      <w:r w:rsidR="00D71681">
        <w:rPr>
          <w:rFonts w:ascii="David" w:hAnsi="David" w:cs="David" w:hint="cs"/>
          <w:sz w:val="24"/>
          <w:szCs w:val="24"/>
          <w:rtl/>
        </w:rPr>
        <w:t xml:space="preserve"> שיקול דעת אם שוכנע כי </w:t>
      </w:r>
      <w:r>
        <w:rPr>
          <w:rFonts w:ascii="David" w:hAnsi="David" w:cs="David" w:hint="cs"/>
          <w:sz w:val="24"/>
          <w:szCs w:val="24"/>
          <w:rtl/>
        </w:rPr>
        <w:t>לתובע</w:t>
      </w:r>
      <w:r w:rsidR="00D71681">
        <w:rPr>
          <w:rFonts w:ascii="David" w:hAnsi="David" w:cs="David" w:hint="cs"/>
          <w:sz w:val="24"/>
          <w:szCs w:val="24"/>
          <w:rtl/>
        </w:rPr>
        <w:t xml:space="preserve"> לא הייתה אפשרות סבירה להגיש את תביעתו בתוך התקופה המדוברת, ואם התובע היה קטין רשאי להאריך את תקופת ההתיישנות</w:t>
      </w:r>
      <w:r w:rsidR="00DF3336">
        <w:rPr>
          <w:rFonts w:ascii="David" w:hAnsi="David" w:cs="David" w:hint="cs"/>
          <w:sz w:val="24"/>
          <w:szCs w:val="24"/>
          <w:rtl/>
        </w:rPr>
        <w:t xml:space="preserve"> לשלוש</w:t>
      </w:r>
      <w:r w:rsidR="00D71681">
        <w:rPr>
          <w:rFonts w:ascii="David" w:hAnsi="David" w:cs="David" w:hint="cs"/>
          <w:sz w:val="24"/>
          <w:szCs w:val="24"/>
          <w:rtl/>
        </w:rPr>
        <w:t xml:space="preserve"> שנים.</w:t>
      </w:r>
      <w:r>
        <w:rPr>
          <w:rStyle w:val="a7"/>
          <w:rFonts w:ascii="David" w:hAnsi="David" w:hint="default"/>
          <w:sz w:val="24"/>
          <w:szCs w:val="24"/>
          <w:rtl/>
        </w:rPr>
        <w:footnoteReference w:id="78"/>
      </w:r>
    </w:p>
    <w:p w:rsidR="00B80DC6" w:rsidRDefault="00BE211D" w:rsidP="008F73E6">
      <w:pPr>
        <w:spacing w:line="360" w:lineRule="auto"/>
        <w:jc w:val="both"/>
        <w:rPr>
          <w:rFonts w:ascii="David" w:hAnsi="David" w:cs="David" w:hint="default"/>
          <w:sz w:val="24"/>
          <w:szCs w:val="24"/>
          <w:rtl/>
        </w:rPr>
      </w:pPr>
      <w:r>
        <w:rPr>
          <w:rFonts w:ascii="David" w:hAnsi="David" w:cs="David" w:hint="cs"/>
          <w:sz w:val="24"/>
          <w:szCs w:val="24"/>
          <w:rtl/>
        </w:rPr>
        <w:lastRenderedPageBreak/>
        <w:t xml:space="preserve"> </w:t>
      </w:r>
      <w:r w:rsidRPr="005F1B62">
        <w:rPr>
          <w:rFonts w:ascii="David" w:hAnsi="David" w:cs="David" w:hint="cs"/>
          <w:sz w:val="24"/>
          <w:szCs w:val="24"/>
          <w:rtl/>
        </w:rPr>
        <w:t>זה קובע אפוא כי התיישנות דיונית תחלוף "שנתיים מיום המעשה נושא התובענה."</w:t>
      </w:r>
      <w:r>
        <w:rPr>
          <w:rStyle w:val="a7"/>
          <w:rFonts w:ascii="David" w:hAnsi="David" w:hint="default"/>
          <w:sz w:val="24"/>
          <w:szCs w:val="24"/>
          <w:rtl/>
        </w:rPr>
        <w:footnoteReference w:id="79"/>
      </w:r>
      <w:r w:rsidR="005211B6" w:rsidRPr="005F1B62">
        <w:rPr>
          <w:rFonts w:ascii="David" w:hAnsi="David" w:cs="David" w:hint="cs"/>
          <w:sz w:val="24"/>
          <w:szCs w:val="24"/>
          <w:rtl/>
        </w:rPr>
        <w:t xml:space="preserve"> ניתן ללמוד מכך כי מרוץ ההתיישנות של התביעה </w:t>
      </w:r>
      <w:r w:rsidR="005F1B62" w:rsidRPr="005F1B62">
        <w:rPr>
          <w:rFonts w:ascii="David" w:hAnsi="David" w:cs="David" w:hint="cs"/>
          <w:sz w:val="24"/>
          <w:szCs w:val="24"/>
          <w:rtl/>
        </w:rPr>
        <w:t>ייפתח עם קרות המעשה שגרם לנזק, ללא צורך בתלות של מועד התגבשות הנזק, זאת גם כאשר הנזק הוא יסוד מיסודות העוולה הרלוונטית.</w:t>
      </w:r>
      <w:r>
        <w:rPr>
          <w:rStyle w:val="a7"/>
          <w:rFonts w:ascii="David" w:hAnsi="David" w:hint="default"/>
          <w:sz w:val="24"/>
          <w:szCs w:val="24"/>
          <w:rtl/>
        </w:rPr>
        <w:footnoteReference w:id="80"/>
      </w:r>
      <w:r w:rsidR="005F1B62">
        <w:rPr>
          <w:rFonts w:ascii="David" w:hAnsi="David" w:cs="David" w:hint="cs"/>
          <w:sz w:val="24"/>
          <w:szCs w:val="24"/>
          <w:rtl/>
        </w:rPr>
        <w:t xml:space="preserve"> </w:t>
      </w:r>
      <w:r w:rsidR="0075162B">
        <w:rPr>
          <w:rFonts w:ascii="David" w:hAnsi="David" w:cs="David" w:hint="cs"/>
          <w:sz w:val="24"/>
          <w:szCs w:val="24"/>
          <w:rtl/>
        </w:rPr>
        <w:t>בעניין נבילי</w:t>
      </w:r>
      <w:r w:rsidR="00D54EBC">
        <w:rPr>
          <w:rFonts w:ascii="David" w:hAnsi="David" w:cs="David" w:hint="cs"/>
          <w:sz w:val="24"/>
          <w:szCs w:val="24"/>
          <w:rtl/>
        </w:rPr>
        <w:t xml:space="preserve"> נקבע בעניין החוק שצוין לעיל בנוגע להתיישנות תביעת קטין כי האחרון מוציא את עילת ההשעיה הקבועה בסעיף 10 לחוק ההתיישנות.</w:t>
      </w:r>
      <w:r>
        <w:rPr>
          <w:rStyle w:val="a7"/>
          <w:rFonts w:ascii="David" w:hAnsi="David" w:hint="default"/>
          <w:sz w:val="24"/>
          <w:szCs w:val="24"/>
          <w:rtl/>
        </w:rPr>
        <w:footnoteReference w:id="81"/>
      </w:r>
      <w:r w:rsidR="00D54EBC">
        <w:rPr>
          <w:rFonts w:ascii="David" w:hAnsi="David" w:cs="David" w:hint="cs"/>
          <w:sz w:val="24"/>
          <w:szCs w:val="24"/>
          <w:rtl/>
        </w:rPr>
        <w:t xml:space="preserve"> </w:t>
      </w:r>
      <w:r w:rsidR="0075162B">
        <w:rPr>
          <w:rFonts w:ascii="David" w:hAnsi="David" w:cs="David" w:hint="cs"/>
          <w:sz w:val="24"/>
          <w:szCs w:val="24"/>
          <w:rtl/>
        </w:rPr>
        <w:t xml:space="preserve">לפי </w:t>
      </w:r>
      <w:r w:rsidR="00B914C5">
        <w:rPr>
          <w:rFonts w:ascii="David" w:hAnsi="David" w:cs="David" w:hint="cs"/>
          <w:sz w:val="24"/>
          <w:szCs w:val="24"/>
          <w:rtl/>
        </w:rPr>
        <w:t>סעיף 15 לחוק ההתיישנות עילת ההשעיה אינה חלה במקביל לחוק זה.</w:t>
      </w:r>
      <w:r>
        <w:rPr>
          <w:rStyle w:val="a7"/>
          <w:rFonts w:ascii="David" w:hAnsi="David" w:hint="default"/>
          <w:sz w:val="24"/>
          <w:szCs w:val="24"/>
          <w:rtl/>
        </w:rPr>
        <w:footnoteReference w:id="82"/>
      </w:r>
      <w:r w:rsidR="00B914C5">
        <w:rPr>
          <w:rFonts w:ascii="David" w:hAnsi="David" w:cs="David" w:hint="cs"/>
          <w:sz w:val="24"/>
          <w:szCs w:val="24"/>
          <w:rtl/>
        </w:rPr>
        <w:t xml:space="preserve"> </w:t>
      </w:r>
      <w:r w:rsidR="00A61DAF">
        <w:rPr>
          <w:rFonts w:ascii="David" w:hAnsi="David" w:cs="David" w:hint="cs"/>
          <w:sz w:val="24"/>
          <w:szCs w:val="24"/>
          <w:rtl/>
        </w:rPr>
        <w:t>רווחה הדעה בפסיקה כי סעיף 8 לחוק ההתיישנות,</w:t>
      </w:r>
      <w:r>
        <w:rPr>
          <w:rStyle w:val="a7"/>
          <w:rFonts w:ascii="David" w:hAnsi="David" w:hint="default"/>
          <w:sz w:val="24"/>
          <w:szCs w:val="24"/>
          <w:rtl/>
        </w:rPr>
        <w:footnoteReference w:id="83"/>
      </w:r>
      <w:r w:rsidR="00A61DAF">
        <w:rPr>
          <w:rFonts w:ascii="David" w:hAnsi="David" w:cs="David" w:hint="cs"/>
          <w:sz w:val="24"/>
          <w:szCs w:val="24"/>
          <w:rtl/>
        </w:rPr>
        <w:t xml:space="preserve"> בדומה ליתר עילות ההשעיה והארכה אינן חלות עליו.</w:t>
      </w:r>
      <w:r>
        <w:rPr>
          <w:rStyle w:val="a7"/>
          <w:rFonts w:ascii="David" w:hAnsi="David" w:hint="default"/>
          <w:sz w:val="24"/>
          <w:szCs w:val="24"/>
          <w:rtl/>
        </w:rPr>
        <w:footnoteReference w:id="84"/>
      </w:r>
      <w:r w:rsidR="001863E2">
        <w:rPr>
          <w:rFonts w:ascii="David" w:hAnsi="David" w:cs="David" w:hint="cs"/>
          <w:sz w:val="24"/>
          <w:szCs w:val="24"/>
          <w:rtl/>
        </w:rPr>
        <w:t xml:space="preserve"> בהרכב </w:t>
      </w:r>
      <w:r w:rsidR="0075162B">
        <w:rPr>
          <w:rFonts w:ascii="David" w:hAnsi="David" w:cs="David" w:hint="cs"/>
          <w:sz w:val="24"/>
          <w:szCs w:val="24"/>
          <w:rtl/>
        </w:rPr>
        <w:t>מורחב</w:t>
      </w:r>
      <w:r w:rsidR="001863E2">
        <w:rPr>
          <w:rFonts w:ascii="David" w:hAnsi="David" w:cs="David" w:hint="cs"/>
          <w:sz w:val="24"/>
          <w:szCs w:val="24"/>
          <w:rtl/>
        </w:rPr>
        <w:t xml:space="preserve"> של </w:t>
      </w:r>
      <w:r w:rsidR="008F73E6">
        <w:rPr>
          <w:rFonts w:ascii="David" w:hAnsi="David" w:cs="David" w:hint="cs"/>
          <w:sz w:val="24"/>
          <w:szCs w:val="24"/>
          <w:rtl/>
        </w:rPr>
        <w:t>ביהמ"ש</w:t>
      </w:r>
      <w:r w:rsidR="001863E2">
        <w:rPr>
          <w:rFonts w:ascii="David" w:hAnsi="David" w:cs="David" w:hint="cs"/>
          <w:sz w:val="24"/>
          <w:szCs w:val="24"/>
          <w:rtl/>
        </w:rPr>
        <w:t xml:space="preserve"> העליון נדחתה הטענה כי סעיף 5א לחוק הנזיקים האזרחיים אינו חוקתי.</w:t>
      </w:r>
      <w:r>
        <w:rPr>
          <w:rStyle w:val="a7"/>
          <w:rFonts w:ascii="David" w:hAnsi="David" w:hint="default"/>
          <w:sz w:val="24"/>
          <w:szCs w:val="24"/>
          <w:rtl/>
        </w:rPr>
        <w:footnoteReference w:id="85"/>
      </w:r>
    </w:p>
    <w:p w:rsidR="007F2A18" w:rsidRPr="00B80DC6" w:rsidRDefault="00BE211D" w:rsidP="0075162B">
      <w:pPr>
        <w:spacing w:line="360" w:lineRule="auto"/>
        <w:jc w:val="both"/>
        <w:rPr>
          <w:rFonts w:ascii="David" w:hAnsi="David" w:cs="David" w:hint="default"/>
          <w:sz w:val="24"/>
          <w:szCs w:val="24"/>
          <w:rtl/>
        </w:rPr>
      </w:pPr>
      <w:r>
        <w:rPr>
          <w:rFonts w:ascii="David" w:hAnsi="David" w:cs="David" w:hint="cs"/>
          <w:sz w:val="24"/>
          <w:szCs w:val="24"/>
          <w:rtl/>
        </w:rPr>
        <w:t>כפי שניתן לראות בפרק זה בעיית ההתיישנות מרחפת</w:t>
      </w:r>
      <w:r w:rsidR="0075162B">
        <w:rPr>
          <w:rFonts w:ascii="David" w:hAnsi="David" w:cs="David" w:hint="cs"/>
          <w:sz w:val="24"/>
          <w:szCs w:val="24"/>
          <w:rtl/>
        </w:rPr>
        <w:t xml:space="preserve"> כל</w:t>
      </w:r>
      <w:r>
        <w:rPr>
          <w:rFonts w:ascii="David" w:hAnsi="David" w:cs="David" w:hint="cs"/>
          <w:sz w:val="24"/>
          <w:szCs w:val="24"/>
          <w:rtl/>
        </w:rPr>
        <w:t xml:space="preserve"> עת. היא זו שעשויה להוביל למקום בו תישלל מההורים זכותם להגשת תובענה. לא הפסיקה וגם לא החקיקה לא פתרון </w:t>
      </w:r>
      <w:r w:rsidR="0075162B">
        <w:rPr>
          <w:rFonts w:ascii="David" w:hAnsi="David" w:cs="David" w:hint="cs"/>
          <w:sz w:val="24"/>
          <w:szCs w:val="24"/>
          <w:rtl/>
        </w:rPr>
        <w:t>ל</w:t>
      </w:r>
      <w:r>
        <w:rPr>
          <w:rFonts w:ascii="David" w:hAnsi="David" w:cs="David" w:hint="cs"/>
          <w:sz w:val="24"/>
          <w:szCs w:val="24"/>
          <w:rtl/>
        </w:rPr>
        <w:t>בעיה זאת.</w:t>
      </w:r>
      <w:r w:rsidR="008F2A73">
        <w:rPr>
          <w:rFonts w:ascii="David" w:hAnsi="David" w:cs="David" w:hint="cs"/>
          <w:sz w:val="24"/>
          <w:szCs w:val="24"/>
          <w:rtl/>
        </w:rPr>
        <w:t xml:space="preserve"> אין להתעלם מכך כי התגבשות עילת התביעה של ההורים, כאמור שבע שנים</w:t>
      </w:r>
      <w:r w:rsidR="0075162B">
        <w:rPr>
          <w:rFonts w:ascii="David" w:hAnsi="David" w:cs="David" w:hint="cs"/>
          <w:sz w:val="24"/>
          <w:szCs w:val="24"/>
          <w:rtl/>
        </w:rPr>
        <w:t>,</w:t>
      </w:r>
      <w:r w:rsidR="008F2A73">
        <w:rPr>
          <w:rFonts w:ascii="David" w:hAnsi="David" w:cs="David" w:hint="cs"/>
          <w:sz w:val="24"/>
          <w:szCs w:val="24"/>
          <w:rtl/>
        </w:rPr>
        <w:t xml:space="preserve"> אין בה כל דמיון להתגבשות העילה השל היילוד כעשרים וחמש שנה שניתן באמצעות תביעתו לפרוס תמונה מלאה יותר </w:t>
      </w:r>
      <w:r w:rsidR="0075162B">
        <w:rPr>
          <w:rFonts w:ascii="David" w:hAnsi="David" w:cs="David" w:hint="cs"/>
          <w:sz w:val="24"/>
          <w:szCs w:val="24"/>
          <w:rtl/>
        </w:rPr>
        <w:t>מזו</w:t>
      </w:r>
      <w:r w:rsidR="008F2A73">
        <w:rPr>
          <w:rFonts w:ascii="David" w:hAnsi="David" w:cs="David" w:hint="cs"/>
          <w:sz w:val="24"/>
          <w:szCs w:val="24"/>
          <w:rtl/>
        </w:rPr>
        <w:t xml:space="preserve"> משל ההורים. תביעה זו של היילוד עשויה להעלות קשיים התפתחותיים ומומים נוספים עתידיים</w:t>
      </w:r>
      <w:r w:rsidR="0075162B">
        <w:rPr>
          <w:rFonts w:ascii="David" w:hAnsi="David" w:cs="David" w:hint="cs"/>
          <w:sz w:val="24"/>
          <w:szCs w:val="24"/>
          <w:rtl/>
        </w:rPr>
        <w:t>,</w:t>
      </w:r>
      <w:r w:rsidR="008F2A73">
        <w:rPr>
          <w:rFonts w:ascii="David" w:hAnsi="David" w:cs="David" w:hint="cs"/>
          <w:sz w:val="24"/>
          <w:szCs w:val="24"/>
          <w:rtl/>
        </w:rPr>
        <w:t xml:space="preserve"> שלא ניתן לצפות בעילת ההורים תוך שבע שנים בלבד.</w:t>
      </w:r>
      <w:r>
        <w:rPr>
          <w:rFonts w:ascii="David" w:hAnsi="David" w:cs="David" w:hint="cs"/>
          <w:sz w:val="24"/>
          <w:szCs w:val="24"/>
          <w:rtl/>
        </w:rPr>
        <w:t xml:space="preserve"> לדידי, על הרשות המח</w:t>
      </w:r>
      <w:r>
        <w:rPr>
          <w:rFonts w:ascii="David" w:hAnsi="David" w:cs="David" w:hint="cs"/>
          <w:sz w:val="24"/>
          <w:szCs w:val="24"/>
          <w:rtl/>
        </w:rPr>
        <w:t xml:space="preserve">וקקת לשקול סעיף סל של הקפאת תקופת ההתיישנות במקרים מיוחדים </w:t>
      </w:r>
      <w:r w:rsidR="0075162B">
        <w:rPr>
          <w:rFonts w:ascii="David" w:hAnsi="David" w:cs="David" w:hint="cs"/>
          <w:sz w:val="24"/>
          <w:szCs w:val="24"/>
          <w:rtl/>
        </w:rPr>
        <w:t>מעין</w:t>
      </w:r>
      <w:r>
        <w:rPr>
          <w:rFonts w:ascii="David" w:hAnsi="David" w:cs="David" w:hint="cs"/>
          <w:sz w:val="24"/>
          <w:szCs w:val="24"/>
          <w:rtl/>
        </w:rPr>
        <w:t xml:space="preserve"> </w:t>
      </w:r>
      <w:r w:rsidR="0075162B">
        <w:rPr>
          <w:rFonts w:ascii="David" w:hAnsi="David" w:cs="David" w:hint="cs"/>
          <w:sz w:val="24"/>
          <w:szCs w:val="24"/>
          <w:rtl/>
        </w:rPr>
        <w:t>אלה</w:t>
      </w:r>
      <w:r>
        <w:rPr>
          <w:rFonts w:ascii="David" w:hAnsi="David" w:cs="David" w:hint="cs"/>
          <w:sz w:val="24"/>
          <w:szCs w:val="24"/>
          <w:rtl/>
        </w:rPr>
        <w:t xml:space="preserve"> בהם המשפחה לא תזכה לסעד ראוי.</w:t>
      </w:r>
    </w:p>
    <w:p w:rsidR="0069570F" w:rsidRDefault="00BE211D">
      <w:pPr>
        <w:rPr>
          <w:rFonts w:ascii="David" w:hAnsi="David" w:cs="David" w:hint="default"/>
          <w:b/>
          <w:bCs/>
          <w:sz w:val="24"/>
          <w:szCs w:val="24"/>
          <w:u w:val="single"/>
          <w:rtl/>
        </w:rPr>
      </w:pPr>
      <w:r w:rsidRPr="0069570F">
        <w:rPr>
          <w:rFonts w:ascii="David" w:hAnsi="David" w:cs="David" w:hint="cs"/>
          <w:b/>
          <w:bCs/>
          <w:sz w:val="24"/>
          <w:szCs w:val="24"/>
          <w:u w:val="single"/>
          <w:rtl/>
        </w:rPr>
        <w:t xml:space="preserve">פרק ג' </w:t>
      </w:r>
      <w:r w:rsidRPr="0069570F">
        <w:rPr>
          <w:rFonts w:ascii="David" w:hAnsi="David" w:cs="David" w:hint="default"/>
          <w:b/>
          <w:bCs/>
          <w:sz w:val="24"/>
          <w:szCs w:val="24"/>
          <w:u w:val="single"/>
          <w:rtl/>
        </w:rPr>
        <w:t>–</w:t>
      </w:r>
      <w:r w:rsidRPr="0069570F">
        <w:rPr>
          <w:rFonts w:ascii="David" w:hAnsi="David" w:cs="David" w:hint="cs"/>
          <w:b/>
          <w:bCs/>
          <w:sz w:val="24"/>
          <w:szCs w:val="24"/>
          <w:u w:val="single"/>
          <w:rtl/>
        </w:rPr>
        <w:t xml:space="preserve"> אחריות המדינה</w:t>
      </w:r>
    </w:p>
    <w:p w:rsidR="0069570F" w:rsidRDefault="00BE211D" w:rsidP="000A00E3">
      <w:pPr>
        <w:spacing w:line="360" w:lineRule="auto"/>
        <w:jc w:val="both"/>
        <w:rPr>
          <w:rFonts w:ascii="David" w:hAnsi="David" w:cs="David" w:hint="default"/>
          <w:sz w:val="24"/>
          <w:szCs w:val="24"/>
          <w:rtl/>
        </w:rPr>
      </w:pPr>
      <w:r>
        <w:rPr>
          <w:rFonts w:ascii="David" w:hAnsi="David" w:cs="David" w:hint="cs"/>
          <w:sz w:val="24"/>
          <w:szCs w:val="24"/>
          <w:rtl/>
        </w:rPr>
        <w:t>בפס"ד גורדון נקבע כי "עקרון השוויון בפני החוק מחייב הטלת אחריות ברשלנות על הרשות הציבורית על פי אותן אמות מידה כמו על הפרט".</w:t>
      </w:r>
      <w:r>
        <w:rPr>
          <w:rStyle w:val="a7"/>
          <w:rFonts w:ascii="David" w:hAnsi="David" w:hint="default"/>
          <w:sz w:val="24"/>
          <w:szCs w:val="24"/>
          <w:rtl/>
        </w:rPr>
        <w:footnoteReference w:id="86"/>
      </w:r>
      <w:r w:rsidR="00816CD3">
        <w:rPr>
          <w:rFonts w:ascii="David" w:hAnsi="David" w:cs="David" w:hint="cs"/>
          <w:sz w:val="24"/>
          <w:szCs w:val="24"/>
          <w:rtl/>
        </w:rPr>
        <w:t xml:space="preserve"> ניתן לראות בהשקפה זאת כי לא קיים שוני בין אזרח רגיל לבין המדינה, לכן מוטלת על שניהם</w:t>
      </w:r>
      <w:r w:rsidR="00435A1D">
        <w:rPr>
          <w:rFonts w:ascii="David" w:hAnsi="David" w:cs="David" w:hint="cs"/>
          <w:sz w:val="24"/>
          <w:szCs w:val="24"/>
          <w:rtl/>
        </w:rPr>
        <w:t xml:space="preserve"> כאחד</w:t>
      </w:r>
      <w:r w:rsidR="00816CD3">
        <w:rPr>
          <w:rFonts w:ascii="David" w:hAnsi="David" w:cs="David" w:hint="cs"/>
          <w:sz w:val="24"/>
          <w:szCs w:val="24"/>
          <w:rtl/>
        </w:rPr>
        <w:t xml:space="preserve"> לנהוג בזהירות ובהיעדר רשלנות ביחסיהם עם הזולת. </w:t>
      </w:r>
      <w:r w:rsidR="0009255E">
        <w:rPr>
          <w:rFonts w:ascii="David" w:hAnsi="David" w:cs="David" w:hint="cs"/>
          <w:sz w:val="24"/>
          <w:szCs w:val="24"/>
          <w:rtl/>
        </w:rPr>
        <w:t>אם המדינה או אחד משלוחיה</w:t>
      </w:r>
      <w:r w:rsidR="00CC2F3E">
        <w:rPr>
          <w:rFonts w:ascii="David" w:hAnsi="David" w:cs="David" w:hint="cs"/>
          <w:sz w:val="24"/>
          <w:szCs w:val="24"/>
          <w:rtl/>
        </w:rPr>
        <w:t xml:space="preserve"> גרמו ברשלנות</w:t>
      </w:r>
      <w:r w:rsidR="0009255E">
        <w:rPr>
          <w:rFonts w:ascii="David" w:hAnsi="David" w:cs="David" w:hint="cs"/>
          <w:sz w:val="24"/>
          <w:szCs w:val="24"/>
          <w:rtl/>
        </w:rPr>
        <w:t xml:space="preserve"> לנזק של אדם פלוני, על האחרון לזכות בפיצוי שמגיע לו כדין, זאת ללא קשר </w:t>
      </w:r>
      <w:r w:rsidR="000A00E3">
        <w:rPr>
          <w:rFonts w:ascii="David" w:hAnsi="David" w:cs="David" w:hint="cs"/>
          <w:sz w:val="24"/>
          <w:szCs w:val="24"/>
          <w:rtl/>
        </w:rPr>
        <w:t>לשאלה האם</w:t>
      </w:r>
      <w:r w:rsidR="0009255E">
        <w:rPr>
          <w:rFonts w:ascii="David" w:hAnsi="David" w:cs="David" w:hint="cs"/>
          <w:sz w:val="24"/>
          <w:szCs w:val="24"/>
          <w:rtl/>
        </w:rPr>
        <w:t xml:space="preserve"> המזיק </w:t>
      </w:r>
      <w:r w:rsidR="00615512">
        <w:rPr>
          <w:rFonts w:ascii="David" w:hAnsi="David" w:cs="David" w:hint="cs"/>
          <w:sz w:val="24"/>
          <w:szCs w:val="24"/>
          <w:rtl/>
        </w:rPr>
        <w:t>הוא</w:t>
      </w:r>
      <w:r w:rsidR="0009255E">
        <w:rPr>
          <w:rFonts w:ascii="David" w:hAnsi="David" w:cs="David" w:hint="cs"/>
          <w:sz w:val="24"/>
          <w:szCs w:val="24"/>
          <w:rtl/>
        </w:rPr>
        <w:t xml:space="preserve"> המדינה ולא אדם פרטי. </w:t>
      </w:r>
      <w:r w:rsidR="0071246A">
        <w:rPr>
          <w:rFonts w:ascii="David" w:hAnsi="David" w:cs="David" w:hint="cs"/>
          <w:sz w:val="24"/>
          <w:szCs w:val="24"/>
          <w:rtl/>
        </w:rPr>
        <w:t>דבר זה מוביל לכך שהמדינה חבה באחריות ישירה וחבות אישית כאשר אורגן מן האורגנים שלה ביצע עוולה</w:t>
      </w:r>
      <w:r w:rsidR="00615512">
        <w:rPr>
          <w:rFonts w:ascii="David" w:hAnsi="David" w:cs="David" w:hint="cs"/>
          <w:sz w:val="24"/>
          <w:szCs w:val="24"/>
          <w:rtl/>
        </w:rPr>
        <w:t>,</w:t>
      </w:r>
      <w:r w:rsidR="0071246A">
        <w:rPr>
          <w:rFonts w:ascii="David" w:hAnsi="David" w:cs="David" w:hint="cs"/>
          <w:sz w:val="24"/>
          <w:szCs w:val="24"/>
          <w:rtl/>
        </w:rPr>
        <w:t xml:space="preserve"> ומעשה זה מחייב את המדינה. </w:t>
      </w:r>
    </w:p>
    <w:p w:rsidR="004F7006" w:rsidRDefault="00BE211D" w:rsidP="00077157">
      <w:pPr>
        <w:spacing w:line="360" w:lineRule="auto"/>
        <w:jc w:val="both"/>
        <w:rPr>
          <w:rFonts w:ascii="David" w:hAnsi="David" w:cs="David" w:hint="default"/>
          <w:sz w:val="24"/>
          <w:szCs w:val="24"/>
          <w:rtl/>
        </w:rPr>
      </w:pPr>
      <w:r>
        <w:rPr>
          <w:rFonts w:ascii="David" w:hAnsi="David" w:cs="David" w:hint="cs"/>
          <w:sz w:val="24"/>
          <w:szCs w:val="24"/>
          <w:rtl/>
        </w:rPr>
        <w:t xml:space="preserve">השאלה </w:t>
      </w:r>
      <w:r w:rsidR="00077157">
        <w:rPr>
          <w:rFonts w:ascii="David" w:hAnsi="David" w:cs="David" w:hint="cs"/>
          <w:sz w:val="24"/>
          <w:szCs w:val="24"/>
          <w:rtl/>
        </w:rPr>
        <w:t>שעולה</w:t>
      </w:r>
      <w:r>
        <w:rPr>
          <w:rFonts w:ascii="David" w:hAnsi="David" w:cs="David" w:hint="cs"/>
          <w:sz w:val="24"/>
          <w:szCs w:val="24"/>
          <w:rtl/>
        </w:rPr>
        <w:t xml:space="preserve"> לא פעם עוסקת בשיקולי המדיניות בעד ונגד הטלת אחריות </w:t>
      </w:r>
      <w:r w:rsidR="00615512">
        <w:rPr>
          <w:rFonts w:ascii="David" w:hAnsi="David" w:cs="David" w:hint="cs"/>
          <w:sz w:val="24"/>
          <w:szCs w:val="24"/>
          <w:rtl/>
        </w:rPr>
        <w:t xml:space="preserve">על </w:t>
      </w:r>
      <w:r>
        <w:rPr>
          <w:rFonts w:ascii="David" w:hAnsi="David" w:cs="David" w:hint="cs"/>
          <w:sz w:val="24"/>
          <w:szCs w:val="24"/>
          <w:rtl/>
        </w:rPr>
        <w:t>המדינה</w:t>
      </w:r>
      <w:r w:rsidR="00EF5C70">
        <w:rPr>
          <w:rFonts w:ascii="David" w:hAnsi="David" w:cs="David" w:hint="cs"/>
          <w:sz w:val="24"/>
          <w:szCs w:val="24"/>
          <w:rtl/>
        </w:rPr>
        <w:t>:</w:t>
      </w:r>
    </w:p>
    <w:p w:rsidR="00E207A7" w:rsidRPr="0008103D" w:rsidRDefault="00BE211D" w:rsidP="008C166C">
      <w:pPr>
        <w:spacing w:line="360" w:lineRule="auto"/>
        <w:jc w:val="both"/>
        <w:rPr>
          <w:rFonts w:ascii="David" w:hAnsi="David" w:cs="David" w:hint="default"/>
          <w:sz w:val="24"/>
          <w:szCs w:val="24"/>
          <w:rtl/>
        </w:rPr>
      </w:pPr>
      <w:r w:rsidRPr="0050414E">
        <w:rPr>
          <w:rFonts w:ascii="David" w:hAnsi="David" w:cs="David" w:hint="cs"/>
          <w:sz w:val="24"/>
          <w:szCs w:val="24"/>
          <w:u w:val="single"/>
          <w:rtl/>
        </w:rPr>
        <w:t>הרתעת יתר</w:t>
      </w:r>
      <w:r>
        <w:rPr>
          <w:rFonts w:ascii="David" w:hAnsi="David" w:cs="David" w:hint="cs"/>
          <w:sz w:val="24"/>
          <w:szCs w:val="24"/>
          <w:rtl/>
        </w:rPr>
        <w:t xml:space="preserve"> </w:t>
      </w:r>
      <w:r w:rsidR="003C4401">
        <w:rPr>
          <w:rFonts w:ascii="David" w:hAnsi="David" w:cs="David" w:hint="default"/>
          <w:sz w:val="24"/>
          <w:szCs w:val="24"/>
          <w:rtl/>
        </w:rPr>
        <w:t>–</w:t>
      </w:r>
      <w:r>
        <w:rPr>
          <w:rFonts w:ascii="David" w:hAnsi="David" w:cs="David" w:hint="cs"/>
          <w:sz w:val="24"/>
          <w:szCs w:val="24"/>
          <w:rtl/>
        </w:rPr>
        <w:t xml:space="preserve"> </w:t>
      </w:r>
      <w:r w:rsidR="003C4401">
        <w:rPr>
          <w:rFonts w:ascii="David" w:hAnsi="David" w:cs="David" w:hint="cs"/>
          <w:sz w:val="24"/>
          <w:szCs w:val="24"/>
          <w:rtl/>
        </w:rPr>
        <w:t xml:space="preserve">דיני הנזיקין עוסקים בחיובים לא רצוניים, בעקבות נזק שנגרם. </w:t>
      </w:r>
      <w:r w:rsidR="00EF5C70">
        <w:rPr>
          <w:rFonts w:ascii="David" w:hAnsi="David" w:cs="David" w:hint="cs"/>
          <w:sz w:val="24"/>
          <w:szCs w:val="24"/>
          <w:rtl/>
        </w:rPr>
        <w:t>מחד גיסא, יש הטוענים כי הטלת אחריות על המדינה עלול</w:t>
      </w:r>
      <w:r w:rsidR="0050414E">
        <w:rPr>
          <w:rFonts w:ascii="David" w:hAnsi="David" w:cs="David" w:hint="cs"/>
          <w:sz w:val="24"/>
          <w:szCs w:val="24"/>
          <w:rtl/>
        </w:rPr>
        <w:t>ה</w:t>
      </w:r>
      <w:r w:rsidR="00EF5C70">
        <w:rPr>
          <w:rFonts w:ascii="David" w:hAnsi="David" w:cs="David" w:hint="cs"/>
          <w:sz w:val="24"/>
          <w:szCs w:val="24"/>
          <w:rtl/>
        </w:rPr>
        <w:t xml:space="preserve"> ליצור הרתעת יתר של המדינה על רשויותיה, ובכך </w:t>
      </w:r>
      <w:r w:rsidR="00615512">
        <w:rPr>
          <w:rFonts w:ascii="David" w:hAnsi="David" w:cs="David" w:hint="cs"/>
          <w:sz w:val="24"/>
          <w:szCs w:val="24"/>
          <w:rtl/>
        </w:rPr>
        <w:t>תגרום</w:t>
      </w:r>
      <w:r w:rsidR="00EF5C70">
        <w:rPr>
          <w:rFonts w:ascii="David" w:hAnsi="David" w:cs="David" w:hint="cs"/>
          <w:sz w:val="24"/>
          <w:szCs w:val="24"/>
          <w:rtl/>
        </w:rPr>
        <w:t xml:space="preserve"> לקיפאון בפעולותיה ובשלטון החוק ואכיפתו. מאידך גיסא, התומכים </w:t>
      </w:r>
      <w:r w:rsidR="00615512">
        <w:rPr>
          <w:rFonts w:ascii="David" w:hAnsi="David" w:cs="David" w:hint="cs"/>
          <w:sz w:val="24"/>
          <w:szCs w:val="24"/>
          <w:rtl/>
        </w:rPr>
        <w:t>בהטלת אחריות</w:t>
      </w:r>
      <w:r w:rsidR="00EF5C70">
        <w:rPr>
          <w:rFonts w:ascii="David" w:hAnsi="David" w:cs="David" w:hint="cs"/>
          <w:sz w:val="24"/>
          <w:szCs w:val="24"/>
          <w:rtl/>
        </w:rPr>
        <w:t xml:space="preserve"> גורסים כי הטלת אחריות נזיקית דווקא תרסן את כוחה הרב של המדינה ותגביר את זהירותה בקבלת החלטות שונות ובדרך ביצוען.</w:t>
      </w:r>
      <w:r>
        <w:rPr>
          <w:rStyle w:val="a7"/>
          <w:rFonts w:ascii="David" w:hAnsi="David" w:hint="default"/>
          <w:sz w:val="24"/>
          <w:szCs w:val="24"/>
          <w:rtl/>
        </w:rPr>
        <w:footnoteReference w:id="87"/>
      </w:r>
      <w:r w:rsidR="0008103D">
        <w:rPr>
          <w:rFonts w:ascii="David" w:hAnsi="David" w:cs="David" w:hint="cs"/>
          <w:sz w:val="24"/>
          <w:szCs w:val="24"/>
          <w:rtl/>
        </w:rPr>
        <w:t xml:space="preserve"> </w:t>
      </w:r>
      <w:r w:rsidR="00863B8E" w:rsidRPr="00615512">
        <w:rPr>
          <w:rFonts w:ascii="David" w:hAnsi="David" w:cs="David" w:hint="cs"/>
          <w:sz w:val="24"/>
          <w:szCs w:val="24"/>
          <w:u w:val="single"/>
          <w:rtl/>
        </w:rPr>
        <w:t>עקרון השוויון</w:t>
      </w:r>
      <w:r w:rsidR="00863B8E">
        <w:rPr>
          <w:rFonts w:ascii="David" w:hAnsi="David" w:cs="David" w:hint="cs"/>
          <w:sz w:val="24"/>
          <w:szCs w:val="24"/>
          <w:rtl/>
        </w:rPr>
        <w:t xml:space="preserve"> </w:t>
      </w:r>
      <w:r w:rsidR="00863B8E">
        <w:rPr>
          <w:rFonts w:ascii="David" w:hAnsi="David" w:cs="David" w:hint="default"/>
          <w:sz w:val="24"/>
          <w:szCs w:val="24"/>
          <w:rtl/>
        </w:rPr>
        <w:t>–</w:t>
      </w:r>
      <w:r w:rsidR="00863B8E">
        <w:rPr>
          <w:rFonts w:ascii="David" w:hAnsi="David" w:cs="David" w:hint="cs"/>
          <w:sz w:val="24"/>
          <w:szCs w:val="24"/>
          <w:rtl/>
        </w:rPr>
        <w:t xml:space="preserve"> </w:t>
      </w:r>
      <w:r w:rsidR="00615512">
        <w:rPr>
          <w:rFonts w:ascii="David" w:hAnsi="David" w:cs="David" w:hint="cs"/>
          <w:sz w:val="24"/>
          <w:szCs w:val="24"/>
          <w:rtl/>
        </w:rPr>
        <w:t xml:space="preserve">יש </w:t>
      </w:r>
      <w:r w:rsidR="00615512">
        <w:rPr>
          <w:rFonts w:ascii="David" w:hAnsi="David" w:cs="David" w:hint="cs"/>
          <w:sz w:val="24"/>
          <w:szCs w:val="24"/>
          <w:rtl/>
        </w:rPr>
        <w:lastRenderedPageBreak/>
        <w:t>לשמור על עקרון ה</w:t>
      </w:r>
      <w:r w:rsidR="00863B8E">
        <w:rPr>
          <w:rFonts w:ascii="David" w:hAnsi="David" w:cs="David" w:hint="cs"/>
          <w:sz w:val="24"/>
          <w:szCs w:val="24"/>
          <w:rtl/>
        </w:rPr>
        <w:t>שוויון</w:t>
      </w:r>
      <w:r w:rsidR="00615512">
        <w:rPr>
          <w:rFonts w:ascii="David" w:hAnsi="David" w:cs="David" w:hint="cs"/>
          <w:sz w:val="24"/>
          <w:szCs w:val="24"/>
          <w:rtl/>
        </w:rPr>
        <w:t>, שמשמעותו שוויון</w:t>
      </w:r>
      <w:r w:rsidR="00863B8E">
        <w:rPr>
          <w:rFonts w:ascii="David" w:hAnsi="David" w:cs="David" w:hint="cs"/>
          <w:sz w:val="24"/>
          <w:szCs w:val="24"/>
          <w:rtl/>
        </w:rPr>
        <w:t xml:space="preserve"> זכויות מלא בהתאם לחוק.</w:t>
      </w:r>
      <w:r w:rsidR="0008103D">
        <w:rPr>
          <w:rFonts w:ascii="David" w:hAnsi="David" w:cs="David" w:hint="cs"/>
          <w:sz w:val="24"/>
          <w:szCs w:val="24"/>
          <w:rtl/>
        </w:rPr>
        <w:t xml:space="preserve"> </w:t>
      </w:r>
      <w:r w:rsidR="00615512" w:rsidRPr="00615512">
        <w:rPr>
          <w:rFonts w:ascii="David" w:hAnsi="David" w:cs="David" w:hint="cs"/>
          <w:sz w:val="24"/>
          <w:szCs w:val="24"/>
          <w:u w:val="single"/>
          <w:rtl/>
        </w:rPr>
        <w:t xml:space="preserve">כללי </w:t>
      </w:r>
      <w:r w:rsidR="00F83258" w:rsidRPr="00615512">
        <w:rPr>
          <w:rFonts w:ascii="David" w:hAnsi="David" w:cs="David" w:hint="cs"/>
          <w:sz w:val="24"/>
          <w:szCs w:val="24"/>
          <w:u w:val="single"/>
          <w:rtl/>
        </w:rPr>
        <w:t>מנהל תקין</w:t>
      </w:r>
      <w:r w:rsidR="00F83258">
        <w:rPr>
          <w:rFonts w:ascii="David" w:hAnsi="David" w:cs="David" w:hint="cs"/>
          <w:sz w:val="24"/>
          <w:szCs w:val="24"/>
          <w:rtl/>
        </w:rPr>
        <w:t xml:space="preserve"> </w:t>
      </w:r>
      <w:r w:rsidR="00F83258">
        <w:rPr>
          <w:rFonts w:ascii="David" w:hAnsi="David" w:cs="David" w:hint="default"/>
          <w:sz w:val="24"/>
          <w:szCs w:val="24"/>
          <w:rtl/>
        </w:rPr>
        <w:t>–</w:t>
      </w:r>
      <w:r w:rsidR="00F83258">
        <w:rPr>
          <w:rFonts w:ascii="David" w:hAnsi="David" w:cs="David" w:hint="cs"/>
          <w:sz w:val="24"/>
          <w:szCs w:val="24"/>
          <w:rtl/>
        </w:rPr>
        <w:t xml:space="preserve"> קביעת </w:t>
      </w:r>
      <w:r w:rsidR="00C31DB9">
        <w:rPr>
          <w:rFonts w:ascii="David" w:hAnsi="David" w:cs="David" w:hint="cs"/>
          <w:sz w:val="24"/>
          <w:szCs w:val="24"/>
          <w:rtl/>
        </w:rPr>
        <w:t>נוהליי</w:t>
      </w:r>
      <w:r w:rsidR="00C31DB9">
        <w:rPr>
          <w:rFonts w:ascii="David" w:hAnsi="David" w:cs="David"/>
          <w:sz w:val="24"/>
          <w:szCs w:val="24"/>
          <w:rtl/>
        </w:rPr>
        <w:t>ם</w:t>
      </w:r>
      <w:r w:rsidR="00F83258">
        <w:rPr>
          <w:rFonts w:ascii="David" w:hAnsi="David" w:cs="David" w:hint="cs"/>
          <w:sz w:val="24"/>
          <w:szCs w:val="24"/>
          <w:rtl/>
        </w:rPr>
        <w:t xml:space="preserve"> ברורים וחד משמעיים יחד עם מנהל תקין יבטיח</w:t>
      </w:r>
      <w:r w:rsidR="00615512">
        <w:rPr>
          <w:rFonts w:ascii="David" w:hAnsi="David" w:cs="David" w:hint="cs"/>
          <w:sz w:val="24"/>
          <w:szCs w:val="24"/>
          <w:rtl/>
        </w:rPr>
        <w:t>ו</w:t>
      </w:r>
      <w:r w:rsidR="00F83258">
        <w:rPr>
          <w:rFonts w:ascii="David" w:hAnsi="David" w:cs="David" w:hint="cs"/>
          <w:sz w:val="24"/>
          <w:szCs w:val="24"/>
          <w:rtl/>
        </w:rPr>
        <w:t xml:space="preserve"> הטלת אחריות על המדינה בנקיטת אמצעי זהירות ראויים.</w:t>
      </w:r>
      <w:r>
        <w:rPr>
          <w:rStyle w:val="a7"/>
          <w:rFonts w:ascii="David" w:hAnsi="David" w:hint="default"/>
          <w:sz w:val="24"/>
          <w:szCs w:val="24"/>
          <w:rtl/>
        </w:rPr>
        <w:footnoteReference w:id="88"/>
      </w:r>
      <w:r w:rsidR="0008103D">
        <w:rPr>
          <w:rFonts w:ascii="David" w:hAnsi="David" w:cs="David" w:hint="cs"/>
          <w:sz w:val="24"/>
          <w:szCs w:val="24"/>
          <w:rtl/>
        </w:rPr>
        <w:t xml:space="preserve"> </w:t>
      </w:r>
      <w:r w:rsidR="00F83258" w:rsidRPr="008C166C">
        <w:rPr>
          <w:rFonts w:ascii="David" w:hAnsi="David" w:cs="David" w:hint="cs"/>
          <w:sz w:val="24"/>
          <w:szCs w:val="24"/>
          <w:u w:val="single"/>
          <w:rtl/>
        </w:rPr>
        <w:t xml:space="preserve">שיקולי פיזור הנזק </w:t>
      </w:r>
      <w:r w:rsidR="00F83258" w:rsidRPr="008C166C">
        <w:rPr>
          <w:rFonts w:ascii="David" w:hAnsi="David" w:cs="David" w:hint="default"/>
          <w:sz w:val="24"/>
          <w:szCs w:val="24"/>
          <w:rtl/>
        </w:rPr>
        <w:t>–</w:t>
      </w:r>
      <w:r w:rsidR="00F83258" w:rsidRPr="008C166C">
        <w:rPr>
          <w:rFonts w:ascii="David" w:hAnsi="David" w:cs="David" w:hint="cs"/>
          <w:sz w:val="24"/>
          <w:szCs w:val="24"/>
          <w:rtl/>
        </w:rPr>
        <w:t xml:space="preserve"> </w:t>
      </w:r>
      <w:r w:rsidR="00AF5492">
        <w:rPr>
          <w:rFonts w:ascii="David" w:hAnsi="David" w:cs="David" w:hint="cs"/>
          <w:sz w:val="24"/>
          <w:szCs w:val="24"/>
          <w:rtl/>
        </w:rPr>
        <w:t xml:space="preserve">מחד גיסא, חשש מפני הצפה ותביעות סרק בבית משפט מצד הניזוקים שהמדינה עלולה לא לעמוד </w:t>
      </w:r>
      <w:r w:rsidR="008C166C">
        <w:rPr>
          <w:rFonts w:ascii="David" w:hAnsi="David" w:cs="David" w:hint="cs"/>
          <w:sz w:val="24"/>
          <w:szCs w:val="24"/>
          <w:rtl/>
        </w:rPr>
        <w:t>בהן מבחינה כספית</w:t>
      </w:r>
      <w:r w:rsidR="00AF5492">
        <w:rPr>
          <w:rFonts w:ascii="David" w:hAnsi="David" w:cs="David" w:hint="cs"/>
          <w:sz w:val="24"/>
          <w:szCs w:val="24"/>
          <w:rtl/>
        </w:rPr>
        <w:t xml:space="preserve"> </w:t>
      </w:r>
      <w:r w:rsidR="008C166C">
        <w:rPr>
          <w:rFonts w:ascii="David" w:hAnsi="David" w:cs="David" w:hint="cs"/>
          <w:sz w:val="24"/>
          <w:szCs w:val="24"/>
          <w:rtl/>
        </w:rPr>
        <w:t>ו</w:t>
      </w:r>
      <w:r w:rsidR="00AF5492">
        <w:rPr>
          <w:rFonts w:ascii="David" w:hAnsi="David" w:cs="David" w:hint="cs"/>
          <w:sz w:val="24"/>
          <w:szCs w:val="24"/>
          <w:rtl/>
        </w:rPr>
        <w:t xml:space="preserve">מאידך גיסא, </w:t>
      </w:r>
      <w:r w:rsidR="008136C4">
        <w:rPr>
          <w:rFonts w:ascii="David" w:hAnsi="David" w:cs="David" w:hint="cs"/>
          <w:sz w:val="24"/>
          <w:szCs w:val="24"/>
          <w:rtl/>
        </w:rPr>
        <w:t>הטלת אחריות על המדינה כולה עדיפה מאשר</w:t>
      </w:r>
      <w:r w:rsidR="008C166C">
        <w:rPr>
          <w:rFonts w:ascii="David" w:hAnsi="David" w:cs="David" w:hint="cs"/>
          <w:sz w:val="24"/>
          <w:szCs w:val="24"/>
          <w:rtl/>
        </w:rPr>
        <w:t xml:space="preserve"> על</w:t>
      </w:r>
      <w:r w:rsidR="008136C4">
        <w:rPr>
          <w:rFonts w:ascii="David" w:hAnsi="David" w:cs="David" w:hint="cs"/>
          <w:sz w:val="24"/>
          <w:szCs w:val="24"/>
          <w:rtl/>
        </w:rPr>
        <w:t xml:space="preserve"> ציבור ניזוקים מצומצם שמבחינה כלכלית יתקשה לספוג הפסדים גדולים יותר.</w:t>
      </w:r>
      <w:r>
        <w:rPr>
          <w:rStyle w:val="a7"/>
          <w:rFonts w:ascii="David" w:hAnsi="David" w:hint="default"/>
          <w:sz w:val="24"/>
          <w:szCs w:val="24"/>
          <w:rtl/>
        </w:rPr>
        <w:footnoteReference w:id="89"/>
      </w:r>
      <w:r w:rsidRPr="008C166C">
        <w:rPr>
          <w:rFonts w:ascii="David" w:hAnsi="David" w:cs="David" w:hint="cs"/>
          <w:color w:val="151515"/>
          <w:sz w:val="24"/>
          <w:szCs w:val="24"/>
          <w:u w:val="single"/>
          <w:rtl/>
        </w:rPr>
        <w:t xml:space="preserve">התערבות במעשי הרשות </w:t>
      </w:r>
      <w:r w:rsidRPr="008C166C">
        <w:rPr>
          <w:rFonts w:ascii="David" w:hAnsi="David" w:cs="David" w:hint="default"/>
          <w:sz w:val="24"/>
          <w:szCs w:val="24"/>
          <w:rtl/>
        </w:rPr>
        <w:t>–</w:t>
      </w:r>
      <w:r w:rsidRPr="008C166C">
        <w:rPr>
          <w:rFonts w:ascii="David" w:hAnsi="David" w:cs="David" w:hint="cs"/>
          <w:color w:val="151515"/>
          <w:sz w:val="24"/>
          <w:szCs w:val="24"/>
          <w:rtl/>
        </w:rPr>
        <w:t xml:space="preserve"> </w:t>
      </w:r>
      <w:r>
        <w:rPr>
          <w:rFonts w:ascii="David" w:hAnsi="David" w:cs="David" w:hint="cs"/>
          <w:color w:val="151515"/>
          <w:sz w:val="24"/>
          <w:szCs w:val="24"/>
          <w:rtl/>
        </w:rPr>
        <w:t>הגורסים נגד הטלת אחריות המדינה טוענים כי תביעת המדינה בנזיקין עלולה להיתפס כהתערבות אסורה במעשי הרשות השלטונית וכפגיעה בהפרדת הרשויות.</w:t>
      </w:r>
      <w:r>
        <w:rPr>
          <w:rStyle w:val="a7"/>
          <w:rFonts w:ascii="David" w:hAnsi="David" w:hint="default"/>
          <w:color w:val="151515"/>
          <w:sz w:val="24"/>
          <w:szCs w:val="24"/>
          <w:rtl/>
        </w:rPr>
        <w:footnoteReference w:id="90"/>
      </w:r>
      <w:r>
        <w:rPr>
          <w:rFonts w:ascii="David" w:hAnsi="David" w:cs="David" w:hint="cs"/>
          <w:color w:val="151515"/>
          <w:sz w:val="24"/>
          <w:szCs w:val="24"/>
          <w:rtl/>
        </w:rPr>
        <w:t xml:space="preserve"> </w:t>
      </w:r>
    </w:p>
    <w:p w:rsidR="00D16981" w:rsidRDefault="00BE211D" w:rsidP="004B147F">
      <w:pPr>
        <w:spacing w:line="360" w:lineRule="auto"/>
        <w:jc w:val="both"/>
        <w:rPr>
          <w:rFonts w:ascii="David" w:hAnsi="David" w:cs="David" w:hint="default"/>
          <w:color w:val="151515"/>
          <w:sz w:val="24"/>
          <w:szCs w:val="24"/>
          <w:rtl/>
        </w:rPr>
      </w:pPr>
      <w:r>
        <w:rPr>
          <w:rFonts w:ascii="David" w:hAnsi="David" w:cs="David" w:hint="cs"/>
          <w:color w:val="151515"/>
          <w:sz w:val="24"/>
          <w:szCs w:val="24"/>
          <w:rtl/>
        </w:rPr>
        <w:t xml:space="preserve">בפרק זה, אציג באמצעות שתי דוגמאות </w:t>
      </w:r>
      <w:r w:rsidR="009009DC">
        <w:rPr>
          <w:rFonts w:ascii="David" w:hAnsi="David" w:cs="David" w:hint="cs"/>
          <w:color w:val="151515"/>
          <w:sz w:val="24"/>
          <w:szCs w:val="24"/>
          <w:rtl/>
        </w:rPr>
        <w:t xml:space="preserve">של מקרים </w:t>
      </w:r>
      <w:r>
        <w:rPr>
          <w:rFonts w:ascii="David" w:hAnsi="David" w:cs="David" w:hint="cs"/>
          <w:color w:val="151515"/>
          <w:sz w:val="24"/>
          <w:szCs w:val="24"/>
          <w:rtl/>
        </w:rPr>
        <w:t xml:space="preserve">בהם המדינה </w:t>
      </w:r>
      <w:r w:rsidR="00366863">
        <w:rPr>
          <w:rFonts w:ascii="David" w:hAnsi="David" w:cs="David" w:hint="cs"/>
          <w:color w:val="151515"/>
          <w:sz w:val="24"/>
          <w:szCs w:val="24"/>
          <w:rtl/>
        </w:rPr>
        <w:t>נקטה</w:t>
      </w:r>
      <w:r>
        <w:rPr>
          <w:rFonts w:ascii="David" w:hAnsi="David" w:cs="David" w:hint="cs"/>
          <w:color w:val="151515"/>
          <w:sz w:val="24"/>
          <w:szCs w:val="24"/>
          <w:rtl/>
        </w:rPr>
        <w:t xml:space="preserve"> </w:t>
      </w:r>
      <w:r w:rsidR="00366863">
        <w:rPr>
          <w:rFonts w:ascii="David" w:hAnsi="David" w:cs="David" w:hint="cs"/>
          <w:color w:val="151515"/>
          <w:sz w:val="24"/>
          <w:szCs w:val="24"/>
          <w:rtl/>
        </w:rPr>
        <w:t>ב</w:t>
      </w:r>
      <w:r>
        <w:rPr>
          <w:rFonts w:ascii="David" w:hAnsi="David" w:cs="David" w:hint="cs"/>
          <w:color w:val="151515"/>
          <w:sz w:val="24"/>
          <w:szCs w:val="24"/>
          <w:rtl/>
        </w:rPr>
        <w:t xml:space="preserve">פעולה אקטיבית ופגעה בציבור </w:t>
      </w:r>
      <w:r w:rsidR="00366863">
        <w:rPr>
          <w:rFonts w:ascii="David" w:hAnsi="David" w:cs="David" w:hint="cs"/>
          <w:color w:val="151515"/>
          <w:sz w:val="24"/>
          <w:szCs w:val="24"/>
          <w:rtl/>
        </w:rPr>
        <w:t xml:space="preserve">בין </w:t>
      </w:r>
      <w:r>
        <w:rPr>
          <w:rFonts w:ascii="David" w:hAnsi="David" w:cs="David" w:hint="cs"/>
          <w:color w:val="151515"/>
          <w:sz w:val="24"/>
          <w:szCs w:val="24"/>
          <w:rtl/>
        </w:rPr>
        <w:t xml:space="preserve">אם זה במעשה או במחדל. בכך, אראה את השוני בין פעולה אקטיבית לבין פעולה פסיבית כפי שנראה בענייננו. חשוב לי לציין כי הדוגמאות שיועלו בפרק זה </w:t>
      </w:r>
      <w:r w:rsidR="009009DC">
        <w:rPr>
          <w:rFonts w:ascii="David" w:hAnsi="David" w:cs="David" w:hint="cs"/>
          <w:color w:val="151515"/>
          <w:sz w:val="24"/>
          <w:szCs w:val="24"/>
          <w:rtl/>
        </w:rPr>
        <w:t>הינו</w:t>
      </w:r>
      <w:r>
        <w:rPr>
          <w:rFonts w:ascii="David" w:hAnsi="David" w:cs="David" w:hint="cs"/>
          <w:color w:val="151515"/>
          <w:sz w:val="24"/>
          <w:szCs w:val="24"/>
          <w:rtl/>
        </w:rPr>
        <w:t xml:space="preserve"> </w:t>
      </w:r>
      <w:r w:rsidR="009009DC">
        <w:rPr>
          <w:rFonts w:ascii="David" w:hAnsi="David" w:cs="David" w:hint="cs"/>
          <w:color w:val="151515"/>
          <w:sz w:val="24"/>
          <w:szCs w:val="24"/>
          <w:rtl/>
        </w:rPr>
        <w:t xml:space="preserve">דוגמאות לצורך המחשת המקרה בלבד. </w:t>
      </w:r>
      <w:r w:rsidR="00C31DB9">
        <w:rPr>
          <w:rFonts w:ascii="David" w:hAnsi="David" w:cs="David" w:hint="cs"/>
          <w:color w:val="151515"/>
          <w:sz w:val="24"/>
          <w:szCs w:val="24"/>
          <w:rtl/>
        </w:rPr>
        <w:t>כולי תקווה כי</w:t>
      </w:r>
      <w:r>
        <w:rPr>
          <w:rFonts w:ascii="David" w:hAnsi="David" w:cs="David" w:hint="cs"/>
          <w:color w:val="151515"/>
          <w:sz w:val="24"/>
          <w:szCs w:val="24"/>
          <w:rtl/>
        </w:rPr>
        <w:t xml:space="preserve"> </w:t>
      </w:r>
      <w:r w:rsidR="00C31DB9">
        <w:rPr>
          <w:rFonts w:ascii="David" w:hAnsi="David" w:cs="David" w:hint="cs"/>
          <w:color w:val="151515"/>
          <w:sz w:val="24"/>
          <w:szCs w:val="24"/>
          <w:rtl/>
        </w:rPr>
        <w:t>ה</w:t>
      </w:r>
      <w:r w:rsidR="003409CB">
        <w:rPr>
          <w:rFonts w:ascii="David" w:hAnsi="David" w:cs="David" w:hint="cs"/>
          <w:color w:val="151515"/>
          <w:sz w:val="24"/>
          <w:szCs w:val="24"/>
          <w:rtl/>
        </w:rPr>
        <w:t>קורא</w:t>
      </w:r>
      <w:r>
        <w:rPr>
          <w:rFonts w:ascii="David" w:hAnsi="David" w:cs="David" w:hint="cs"/>
          <w:color w:val="151515"/>
          <w:sz w:val="24"/>
          <w:szCs w:val="24"/>
          <w:rtl/>
        </w:rPr>
        <w:t xml:space="preserve"> ל</w:t>
      </w:r>
      <w:r w:rsidR="00C31DB9">
        <w:rPr>
          <w:rFonts w:ascii="David" w:hAnsi="David" w:cs="David" w:hint="cs"/>
          <w:color w:val="151515"/>
          <w:sz w:val="24"/>
          <w:szCs w:val="24"/>
          <w:rtl/>
        </w:rPr>
        <w:t xml:space="preserve">א </w:t>
      </w:r>
      <w:r>
        <w:rPr>
          <w:rFonts w:ascii="David" w:hAnsi="David" w:cs="David" w:hint="cs"/>
          <w:color w:val="151515"/>
          <w:sz w:val="24"/>
          <w:szCs w:val="24"/>
          <w:rtl/>
        </w:rPr>
        <w:t xml:space="preserve">ייחס לדוגמאות אלה חשיבות </w:t>
      </w:r>
      <w:r w:rsidR="00C31DB9">
        <w:rPr>
          <w:rFonts w:ascii="David" w:hAnsi="David" w:cs="David" w:hint="cs"/>
          <w:color w:val="151515"/>
          <w:sz w:val="24"/>
          <w:szCs w:val="24"/>
          <w:rtl/>
        </w:rPr>
        <w:t>בעל</w:t>
      </w:r>
      <w:r w:rsidR="009009DC">
        <w:rPr>
          <w:rFonts w:ascii="David" w:hAnsi="David" w:cs="David" w:hint="cs"/>
          <w:color w:val="151515"/>
          <w:sz w:val="24"/>
          <w:szCs w:val="24"/>
          <w:rtl/>
        </w:rPr>
        <w:t>ת</w:t>
      </w:r>
      <w:r w:rsidR="00C31DB9">
        <w:rPr>
          <w:rFonts w:ascii="David" w:hAnsi="David" w:cs="David" w:hint="cs"/>
          <w:color w:val="151515"/>
          <w:sz w:val="24"/>
          <w:szCs w:val="24"/>
          <w:rtl/>
        </w:rPr>
        <w:t xml:space="preserve"> משמעויות שונות </w:t>
      </w:r>
      <w:r>
        <w:rPr>
          <w:rFonts w:ascii="David" w:hAnsi="David" w:cs="David" w:hint="cs"/>
          <w:color w:val="151515"/>
          <w:sz w:val="24"/>
          <w:szCs w:val="24"/>
          <w:rtl/>
        </w:rPr>
        <w:t xml:space="preserve">יתר על המידה בתחום הפוליטי  - מדיני. </w:t>
      </w:r>
    </w:p>
    <w:p w:rsidR="00786354" w:rsidRDefault="00BE211D" w:rsidP="003409CB">
      <w:pPr>
        <w:spacing w:line="360" w:lineRule="auto"/>
        <w:jc w:val="both"/>
        <w:rPr>
          <w:rFonts w:ascii="David" w:hAnsi="David" w:cs="David" w:hint="default"/>
          <w:b/>
          <w:bCs/>
          <w:color w:val="151515"/>
          <w:sz w:val="24"/>
          <w:szCs w:val="24"/>
          <w:u w:val="single"/>
          <w:rtl/>
        </w:rPr>
      </w:pPr>
      <w:r>
        <w:rPr>
          <w:rFonts w:ascii="David" w:hAnsi="David" w:cs="David" w:hint="cs"/>
          <w:b/>
          <w:bCs/>
          <w:color w:val="151515"/>
          <w:sz w:val="24"/>
          <w:szCs w:val="24"/>
          <w:u w:val="single"/>
          <w:rtl/>
        </w:rPr>
        <w:t xml:space="preserve">ג1. זריקות הדפו </w:t>
      </w:r>
      <w:r>
        <w:rPr>
          <w:rFonts w:ascii="David" w:hAnsi="David" w:cs="David" w:hint="default"/>
          <w:b/>
          <w:bCs/>
          <w:color w:val="151515"/>
          <w:sz w:val="24"/>
          <w:szCs w:val="24"/>
          <w:u w:val="single"/>
          <w:rtl/>
        </w:rPr>
        <w:t>–</w:t>
      </w:r>
      <w:r>
        <w:rPr>
          <w:rFonts w:ascii="David" w:hAnsi="David" w:cs="David" w:hint="cs"/>
          <w:b/>
          <w:bCs/>
          <w:color w:val="151515"/>
          <w:sz w:val="24"/>
          <w:szCs w:val="24"/>
          <w:u w:val="single"/>
          <w:rtl/>
        </w:rPr>
        <w:t xml:space="preserve"> פרוברה</w:t>
      </w:r>
    </w:p>
    <w:p w:rsidR="001343DD" w:rsidRDefault="00BE211D" w:rsidP="009F1B45">
      <w:pPr>
        <w:spacing w:after="0" w:line="360" w:lineRule="auto"/>
        <w:jc w:val="both"/>
        <w:rPr>
          <w:rFonts w:ascii="David" w:eastAsia="Calibri" w:hAnsi="David" w:cs="David" w:hint="default"/>
          <w:sz w:val="24"/>
          <w:szCs w:val="24"/>
          <w:rtl/>
        </w:rPr>
      </w:pPr>
      <w:r>
        <w:rPr>
          <w:rFonts w:ascii="David" w:eastAsia="Calibri" w:hAnsi="David" w:cs="David" w:hint="cs"/>
          <w:sz w:val="24"/>
          <w:szCs w:val="24"/>
          <w:rtl/>
        </w:rPr>
        <w:t>בפרשת זריקות הדפו-פרוברה (</w:t>
      </w:r>
      <w:r>
        <w:rPr>
          <w:rFonts w:ascii="David" w:eastAsia="Calibri" w:hAnsi="David" w:cs="David" w:hint="default"/>
          <w:sz w:val="24"/>
          <w:szCs w:val="24"/>
        </w:rPr>
        <w:t>Depo-Provera</w:t>
      </w:r>
      <w:r>
        <w:rPr>
          <w:rFonts w:ascii="David" w:eastAsia="Calibri" w:hAnsi="David" w:cs="David" w:hint="cs"/>
          <w:sz w:val="24"/>
          <w:szCs w:val="24"/>
          <w:rtl/>
        </w:rPr>
        <w:t xml:space="preserve">) </w:t>
      </w:r>
      <w:r w:rsidR="00FC00A2">
        <w:rPr>
          <w:rFonts w:ascii="David" w:eastAsia="Calibri" w:hAnsi="David" w:cs="David" w:hint="cs"/>
          <w:sz w:val="24"/>
          <w:szCs w:val="24"/>
          <w:rtl/>
        </w:rPr>
        <w:t>דובר</w:t>
      </w:r>
      <w:r>
        <w:rPr>
          <w:rFonts w:ascii="David" w:eastAsia="Calibri" w:hAnsi="David" w:cs="David" w:hint="cs"/>
          <w:sz w:val="24"/>
          <w:szCs w:val="24"/>
          <w:rtl/>
        </w:rPr>
        <w:t xml:space="preserve"> </w:t>
      </w:r>
      <w:r w:rsidR="00FC00A2">
        <w:rPr>
          <w:rFonts w:ascii="David" w:eastAsia="Calibri" w:hAnsi="David" w:cs="David" w:hint="cs"/>
          <w:sz w:val="24"/>
          <w:szCs w:val="24"/>
          <w:rtl/>
        </w:rPr>
        <w:t>ב</w:t>
      </w:r>
      <w:r>
        <w:rPr>
          <w:rFonts w:ascii="David" w:eastAsia="Calibri" w:hAnsi="David" w:cs="David" w:hint="cs"/>
          <w:sz w:val="24"/>
          <w:szCs w:val="24"/>
          <w:rtl/>
        </w:rPr>
        <w:t xml:space="preserve">אמצעי למניעת היריון </w:t>
      </w:r>
      <w:r w:rsidR="00FC00A2">
        <w:rPr>
          <w:rFonts w:ascii="David" w:eastAsia="Calibri" w:hAnsi="David" w:cs="David" w:hint="cs"/>
          <w:sz w:val="24"/>
          <w:szCs w:val="24"/>
          <w:rtl/>
        </w:rPr>
        <w:t>הניתן</w:t>
      </w:r>
      <w:r>
        <w:rPr>
          <w:rFonts w:ascii="David" w:eastAsia="Calibri" w:hAnsi="David" w:cs="David" w:hint="cs"/>
          <w:sz w:val="24"/>
          <w:szCs w:val="24"/>
          <w:rtl/>
        </w:rPr>
        <w:t xml:space="preserve"> בזריקה לבנות העדה האתיופית. מרכז </w:t>
      </w:r>
      <w:r w:rsidR="009025E4">
        <w:rPr>
          <w:rFonts w:ascii="David" w:eastAsia="Calibri" w:hAnsi="David" w:cs="David" w:hint="cs"/>
          <w:sz w:val="24"/>
          <w:szCs w:val="24"/>
          <w:rtl/>
        </w:rPr>
        <w:t>המידע והמחקר</w:t>
      </w:r>
      <w:r>
        <w:rPr>
          <w:rFonts w:ascii="David" w:eastAsia="Calibri" w:hAnsi="David" w:cs="David" w:hint="cs"/>
          <w:sz w:val="24"/>
          <w:szCs w:val="24"/>
          <w:rtl/>
        </w:rPr>
        <w:t xml:space="preserve"> של הכנסת </w:t>
      </w:r>
      <w:r w:rsidR="00FC00A2">
        <w:rPr>
          <w:rFonts w:ascii="David" w:eastAsia="Calibri" w:hAnsi="David" w:cs="David" w:hint="cs"/>
          <w:sz w:val="24"/>
          <w:szCs w:val="24"/>
          <w:rtl/>
        </w:rPr>
        <w:t>העלה בחודש מאי 2013</w:t>
      </w:r>
      <w:r>
        <w:rPr>
          <w:rFonts w:ascii="David" w:eastAsia="Calibri" w:hAnsi="David" w:cs="David" w:hint="cs"/>
          <w:sz w:val="24"/>
          <w:szCs w:val="24"/>
          <w:rtl/>
        </w:rPr>
        <w:t xml:space="preserve"> את הנושא בטענה כי נשים </w:t>
      </w:r>
      <w:r w:rsidR="009025E4">
        <w:rPr>
          <w:rFonts w:ascii="David" w:eastAsia="Calibri" w:hAnsi="David" w:cs="David" w:hint="cs"/>
          <w:sz w:val="24"/>
          <w:szCs w:val="24"/>
          <w:rtl/>
        </w:rPr>
        <w:t>בנות העדה האתיופית</w:t>
      </w:r>
      <w:r>
        <w:rPr>
          <w:rFonts w:ascii="David" w:eastAsia="Calibri" w:hAnsi="David" w:cs="David" w:hint="cs"/>
          <w:sz w:val="24"/>
          <w:szCs w:val="24"/>
          <w:rtl/>
        </w:rPr>
        <w:t xml:space="preserve"> קיבלו את הזריקה ללא שום הסבר אודות השלכותיה ותופעת הלוואי שלה. במסגרת המחקר הועלו טענות כי נשים בנות העדה האתיופית שודלו לקבל א</w:t>
      </w:r>
      <w:r w:rsidR="002E5582">
        <w:rPr>
          <w:rFonts w:ascii="David" w:eastAsia="Calibri" w:hAnsi="David" w:cs="David" w:hint="cs"/>
          <w:sz w:val="24"/>
          <w:szCs w:val="24"/>
          <w:rtl/>
        </w:rPr>
        <w:t>ת זריקות הדפו-פרוברה,</w:t>
      </w:r>
      <w:r>
        <w:rPr>
          <w:rStyle w:val="a7"/>
          <w:rFonts w:ascii="David" w:eastAsia="Calibri" w:hAnsi="David" w:hint="default"/>
          <w:sz w:val="24"/>
          <w:szCs w:val="24"/>
          <w:rtl/>
        </w:rPr>
        <w:footnoteReference w:id="91"/>
      </w:r>
      <w:r w:rsidR="00AA67BB">
        <w:rPr>
          <w:rFonts w:ascii="David" w:eastAsia="Calibri" w:hAnsi="David" w:cs="David" w:hint="cs"/>
          <w:sz w:val="24"/>
          <w:szCs w:val="24"/>
          <w:rtl/>
        </w:rPr>
        <w:t xml:space="preserve"> </w:t>
      </w:r>
      <w:r>
        <w:rPr>
          <w:rFonts w:ascii="David" w:eastAsia="Calibri" w:hAnsi="David" w:cs="David" w:hint="cs"/>
          <w:sz w:val="24"/>
          <w:szCs w:val="24"/>
          <w:rtl/>
        </w:rPr>
        <w:t xml:space="preserve">זאת כדי לצמצם את שיעור </w:t>
      </w:r>
      <w:r w:rsidR="0053504B">
        <w:rPr>
          <w:rFonts w:ascii="David" w:eastAsia="Calibri" w:hAnsi="David" w:cs="David" w:hint="cs"/>
          <w:sz w:val="24"/>
          <w:szCs w:val="24"/>
          <w:rtl/>
        </w:rPr>
        <w:t>הילודה</w:t>
      </w:r>
      <w:r>
        <w:rPr>
          <w:rFonts w:ascii="David" w:eastAsia="Calibri" w:hAnsi="David" w:cs="David" w:hint="cs"/>
          <w:sz w:val="24"/>
          <w:szCs w:val="24"/>
          <w:rtl/>
        </w:rPr>
        <w:t xml:space="preserve"> בקרב אוכלוסייה זו. </w:t>
      </w:r>
      <w:r w:rsidR="0053504B">
        <w:rPr>
          <w:rFonts w:ascii="David" w:eastAsia="Calibri" w:hAnsi="David" w:cs="David" w:hint="cs"/>
          <w:sz w:val="24"/>
          <w:szCs w:val="24"/>
          <w:rtl/>
        </w:rPr>
        <w:t>הדפו-פרוברה כלולה בסל שירותי הבריאות הקבוע בחוק ביטוח בריאות ממלכתי, הת</w:t>
      </w:r>
      <w:r w:rsidR="009F1B45">
        <w:rPr>
          <w:rFonts w:ascii="David" w:eastAsia="Calibri" w:hAnsi="David" w:cs="David" w:hint="cs"/>
          <w:sz w:val="24"/>
          <w:szCs w:val="24"/>
          <w:rtl/>
        </w:rPr>
        <w:t>ש</w:t>
      </w:r>
      <w:r w:rsidR="0053504B">
        <w:rPr>
          <w:rFonts w:ascii="David" w:eastAsia="Calibri" w:hAnsi="David" w:cs="David" w:hint="cs"/>
          <w:sz w:val="24"/>
          <w:szCs w:val="24"/>
          <w:rtl/>
        </w:rPr>
        <w:t>נ"ד-1994,</w:t>
      </w:r>
      <w:r>
        <w:rPr>
          <w:rStyle w:val="a7"/>
          <w:rFonts w:ascii="David" w:eastAsia="Calibri" w:hAnsi="David" w:hint="default"/>
          <w:sz w:val="24"/>
          <w:szCs w:val="24"/>
          <w:rtl/>
        </w:rPr>
        <w:footnoteReference w:id="92"/>
      </w:r>
      <w:r w:rsidR="00AA67BB">
        <w:rPr>
          <w:rFonts w:ascii="David" w:eastAsia="Calibri" w:hAnsi="David" w:cs="David" w:hint="cs"/>
          <w:sz w:val="24"/>
          <w:szCs w:val="24"/>
          <w:rtl/>
        </w:rPr>
        <w:t xml:space="preserve"> </w:t>
      </w:r>
      <w:r w:rsidR="0053504B">
        <w:rPr>
          <w:rFonts w:ascii="David" w:eastAsia="Calibri" w:hAnsi="David" w:cs="David" w:hint="cs"/>
          <w:sz w:val="24"/>
          <w:szCs w:val="24"/>
          <w:rtl/>
        </w:rPr>
        <w:t xml:space="preserve">אך ניתן לראות כי זריקה </w:t>
      </w:r>
      <w:r w:rsidR="009F1B45">
        <w:rPr>
          <w:rFonts w:ascii="David" w:eastAsia="Calibri" w:hAnsi="David" w:cs="David" w:hint="cs"/>
          <w:sz w:val="24"/>
          <w:szCs w:val="24"/>
          <w:rtl/>
        </w:rPr>
        <w:t>זו</w:t>
      </w:r>
      <w:r w:rsidR="0053504B">
        <w:rPr>
          <w:rFonts w:ascii="David" w:eastAsia="Calibri" w:hAnsi="David" w:cs="David" w:hint="cs"/>
          <w:sz w:val="24"/>
          <w:szCs w:val="24"/>
          <w:rtl/>
        </w:rPr>
        <w:t xml:space="preserve"> מופיעה בחוק כטיפול במחלת הסרטן בלבד, קרי ההתוויה של מניעת ההיריון אינה כלולה בסל. </w:t>
      </w:r>
    </w:p>
    <w:p w:rsidR="00871382" w:rsidRDefault="00871382" w:rsidP="00AA67BB">
      <w:pPr>
        <w:spacing w:after="0" w:line="360" w:lineRule="auto"/>
        <w:jc w:val="both"/>
        <w:rPr>
          <w:rFonts w:ascii="David" w:eastAsia="Calibri" w:hAnsi="David" w:cs="David" w:hint="default"/>
          <w:sz w:val="24"/>
          <w:szCs w:val="24"/>
          <w:rtl/>
        </w:rPr>
      </w:pPr>
    </w:p>
    <w:p w:rsidR="009025E4" w:rsidRDefault="00BE211D" w:rsidP="00A348FF">
      <w:pPr>
        <w:spacing w:after="0" w:line="360" w:lineRule="auto"/>
        <w:jc w:val="both"/>
        <w:rPr>
          <w:rFonts w:ascii="David" w:eastAsia="Calibri" w:hAnsi="David" w:cs="David" w:hint="default"/>
          <w:sz w:val="24"/>
          <w:szCs w:val="24"/>
          <w:rtl/>
        </w:rPr>
      </w:pPr>
      <w:r>
        <w:rPr>
          <w:rFonts w:ascii="David" w:eastAsia="Calibri" w:hAnsi="David" w:cs="David" w:hint="cs"/>
          <w:sz w:val="24"/>
          <w:szCs w:val="24"/>
          <w:rtl/>
        </w:rPr>
        <w:t xml:space="preserve">במרוצת השנים ולאחר בירור בעניין זריקת הדפו-פרוברה, </w:t>
      </w:r>
      <w:r w:rsidR="00A348FF">
        <w:rPr>
          <w:rFonts w:ascii="David" w:eastAsia="Calibri" w:hAnsi="David" w:cs="David" w:hint="cs"/>
          <w:sz w:val="24"/>
          <w:szCs w:val="24"/>
          <w:rtl/>
        </w:rPr>
        <w:t>פקיד</w:t>
      </w:r>
      <w:r>
        <w:rPr>
          <w:rFonts w:ascii="David" w:eastAsia="Calibri" w:hAnsi="David" w:cs="David" w:hint="cs"/>
          <w:sz w:val="24"/>
          <w:szCs w:val="24"/>
          <w:rtl/>
        </w:rPr>
        <w:t xml:space="preserve"> בכיר במדינה הכיר לראשונה בכך שנשים בנות העדה האתיופית בישראל אכן קיבלו באופן גורף זריקות א</w:t>
      </w:r>
      <w:r w:rsidR="00A348FF">
        <w:rPr>
          <w:rFonts w:ascii="David" w:eastAsia="Calibri" w:hAnsi="David" w:cs="David" w:hint="cs"/>
          <w:sz w:val="24"/>
          <w:szCs w:val="24"/>
          <w:rtl/>
        </w:rPr>
        <w:t xml:space="preserve">לה </w:t>
      </w:r>
      <w:r>
        <w:rPr>
          <w:rFonts w:ascii="David" w:eastAsia="Calibri" w:hAnsi="David" w:cs="David" w:hint="cs"/>
          <w:sz w:val="24"/>
          <w:szCs w:val="24"/>
          <w:rtl/>
        </w:rPr>
        <w:t>כאמצעי למניעת היריון</w:t>
      </w:r>
      <w:r w:rsidR="00A348FF">
        <w:rPr>
          <w:rFonts w:ascii="David" w:eastAsia="Calibri" w:hAnsi="David" w:cs="David" w:hint="cs"/>
          <w:sz w:val="24"/>
          <w:szCs w:val="24"/>
          <w:rtl/>
        </w:rPr>
        <w:t>, הגם</w:t>
      </w:r>
      <w:r>
        <w:rPr>
          <w:rFonts w:ascii="David" w:eastAsia="Calibri" w:hAnsi="David" w:cs="David" w:hint="cs"/>
          <w:sz w:val="24"/>
          <w:szCs w:val="24"/>
          <w:rtl/>
        </w:rPr>
        <w:t xml:space="preserve"> </w:t>
      </w:r>
      <w:r w:rsidR="00A348FF">
        <w:rPr>
          <w:rFonts w:ascii="David" w:eastAsia="Calibri" w:hAnsi="David" w:cs="David" w:hint="cs"/>
          <w:sz w:val="24"/>
          <w:szCs w:val="24"/>
          <w:rtl/>
        </w:rPr>
        <w:t>שהן</w:t>
      </w:r>
      <w:r>
        <w:rPr>
          <w:rFonts w:ascii="David" w:eastAsia="Calibri" w:hAnsi="David" w:cs="David" w:hint="cs"/>
          <w:sz w:val="24"/>
          <w:szCs w:val="24"/>
          <w:rtl/>
        </w:rPr>
        <w:t xml:space="preserve"> בעל</w:t>
      </w:r>
      <w:r w:rsidR="00A348FF">
        <w:rPr>
          <w:rFonts w:ascii="David" w:eastAsia="Calibri" w:hAnsi="David" w:cs="David" w:hint="cs"/>
          <w:sz w:val="24"/>
          <w:szCs w:val="24"/>
          <w:rtl/>
        </w:rPr>
        <w:t>ות</w:t>
      </w:r>
      <w:r>
        <w:rPr>
          <w:rFonts w:ascii="David" w:eastAsia="Calibri" w:hAnsi="David" w:cs="David" w:hint="cs"/>
          <w:sz w:val="24"/>
          <w:szCs w:val="24"/>
          <w:rtl/>
        </w:rPr>
        <w:t xml:space="preserve"> תופעות לוואי רבות. זאת לאחר עדותיהן </w:t>
      </w:r>
      <w:r w:rsidR="00A348FF">
        <w:rPr>
          <w:rFonts w:ascii="David" w:eastAsia="Calibri" w:hAnsi="David" w:cs="David" w:hint="cs"/>
          <w:sz w:val="24"/>
          <w:szCs w:val="24"/>
          <w:rtl/>
        </w:rPr>
        <w:t xml:space="preserve">של נשים </w:t>
      </w:r>
      <w:r>
        <w:rPr>
          <w:rFonts w:ascii="David" w:eastAsia="Calibri" w:hAnsi="David" w:cs="David" w:hint="cs"/>
          <w:sz w:val="24"/>
          <w:szCs w:val="24"/>
          <w:rtl/>
        </w:rPr>
        <w:t xml:space="preserve">אשר העידו שהופעל עליהן לחץ </w:t>
      </w:r>
      <w:r>
        <w:rPr>
          <w:rFonts w:ascii="David" w:eastAsia="Calibri" w:hAnsi="David" w:cs="David" w:hint="cs"/>
          <w:sz w:val="24"/>
          <w:szCs w:val="24"/>
          <w:rtl/>
        </w:rPr>
        <w:t xml:space="preserve">כבד לקבלת הזריקה, </w:t>
      </w:r>
      <w:r w:rsidR="00A348FF">
        <w:rPr>
          <w:rFonts w:ascii="David" w:eastAsia="Calibri" w:hAnsi="David" w:cs="David" w:hint="cs"/>
          <w:sz w:val="24"/>
          <w:szCs w:val="24"/>
          <w:rtl/>
        </w:rPr>
        <w:t xml:space="preserve">וזאת </w:t>
      </w:r>
      <w:r>
        <w:rPr>
          <w:rFonts w:ascii="David" w:eastAsia="Calibri" w:hAnsi="David" w:cs="David" w:hint="cs"/>
          <w:sz w:val="24"/>
          <w:szCs w:val="24"/>
          <w:rtl/>
        </w:rPr>
        <w:t>כדי לצמצם את שיעור הילודה בקרבן. הזריקה נפוצה בעיקר בקרב חוסות ונשים הסובלות מפיגור שכלי.</w:t>
      </w:r>
      <w:r>
        <w:rPr>
          <w:rStyle w:val="a7"/>
          <w:rFonts w:ascii="David" w:eastAsia="Calibri" w:hAnsi="David" w:hint="default"/>
          <w:sz w:val="24"/>
          <w:szCs w:val="24"/>
          <w:rtl/>
        </w:rPr>
        <w:footnoteReference w:id="93"/>
      </w:r>
      <w:r>
        <w:rPr>
          <w:rFonts w:ascii="David" w:eastAsia="Calibri" w:hAnsi="David" w:cs="David" w:hint="cs"/>
          <w:sz w:val="24"/>
          <w:szCs w:val="24"/>
          <w:rtl/>
        </w:rPr>
        <w:t xml:space="preserve"> </w:t>
      </w:r>
      <w:r w:rsidR="00D40CE6">
        <w:rPr>
          <w:rFonts w:ascii="David" w:eastAsia="Calibri" w:hAnsi="David" w:cs="David" w:hint="cs"/>
          <w:sz w:val="24"/>
          <w:szCs w:val="24"/>
          <w:rtl/>
        </w:rPr>
        <w:t>לאחר זמן מה, הוציא מנכ"ל משרד הבריאות דאז, פרופ' רוני גמזו</w:t>
      </w:r>
      <w:r w:rsidR="00A348FF">
        <w:rPr>
          <w:rFonts w:ascii="David" w:eastAsia="Calibri" w:hAnsi="David" w:cs="David" w:hint="cs"/>
          <w:sz w:val="24"/>
          <w:szCs w:val="24"/>
          <w:rtl/>
        </w:rPr>
        <w:t>,</w:t>
      </w:r>
      <w:r w:rsidR="00D40CE6">
        <w:rPr>
          <w:rFonts w:ascii="David" w:eastAsia="Calibri" w:hAnsi="David" w:cs="David" w:hint="cs"/>
          <w:sz w:val="24"/>
          <w:szCs w:val="24"/>
          <w:rtl/>
        </w:rPr>
        <w:t xml:space="preserve"> </w:t>
      </w:r>
      <w:r w:rsidR="00A348FF">
        <w:rPr>
          <w:rFonts w:ascii="David" w:eastAsia="Calibri" w:hAnsi="David" w:cs="David" w:hint="cs"/>
          <w:sz w:val="24"/>
          <w:szCs w:val="24"/>
          <w:rtl/>
        </w:rPr>
        <w:t>הנחיה</w:t>
      </w:r>
      <w:r w:rsidR="00D40CE6">
        <w:rPr>
          <w:rFonts w:ascii="David" w:eastAsia="Calibri" w:hAnsi="David" w:cs="David" w:hint="cs"/>
          <w:sz w:val="24"/>
          <w:szCs w:val="24"/>
          <w:rtl/>
        </w:rPr>
        <w:t xml:space="preserve"> שלא לתת באופן אוטומטי את זריקת הדפו-פרוברה לנשים בנות העדה האתיופית. בכך, המדינה בעצם הודתה הלכה למעשה שלא נקטה באמצעי זהירות ופעלה באופן אקטיבי ברשלנותה כלפי אוכלוסיית הנשים </w:t>
      </w:r>
      <w:r w:rsidR="00A348FF">
        <w:rPr>
          <w:rFonts w:ascii="David" w:eastAsia="Calibri" w:hAnsi="David" w:cs="David" w:hint="cs"/>
          <w:sz w:val="24"/>
          <w:szCs w:val="24"/>
          <w:rtl/>
        </w:rPr>
        <w:t xml:space="preserve">האתיופיות </w:t>
      </w:r>
      <w:r w:rsidR="00D40CE6">
        <w:rPr>
          <w:rFonts w:ascii="David" w:eastAsia="Calibri" w:hAnsi="David" w:cs="David" w:hint="cs"/>
          <w:sz w:val="24"/>
          <w:szCs w:val="24"/>
          <w:rtl/>
        </w:rPr>
        <w:t xml:space="preserve">ולא יידעה אותן אודות הסיכונים. </w:t>
      </w:r>
    </w:p>
    <w:p w:rsidR="00425645" w:rsidRDefault="00425645" w:rsidP="00425645">
      <w:pPr>
        <w:spacing w:after="0" w:line="360" w:lineRule="auto"/>
        <w:jc w:val="both"/>
        <w:rPr>
          <w:rFonts w:ascii="David" w:eastAsia="Calibri" w:hAnsi="David" w:cs="David" w:hint="default"/>
          <w:sz w:val="24"/>
          <w:szCs w:val="24"/>
          <w:rtl/>
        </w:rPr>
      </w:pPr>
    </w:p>
    <w:p w:rsidR="00F57BDD" w:rsidRDefault="00BE211D" w:rsidP="00827B82">
      <w:pPr>
        <w:spacing w:after="0" w:line="360" w:lineRule="auto"/>
        <w:jc w:val="both"/>
        <w:rPr>
          <w:rFonts w:ascii="David" w:eastAsia="Calibri" w:hAnsi="David" w:cs="David" w:hint="default"/>
          <w:sz w:val="24"/>
          <w:szCs w:val="24"/>
          <w:rtl/>
        </w:rPr>
      </w:pPr>
      <w:r>
        <w:rPr>
          <w:rFonts w:ascii="David" w:eastAsia="Calibri" w:hAnsi="David" w:cs="David" w:hint="cs"/>
          <w:sz w:val="24"/>
          <w:szCs w:val="24"/>
          <w:rtl/>
        </w:rPr>
        <w:lastRenderedPageBreak/>
        <w:t>כפי שציינתי לעיל, לא אכנס לפרטיי האוכלוסייה שמשויכת לקבוצה מוחלשת בחברה הישראלית. לכן, גם "האפשרויות"</w:t>
      </w:r>
      <w:r w:rsidR="00093575">
        <w:rPr>
          <w:rFonts w:ascii="David" w:eastAsia="Calibri" w:hAnsi="David" w:cs="David" w:hint="cs"/>
          <w:sz w:val="24"/>
          <w:szCs w:val="24"/>
          <w:rtl/>
        </w:rPr>
        <w:t xml:space="preserve"> שניצבו בפניהן: להגיע ולעשות את </w:t>
      </w:r>
      <w:r w:rsidR="00283B41">
        <w:rPr>
          <w:rFonts w:ascii="David" w:eastAsia="Calibri" w:hAnsi="David" w:cs="David" w:hint="cs"/>
          <w:sz w:val="24"/>
          <w:szCs w:val="24"/>
          <w:rtl/>
        </w:rPr>
        <w:t>הזריקה</w:t>
      </w:r>
      <w:r w:rsidR="00093575">
        <w:rPr>
          <w:rFonts w:ascii="David" w:eastAsia="Calibri" w:hAnsi="David" w:cs="David" w:hint="cs"/>
          <w:sz w:val="24"/>
          <w:szCs w:val="24"/>
          <w:rtl/>
        </w:rPr>
        <w:t xml:space="preserve">, חשש מפני סילוק מן הארץ, </w:t>
      </w:r>
      <w:r w:rsidR="00283B41">
        <w:rPr>
          <w:rFonts w:ascii="David" w:eastAsia="Calibri" w:hAnsi="David" w:cs="David" w:hint="cs"/>
          <w:sz w:val="24"/>
          <w:szCs w:val="24"/>
          <w:rtl/>
        </w:rPr>
        <w:t>להתנגד</w:t>
      </w:r>
      <w:r w:rsidR="00093575">
        <w:rPr>
          <w:rFonts w:ascii="David" w:eastAsia="Calibri" w:hAnsi="David" w:cs="David" w:hint="cs"/>
          <w:sz w:val="24"/>
          <w:szCs w:val="24"/>
          <w:rtl/>
        </w:rPr>
        <w:t xml:space="preserve"> </w:t>
      </w:r>
      <w:r w:rsidR="00827B82">
        <w:rPr>
          <w:rFonts w:ascii="David" w:eastAsia="Calibri" w:hAnsi="David" w:cs="David" w:hint="cs"/>
          <w:sz w:val="24"/>
          <w:szCs w:val="24"/>
          <w:rtl/>
        </w:rPr>
        <w:t xml:space="preserve">ולהתמרד, שלוש </w:t>
      </w:r>
      <w:r w:rsidR="00093575">
        <w:rPr>
          <w:rFonts w:ascii="David" w:eastAsia="Calibri" w:hAnsi="David" w:cs="David" w:hint="cs"/>
          <w:sz w:val="24"/>
          <w:szCs w:val="24"/>
          <w:rtl/>
        </w:rPr>
        <w:t xml:space="preserve"> אפשרויות </w:t>
      </w:r>
      <w:r w:rsidR="00283B41">
        <w:rPr>
          <w:rFonts w:ascii="David" w:eastAsia="Calibri" w:hAnsi="David" w:cs="David" w:hint="cs"/>
          <w:sz w:val="24"/>
          <w:szCs w:val="24"/>
          <w:rtl/>
        </w:rPr>
        <w:t>אלה הן חלק מ</w:t>
      </w:r>
      <w:r w:rsidR="00827B82">
        <w:rPr>
          <w:rFonts w:ascii="David" w:eastAsia="Calibri" w:hAnsi="David" w:cs="David" w:hint="cs"/>
          <w:sz w:val="24"/>
          <w:szCs w:val="24"/>
          <w:rtl/>
        </w:rPr>
        <w:t>טרילמה</w:t>
      </w:r>
      <w:r w:rsidR="00093575">
        <w:rPr>
          <w:rFonts w:ascii="David" w:eastAsia="Calibri" w:hAnsi="David" w:cs="David" w:hint="cs"/>
          <w:sz w:val="24"/>
          <w:szCs w:val="24"/>
          <w:rtl/>
        </w:rPr>
        <w:t xml:space="preserve"> שהפסיקה הגדירה אותה כלא אנושית להעמיד אדם במצב כזה.</w:t>
      </w:r>
      <w:r>
        <w:rPr>
          <w:rStyle w:val="a7"/>
          <w:rFonts w:ascii="David" w:eastAsia="Calibri" w:hAnsi="David" w:hint="default"/>
          <w:sz w:val="24"/>
          <w:szCs w:val="24"/>
          <w:rtl/>
        </w:rPr>
        <w:footnoteReference w:id="94"/>
      </w:r>
      <w:r w:rsidR="005704DE">
        <w:rPr>
          <w:rFonts w:ascii="David" w:eastAsia="Calibri" w:hAnsi="David" w:cs="David" w:hint="cs"/>
          <w:sz w:val="24"/>
          <w:szCs w:val="24"/>
          <w:rtl/>
        </w:rPr>
        <w:t xml:space="preserve"> </w:t>
      </w:r>
      <w:r w:rsidR="00093575">
        <w:rPr>
          <w:rFonts w:ascii="David" w:eastAsia="Calibri" w:hAnsi="David" w:cs="David" w:hint="cs"/>
          <w:sz w:val="24"/>
          <w:szCs w:val="24"/>
          <w:rtl/>
        </w:rPr>
        <w:t xml:space="preserve"> ראוי לציין שמינוח זה הגיע מדיני הראיות. </w:t>
      </w:r>
      <w:r w:rsidR="00425645">
        <w:rPr>
          <w:rFonts w:ascii="David" w:eastAsia="Calibri" w:hAnsi="David" w:cs="David" w:hint="cs"/>
          <w:sz w:val="24"/>
          <w:szCs w:val="24"/>
          <w:rtl/>
        </w:rPr>
        <w:t xml:space="preserve">משכך, על המדינה הייתה מוטלת חובת יידוע לפרסם לנשים העדה האתיופית כי עצם לקיחת </w:t>
      </w:r>
      <w:r w:rsidR="00BC098E">
        <w:rPr>
          <w:rFonts w:ascii="David" w:eastAsia="Calibri" w:hAnsi="David" w:cs="David" w:hint="cs"/>
          <w:sz w:val="24"/>
          <w:szCs w:val="24"/>
          <w:rtl/>
        </w:rPr>
        <w:t>זריקה</w:t>
      </w:r>
      <w:r w:rsidR="00425645">
        <w:rPr>
          <w:rFonts w:ascii="David" w:eastAsia="Calibri" w:hAnsi="David" w:cs="David" w:hint="cs"/>
          <w:sz w:val="24"/>
          <w:szCs w:val="24"/>
          <w:rtl/>
        </w:rPr>
        <w:t xml:space="preserve"> מסוג דפו-פרוברה עלול לצמצם את הילודה</w:t>
      </w:r>
      <w:r w:rsidR="00827B82">
        <w:rPr>
          <w:rFonts w:ascii="David" w:eastAsia="Calibri" w:hAnsi="David" w:cs="David" w:hint="cs"/>
          <w:sz w:val="24"/>
          <w:szCs w:val="24"/>
          <w:rtl/>
        </w:rPr>
        <w:t xml:space="preserve"> וכן יידוע אודות תופעות הלוואי</w:t>
      </w:r>
      <w:r w:rsidR="00425645">
        <w:rPr>
          <w:rFonts w:ascii="David" w:eastAsia="Calibri" w:hAnsi="David" w:cs="David" w:hint="cs"/>
          <w:sz w:val="24"/>
          <w:szCs w:val="24"/>
          <w:rtl/>
        </w:rPr>
        <w:t xml:space="preserve">, בכך המדינה התערבה בחיי תכנון המשפחה. עולה כי משהמדינה לא עשתה דבר היא חבה באחריות כלפיהן. </w:t>
      </w:r>
    </w:p>
    <w:p w:rsidR="00F57BDD" w:rsidRDefault="00F57BDD" w:rsidP="00F57BDD">
      <w:pPr>
        <w:spacing w:after="0" w:line="360" w:lineRule="auto"/>
        <w:jc w:val="both"/>
        <w:rPr>
          <w:rFonts w:ascii="David" w:eastAsia="Calibri" w:hAnsi="David" w:cs="David" w:hint="default"/>
          <w:sz w:val="24"/>
          <w:szCs w:val="24"/>
          <w:rtl/>
        </w:rPr>
      </w:pPr>
    </w:p>
    <w:p w:rsidR="004867AF" w:rsidRDefault="00BE211D" w:rsidP="00D40CE6">
      <w:pPr>
        <w:spacing w:after="0" w:line="360" w:lineRule="auto"/>
        <w:jc w:val="both"/>
        <w:rPr>
          <w:rFonts w:ascii="David" w:eastAsia="Calibri" w:hAnsi="David" w:cs="David" w:hint="default"/>
          <w:b/>
          <w:bCs/>
          <w:sz w:val="24"/>
          <w:szCs w:val="24"/>
          <w:u w:val="single"/>
          <w:rtl/>
        </w:rPr>
      </w:pPr>
      <w:r>
        <w:rPr>
          <w:rFonts w:ascii="David" w:eastAsia="Calibri" w:hAnsi="David" w:cs="David" w:hint="cs"/>
          <w:b/>
          <w:bCs/>
          <w:sz w:val="24"/>
          <w:szCs w:val="24"/>
          <w:u w:val="single"/>
          <w:rtl/>
        </w:rPr>
        <w:t xml:space="preserve">ג2. פס"ד איבי </w:t>
      </w:r>
      <w:r>
        <w:rPr>
          <w:rFonts w:ascii="David" w:eastAsia="Calibri" w:hAnsi="David" w:cs="David" w:hint="default"/>
          <w:b/>
          <w:bCs/>
          <w:sz w:val="24"/>
          <w:szCs w:val="24"/>
          <w:u w:val="single"/>
          <w:rtl/>
        </w:rPr>
        <w:t>–</w:t>
      </w:r>
      <w:r>
        <w:rPr>
          <w:rFonts w:ascii="David" w:eastAsia="Calibri" w:hAnsi="David" w:cs="David" w:hint="cs"/>
          <w:b/>
          <w:bCs/>
          <w:sz w:val="24"/>
          <w:szCs w:val="24"/>
          <w:u w:val="single"/>
          <w:rtl/>
        </w:rPr>
        <w:t xml:space="preserve"> נפגעי הגזזת </w:t>
      </w:r>
    </w:p>
    <w:p w:rsidR="00495934" w:rsidRDefault="00BE211D" w:rsidP="00C7268D">
      <w:pPr>
        <w:spacing w:after="0" w:line="360" w:lineRule="auto"/>
        <w:jc w:val="both"/>
        <w:rPr>
          <w:rFonts w:ascii="David" w:hAnsi="David" w:cs="David" w:hint="default"/>
          <w:sz w:val="24"/>
          <w:szCs w:val="24"/>
          <w:rtl/>
        </w:rPr>
      </w:pPr>
      <w:r>
        <w:rPr>
          <w:rFonts w:ascii="David" w:hAnsi="David" w:cs="David" w:hint="cs"/>
          <w:sz w:val="24"/>
          <w:szCs w:val="24"/>
          <w:rtl/>
        </w:rPr>
        <w:t xml:space="preserve">בשנות החמישים </w:t>
      </w:r>
      <w:r w:rsidR="00B04E79">
        <w:rPr>
          <w:rFonts w:ascii="David" w:hAnsi="David" w:cs="David" w:hint="cs"/>
          <w:sz w:val="24"/>
          <w:szCs w:val="24"/>
          <w:rtl/>
        </w:rPr>
        <w:t>עם</w:t>
      </w:r>
      <w:r w:rsidR="00405D88">
        <w:rPr>
          <w:rFonts w:ascii="David" w:hAnsi="David" w:cs="David" w:hint="cs"/>
          <w:sz w:val="24"/>
          <w:szCs w:val="24"/>
          <w:rtl/>
        </w:rPr>
        <w:t xml:space="preserve"> קום המדינה, בזמן ה</w:t>
      </w:r>
      <w:r w:rsidR="00B04E79">
        <w:rPr>
          <w:rFonts w:ascii="David" w:hAnsi="David" w:cs="David" w:hint="cs"/>
          <w:sz w:val="24"/>
          <w:szCs w:val="24"/>
          <w:rtl/>
        </w:rPr>
        <w:t>עלייה הגדולה לארץ ישראל, התפשטה מחלת עור בעיקר במעברות</w:t>
      </w:r>
      <w:r w:rsidR="00405D88">
        <w:rPr>
          <w:rFonts w:ascii="David" w:hAnsi="David" w:cs="David" w:hint="cs"/>
          <w:sz w:val="24"/>
          <w:szCs w:val="24"/>
          <w:rtl/>
        </w:rPr>
        <w:t xml:space="preserve">. </w:t>
      </w:r>
      <w:r w:rsidR="00B47AE6">
        <w:rPr>
          <w:rFonts w:ascii="David" w:hAnsi="David" w:cs="David" w:hint="cs"/>
          <w:sz w:val="24"/>
          <w:szCs w:val="24"/>
          <w:rtl/>
        </w:rPr>
        <w:t xml:space="preserve">הסיבה לכך </w:t>
      </w:r>
      <w:r w:rsidR="00405D88">
        <w:rPr>
          <w:rFonts w:ascii="David" w:hAnsi="David" w:cs="David" w:hint="cs"/>
          <w:sz w:val="24"/>
          <w:szCs w:val="24"/>
          <w:rtl/>
        </w:rPr>
        <w:t>הייתה</w:t>
      </w:r>
      <w:r w:rsidR="00B47AE6">
        <w:rPr>
          <w:rFonts w:ascii="David" w:hAnsi="David" w:cs="David" w:hint="cs"/>
          <w:sz w:val="24"/>
          <w:szCs w:val="24"/>
          <w:rtl/>
        </w:rPr>
        <w:t xml:space="preserve"> בשל </w:t>
      </w:r>
      <w:r w:rsidR="00B04E79">
        <w:rPr>
          <w:rFonts w:ascii="David" w:hAnsi="David" w:cs="David" w:hint="cs"/>
          <w:sz w:val="24"/>
          <w:szCs w:val="24"/>
          <w:rtl/>
        </w:rPr>
        <w:t>צפיפות</w:t>
      </w:r>
      <w:r w:rsidR="00B47AE6">
        <w:rPr>
          <w:rFonts w:ascii="David" w:hAnsi="David" w:cs="David" w:hint="cs"/>
          <w:sz w:val="24"/>
          <w:szCs w:val="24"/>
          <w:rtl/>
        </w:rPr>
        <w:t xml:space="preserve"> אוכלוסין</w:t>
      </w:r>
      <w:r w:rsidR="00B04E79">
        <w:rPr>
          <w:rFonts w:ascii="David" w:hAnsi="David" w:cs="David" w:hint="cs"/>
          <w:sz w:val="24"/>
          <w:szCs w:val="24"/>
          <w:rtl/>
        </w:rPr>
        <w:t xml:space="preserve"> ואמצעי תברואה ירודים.</w:t>
      </w:r>
      <w:r w:rsidR="00BA0ECA">
        <w:rPr>
          <w:rFonts w:ascii="David" w:hAnsi="David" w:cs="David" w:hint="cs"/>
          <w:sz w:val="24"/>
          <w:szCs w:val="24"/>
          <w:rtl/>
        </w:rPr>
        <w:t xml:space="preserve"> מחלת עור </w:t>
      </w:r>
      <w:r w:rsidR="00FD4983">
        <w:rPr>
          <w:rFonts w:ascii="David" w:hAnsi="David" w:cs="David" w:hint="cs"/>
          <w:sz w:val="24"/>
          <w:szCs w:val="24"/>
          <w:rtl/>
        </w:rPr>
        <w:t>זו</w:t>
      </w:r>
      <w:r w:rsidR="00BA0ECA">
        <w:rPr>
          <w:rFonts w:ascii="David" w:hAnsi="David" w:cs="David" w:hint="cs"/>
          <w:sz w:val="24"/>
          <w:szCs w:val="24"/>
          <w:rtl/>
        </w:rPr>
        <w:t xml:space="preserve"> נקראת הגזזת. היום ניתן לטפל במחלה באמצעות תרופה או משחה, אך בשנות החמישים של המאה הקודמת, בטרם </w:t>
      </w:r>
      <w:r w:rsidR="00FD4983">
        <w:rPr>
          <w:rFonts w:ascii="David" w:hAnsi="David" w:cs="David" w:hint="cs"/>
          <w:sz w:val="24"/>
          <w:szCs w:val="24"/>
          <w:rtl/>
        </w:rPr>
        <w:t>התפתחות</w:t>
      </w:r>
      <w:r w:rsidR="00BA0ECA">
        <w:rPr>
          <w:rFonts w:ascii="David" w:hAnsi="David" w:cs="David" w:hint="cs"/>
          <w:sz w:val="24"/>
          <w:szCs w:val="24"/>
          <w:rtl/>
        </w:rPr>
        <w:t xml:space="preserve"> הרפואה</w:t>
      </w:r>
      <w:r w:rsidR="00C7268D">
        <w:rPr>
          <w:rFonts w:ascii="David" w:hAnsi="David" w:cs="David" w:hint="cs"/>
          <w:sz w:val="24"/>
          <w:szCs w:val="24"/>
          <w:rtl/>
        </w:rPr>
        <w:t>,</w:t>
      </w:r>
      <w:r w:rsidR="00BA0ECA">
        <w:rPr>
          <w:rFonts w:ascii="David" w:hAnsi="David" w:cs="David" w:hint="cs"/>
          <w:sz w:val="24"/>
          <w:szCs w:val="24"/>
          <w:rtl/>
        </w:rPr>
        <w:t xml:space="preserve"> הטיפול נעשה באמצעות הקרנות</w:t>
      </w:r>
      <w:r w:rsidR="00B04E79">
        <w:rPr>
          <w:rFonts w:ascii="David" w:hAnsi="David" w:cs="David" w:hint="cs"/>
          <w:sz w:val="24"/>
          <w:szCs w:val="24"/>
          <w:rtl/>
        </w:rPr>
        <w:t xml:space="preserve"> </w:t>
      </w:r>
      <w:r>
        <w:rPr>
          <w:rFonts w:ascii="David" w:hAnsi="David" w:cs="David" w:hint="cs"/>
          <w:sz w:val="24"/>
          <w:szCs w:val="24"/>
          <w:rtl/>
        </w:rPr>
        <w:t xml:space="preserve">רנטגן באזורים הנגועים. </w:t>
      </w:r>
      <w:r w:rsidR="00BA0ECA">
        <w:rPr>
          <w:rFonts w:ascii="David" w:hAnsi="David" w:cs="David" w:hint="cs"/>
          <w:sz w:val="24"/>
          <w:szCs w:val="24"/>
          <w:rtl/>
        </w:rPr>
        <w:t xml:space="preserve">באותה עת, </w:t>
      </w:r>
      <w:r w:rsidR="00C7268D">
        <w:rPr>
          <w:rFonts w:ascii="David" w:hAnsi="David" w:cs="David" w:hint="cs"/>
          <w:sz w:val="24"/>
          <w:szCs w:val="24"/>
          <w:rtl/>
        </w:rPr>
        <w:t xml:space="preserve">לא היה ידוע שהקרנות </w:t>
      </w:r>
      <w:r w:rsidR="00BA0ECA">
        <w:rPr>
          <w:rFonts w:ascii="David" w:hAnsi="David" w:cs="David" w:hint="cs"/>
          <w:sz w:val="24"/>
          <w:szCs w:val="24"/>
          <w:rtl/>
        </w:rPr>
        <w:t>בצורה ניכרת</w:t>
      </w:r>
      <w:r w:rsidR="00C7268D">
        <w:rPr>
          <w:rFonts w:ascii="David" w:hAnsi="David" w:cs="David" w:hint="cs"/>
          <w:sz w:val="24"/>
          <w:szCs w:val="24"/>
          <w:rtl/>
        </w:rPr>
        <w:t xml:space="preserve"> את הסיכון</w:t>
      </w:r>
      <w:r w:rsidR="00BA0ECA">
        <w:rPr>
          <w:rFonts w:ascii="David" w:hAnsi="David" w:cs="David" w:hint="cs"/>
          <w:sz w:val="24"/>
          <w:szCs w:val="24"/>
          <w:rtl/>
        </w:rPr>
        <w:t xml:space="preserve"> לחלות ולסבול מגידולים, בעיקר לחלות במחלת הסרטן.</w:t>
      </w:r>
      <w:r>
        <w:rPr>
          <w:rStyle w:val="a7"/>
          <w:rFonts w:ascii="David" w:hAnsi="David" w:hint="default"/>
          <w:sz w:val="24"/>
          <w:szCs w:val="24"/>
          <w:rtl/>
        </w:rPr>
        <w:footnoteReference w:id="95"/>
      </w:r>
    </w:p>
    <w:p w:rsidR="00C7268D" w:rsidRDefault="00C7268D" w:rsidP="00C7268D">
      <w:pPr>
        <w:spacing w:after="0" w:line="360" w:lineRule="auto"/>
        <w:jc w:val="both"/>
        <w:rPr>
          <w:rFonts w:ascii="David" w:hAnsi="David" w:cs="David" w:hint="default"/>
          <w:sz w:val="24"/>
          <w:szCs w:val="24"/>
          <w:rtl/>
        </w:rPr>
      </w:pPr>
    </w:p>
    <w:p w:rsidR="00495934" w:rsidRDefault="00BE211D" w:rsidP="008F73E6">
      <w:pPr>
        <w:spacing w:after="0" w:line="360" w:lineRule="auto"/>
        <w:jc w:val="both"/>
        <w:rPr>
          <w:rFonts w:ascii="David" w:hAnsi="David" w:cs="David" w:hint="default"/>
          <w:sz w:val="24"/>
          <w:szCs w:val="24"/>
          <w:rtl/>
        </w:rPr>
      </w:pPr>
      <w:r>
        <w:rPr>
          <w:rFonts w:ascii="David" w:hAnsi="David" w:cs="David" w:hint="cs"/>
          <w:sz w:val="24"/>
          <w:szCs w:val="24"/>
          <w:rtl/>
        </w:rPr>
        <w:t xml:space="preserve">לאחר </w:t>
      </w:r>
      <w:r w:rsidR="006339D9">
        <w:rPr>
          <w:rFonts w:ascii="David" w:hAnsi="David" w:cs="David" w:hint="cs"/>
          <w:sz w:val="24"/>
          <w:szCs w:val="24"/>
          <w:rtl/>
        </w:rPr>
        <w:t>תובענות רבות של נפגעי טיפול הגזזת הגיע</w:t>
      </w:r>
      <w:r>
        <w:rPr>
          <w:rFonts w:ascii="David" w:hAnsi="David" w:cs="David" w:hint="cs"/>
          <w:sz w:val="24"/>
          <w:szCs w:val="24"/>
          <w:rtl/>
        </w:rPr>
        <w:t xml:space="preserve"> </w:t>
      </w:r>
      <w:r w:rsidR="006339D9">
        <w:rPr>
          <w:rFonts w:ascii="David" w:hAnsi="David" w:cs="David" w:hint="cs"/>
          <w:sz w:val="24"/>
          <w:szCs w:val="24"/>
          <w:rtl/>
        </w:rPr>
        <w:t>ערעור אזרחי ב</w:t>
      </w:r>
      <w:r>
        <w:rPr>
          <w:rFonts w:ascii="David" w:hAnsi="David" w:cs="David" w:hint="cs"/>
          <w:sz w:val="24"/>
          <w:szCs w:val="24"/>
          <w:rtl/>
        </w:rPr>
        <w:t xml:space="preserve">עניין איבי לפתחו של </w:t>
      </w:r>
      <w:r w:rsidR="005E0B4C">
        <w:rPr>
          <w:rFonts w:ascii="David" w:hAnsi="David" w:cs="David" w:hint="cs"/>
          <w:sz w:val="24"/>
          <w:szCs w:val="24"/>
          <w:rtl/>
        </w:rPr>
        <w:t>ביהמ"ש</w:t>
      </w:r>
      <w:r>
        <w:rPr>
          <w:rFonts w:ascii="David" w:hAnsi="David" w:cs="David" w:hint="cs"/>
          <w:sz w:val="24"/>
          <w:szCs w:val="24"/>
          <w:rtl/>
        </w:rPr>
        <w:t xml:space="preserve"> העליון. </w:t>
      </w:r>
      <w:r w:rsidR="0036381E">
        <w:rPr>
          <w:rFonts w:ascii="David" w:hAnsi="David" w:cs="David" w:hint="cs"/>
          <w:sz w:val="24"/>
          <w:szCs w:val="24"/>
          <w:rtl/>
        </w:rPr>
        <w:t>ביהמ"ש</w:t>
      </w:r>
      <w:r>
        <w:rPr>
          <w:rFonts w:ascii="David" w:hAnsi="David" w:cs="David" w:hint="cs"/>
          <w:sz w:val="24"/>
          <w:szCs w:val="24"/>
          <w:rtl/>
        </w:rPr>
        <w:t xml:space="preserve"> העליון</w:t>
      </w:r>
      <w:r w:rsidR="00F33200">
        <w:rPr>
          <w:rFonts w:ascii="David" w:hAnsi="David" w:cs="David" w:hint="cs"/>
          <w:sz w:val="24"/>
          <w:szCs w:val="24"/>
          <w:rtl/>
        </w:rPr>
        <w:t>,</w:t>
      </w:r>
      <w:r>
        <w:rPr>
          <w:rFonts w:ascii="David" w:hAnsi="David" w:cs="David" w:hint="cs"/>
          <w:sz w:val="24"/>
          <w:szCs w:val="24"/>
          <w:rtl/>
        </w:rPr>
        <w:t xml:space="preserve"> מפי</w:t>
      </w:r>
      <w:r w:rsidR="00283B41">
        <w:rPr>
          <w:rFonts w:ascii="David" w:hAnsi="David" w:cs="David" w:hint="cs"/>
          <w:sz w:val="24"/>
          <w:szCs w:val="24"/>
          <w:rtl/>
        </w:rPr>
        <w:t xml:space="preserve"> כבוד</w:t>
      </w:r>
      <w:r>
        <w:rPr>
          <w:rFonts w:ascii="David" w:hAnsi="David" w:cs="David" w:hint="cs"/>
          <w:sz w:val="24"/>
          <w:szCs w:val="24"/>
          <w:rtl/>
        </w:rPr>
        <w:t xml:space="preserve"> השופטת אסתר חיות</w:t>
      </w:r>
      <w:r w:rsidR="005E0B4C">
        <w:rPr>
          <w:rFonts w:ascii="David" w:hAnsi="David" w:cs="David" w:hint="cs"/>
          <w:sz w:val="24"/>
          <w:szCs w:val="24"/>
          <w:rtl/>
        </w:rPr>
        <w:t>,</w:t>
      </w:r>
      <w:r>
        <w:rPr>
          <w:rFonts w:ascii="David" w:hAnsi="David" w:cs="David" w:hint="cs"/>
          <w:sz w:val="24"/>
          <w:szCs w:val="24"/>
          <w:rtl/>
        </w:rPr>
        <w:t xml:space="preserve"> קבע כי על המדינה חלה חובה ליידע את נפגעי הגזזת על הסיכון המוגבר שלהם לתחלואה בשל הקרנות שעברו בילדותם. חובת היידוע חלה על המדינה לפי דיני הנזיקין הכללי</w:t>
      </w:r>
      <w:r w:rsidR="00514997">
        <w:rPr>
          <w:rFonts w:ascii="David" w:hAnsi="David" w:cs="David" w:hint="cs"/>
          <w:sz w:val="24"/>
          <w:szCs w:val="24"/>
          <w:rtl/>
        </w:rPr>
        <w:t>ים</w:t>
      </w:r>
      <w:r>
        <w:rPr>
          <w:rFonts w:ascii="David" w:hAnsi="David" w:cs="David" w:hint="cs"/>
          <w:sz w:val="24"/>
          <w:szCs w:val="24"/>
          <w:rtl/>
        </w:rPr>
        <w:t xml:space="preserve"> ובמסגרת עוולת הרשלנות. </w:t>
      </w:r>
      <w:r w:rsidR="008F73E6">
        <w:rPr>
          <w:rFonts w:ascii="David" w:hAnsi="David" w:cs="David" w:hint="cs"/>
          <w:sz w:val="24"/>
          <w:szCs w:val="24"/>
          <w:rtl/>
        </w:rPr>
        <w:t>ביהמ"ש</w:t>
      </w:r>
      <w:r>
        <w:rPr>
          <w:rFonts w:ascii="David" w:hAnsi="David" w:cs="David" w:hint="cs"/>
          <w:sz w:val="24"/>
          <w:szCs w:val="24"/>
          <w:rtl/>
        </w:rPr>
        <w:t xml:space="preserve"> ראה כי חובה זאת הופרה על ידי המדינה ובכך היא נושאת באחריות נזיקית כלפי מטופלי הגזזת מכוח עילת הרשלנות.</w:t>
      </w:r>
      <w:r>
        <w:rPr>
          <w:rStyle w:val="a7"/>
          <w:rFonts w:ascii="David" w:hAnsi="David" w:hint="default"/>
          <w:sz w:val="24"/>
          <w:szCs w:val="24"/>
          <w:rtl/>
        </w:rPr>
        <w:footnoteReference w:id="96"/>
      </w:r>
    </w:p>
    <w:p w:rsidR="004B77F3" w:rsidRDefault="004B77F3" w:rsidP="004B77F3">
      <w:pPr>
        <w:spacing w:after="0" w:line="360" w:lineRule="auto"/>
        <w:jc w:val="both"/>
        <w:rPr>
          <w:rFonts w:ascii="David" w:hAnsi="David" w:cs="David" w:hint="default"/>
          <w:sz w:val="24"/>
          <w:szCs w:val="24"/>
          <w:rtl/>
        </w:rPr>
      </w:pPr>
    </w:p>
    <w:p w:rsidR="008C4E3A" w:rsidRDefault="00BE211D" w:rsidP="00A8139C">
      <w:pPr>
        <w:spacing w:after="0" w:line="360" w:lineRule="auto"/>
        <w:jc w:val="both"/>
        <w:rPr>
          <w:rFonts w:ascii="David" w:hAnsi="David" w:cs="David" w:hint="default"/>
          <w:sz w:val="24"/>
          <w:szCs w:val="24"/>
          <w:rtl/>
        </w:rPr>
      </w:pPr>
      <w:r>
        <w:rPr>
          <w:rFonts w:ascii="David" w:hAnsi="David" w:cs="David" w:hint="cs"/>
          <w:sz w:val="24"/>
          <w:szCs w:val="24"/>
          <w:rtl/>
        </w:rPr>
        <w:t xml:space="preserve">נראה כי </w:t>
      </w:r>
      <w:r w:rsidR="00A8139C">
        <w:rPr>
          <w:rFonts w:ascii="David" w:hAnsi="David" w:cs="David" w:hint="cs"/>
          <w:sz w:val="24"/>
          <w:szCs w:val="24"/>
          <w:rtl/>
        </w:rPr>
        <w:t>ביהמ"ש</w:t>
      </w:r>
      <w:r>
        <w:rPr>
          <w:rFonts w:ascii="David" w:hAnsi="David" w:cs="David" w:hint="cs"/>
          <w:sz w:val="24"/>
          <w:szCs w:val="24"/>
          <w:rtl/>
        </w:rPr>
        <w:t xml:space="preserve"> העליון מתח ביקורת קשה על כך שהמדינה חדלה במשך שנים ולא יידעה את אוכלוסיית מטופלי הגזזת שעברו </w:t>
      </w:r>
      <w:r w:rsidR="00514997">
        <w:rPr>
          <w:rFonts w:ascii="David" w:hAnsi="David" w:cs="David" w:hint="cs"/>
          <w:sz w:val="24"/>
          <w:szCs w:val="24"/>
          <w:rtl/>
        </w:rPr>
        <w:t xml:space="preserve">הקרנות </w:t>
      </w:r>
      <w:r>
        <w:rPr>
          <w:rFonts w:ascii="David" w:hAnsi="David" w:cs="David" w:hint="cs"/>
          <w:sz w:val="24"/>
          <w:szCs w:val="24"/>
          <w:rtl/>
        </w:rPr>
        <w:t xml:space="preserve">בילדותם כי הסיכון שלהם מוגבר לחלות </w:t>
      </w:r>
      <w:r>
        <w:rPr>
          <w:rFonts w:ascii="David" w:hAnsi="David" w:cs="David" w:hint="cs"/>
          <w:sz w:val="24"/>
          <w:szCs w:val="24"/>
          <w:rtl/>
        </w:rPr>
        <w:t>בסרטן. שר הבריאות דאז, אהוד אולמרט</w:t>
      </w:r>
      <w:r w:rsidR="008F5E21">
        <w:rPr>
          <w:rFonts w:ascii="David" w:hAnsi="David" w:cs="David" w:hint="cs"/>
          <w:sz w:val="24"/>
          <w:szCs w:val="24"/>
          <w:rtl/>
        </w:rPr>
        <w:t>,</w:t>
      </w:r>
      <w:r>
        <w:rPr>
          <w:rFonts w:ascii="David" w:hAnsi="David" w:cs="David" w:hint="cs"/>
          <w:sz w:val="24"/>
          <w:szCs w:val="24"/>
          <w:rtl/>
        </w:rPr>
        <w:t xml:space="preserve"> הורה בשנת 1991 לפעול "למתן הנחיות לרופאים להקרנות רנטגן לנפגעי מחלת הגזזת".</w:t>
      </w:r>
      <w:r>
        <w:rPr>
          <w:rStyle w:val="a7"/>
          <w:rFonts w:ascii="David" w:hAnsi="David" w:hint="default"/>
          <w:sz w:val="24"/>
          <w:szCs w:val="24"/>
          <w:rtl/>
        </w:rPr>
        <w:footnoteReference w:id="97"/>
      </w:r>
      <w:r>
        <w:rPr>
          <w:rFonts w:ascii="David" w:hAnsi="David" w:cs="David" w:hint="cs"/>
          <w:sz w:val="24"/>
          <w:szCs w:val="24"/>
          <w:rtl/>
        </w:rPr>
        <w:t xml:space="preserve"> </w:t>
      </w:r>
      <w:r w:rsidR="00A832FC">
        <w:rPr>
          <w:rFonts w:ascii="David" w:hAnsi="David" w:cs="David" w:hint="cs"/>
          <w:sz w:val="24"/>
          <w:szCs w:val="24"/>
          <w:rtl/>
        </w:rPr>
        <w:t xml:space="preserve">השופטת חיות בפס"ד איבי קבעה כי על הרופא מוטלת החובה לגלות מידע למטופליו, ובכך ליידע את מטופלי הגזזת על הסיכון של ההקרנות, זאת בייחוד בשל העובדה כי המדינה היא זאת שיצרה את הסיכון. לאור כך, השופטת קבעה שהמדינה הפרה חובה זו במרוצת השנים (1991-2009), </w:t>
      </w:r>
      <w:r w:rsidR="00514997">
        <w:rPr>
          <w:rFonts w:ascii="David" w:hAnsi="David" w:cs="David" w:hint="cs"/>
          <w:sz w:val="24"/>
          <w:szCs w:val="24"/>
          <w:rtl/>
        </w:rPr>
        <w:t>ו</w:t>
      </w:r>
      <w:r w:rsidR="00A832FC">
        <w:rPr>
          <w:rFonts w:ascii="David" w:hAnsi="David" w:cs="David" w:hint="cs"/>
          <w:sz w:val="24"/>
          <w:szCs w:val="24"/>
          <w:rtl/>
        </w:rPr>
        <w:t>מכאן שהיא נושאת באחריות כלפי מטופליה.</w:t>
      </w:r>
      <w:r>
        <w:rPr>
          <w:rStyle w:val="a7"/>
          <w:rFonts w:ascii="David" w:hAnsi="David" w:hint="default"/>
          <w:sz w:val="24"/>
          <w:szCs w:val="24"/>
          <w:rtl/>
        </w:rPr>
        <w:footnoteReference w:id="98"/>
      </w:r>
      <w:r w:rsidR="00A832FC">
        <w:rPr>
          <w:rFonts w:ascii="David" w:hAnsi="David" w:cs="David" w:hint="cs"/>
          <w:sz w:val="24"/>
          <w:szCs w:val="24"/>
          <w:rtl/>
        </w:rPr>
        <w:t xml:space="preserve"> </w:t>
      </w:r>
      <w:r w:rsidR="00F724FF">
        <w:rPr>
          <w:rFonts w:ascii="David" w:hAnsi="David" w:cs="David" w:hint="cs"/>
          <w:sz w:val="24"/>
          <w:szCs w:val="24"/>
          <w:rtl/>
        </w:rPr>
        <w:t>עוד הוסיפה השופטת חיות, לעניין הנזק והקשר הסיבתי</w:t>
      </w:r>
      <w:r w:rsidR="00A8139C">
        <w:rPr>
          <w:rFonts w:ascii="David" w:hAnsi="David" w:cs="David" w:hint="cs"/>
          <w:sz w:val="24"/>
          <w:szCs w:val="24"/>
          <w:rtl/>
        </w:rPr>
        <w:t>,</w:t>
      </w:r>
      <w:r w:rsidR="00F724FF">
        <w:rPr>
          <w:rFonts w:ascii="David" w:hAnsi="David" w:cs="David" w:hint="cs"/>
          <w:sz w:val="24"/>
          <w:szCs w:val="24"/>
          <w:rtl/>
        </w:rPr>
        <w:t xml:space="preserve"> יש לפסוק </w:t>
      </w:r>
      <w:r w:rsidR="00514997">
        <w:rPr>
          <w:rFonts w:ascii="David" w:hAnsi="David" w:cs="David" w:hint="cs"/>
          <w:sz w:val="24"/>
          <w:szCs w:val="24"/>
          <w:rtl/>
        </w:rPr>
        <w:t>פיצוי בגין</w:t>
      </w:r>
      <w:r w:rsidR="00F724FF">
        <w:rPr>
          <w:rFonts w:ascii="David" w:hAnsi="David" w:cs="David" w:hint="cs"/>
          <w:sz w:val="24"/>
          <w:szCs w:val="24"/>
          <w:rtl/>
        </w:rPr>
        <w:t xml:space="preserve"> אובדן סיכויי החלמה ולעיתים </w:t>
      </w:r>
      <w:r w:rsidR="00F724FF">
        <w:rPr>
          <w:rFonts w:ascii="David" w:hAnsi="David" w:cs="David" w:hint="cs"/>
          <w:sz w:val="24"/>
          <w:szCs w:val="24"/>
          <w:rtl/>
        </w:rPr>
        <w:lastRenderedPageBreak/>
        <w:t xml:space="preserve">אף </w:t>
      </w:r>
      <w:r w:rsidR="00514997">
        <w:rPr>
          <w:rFonts w:ascii="David" w:hAnsi="David" w:cs="David" w:hint="cs"/>
          <w:sz w:val="24"/>
          <w:szCs w:val="24"/>
          <w:rtl/>
        </w:rPr>
        <w:t>עבור ה</w:t>
      </w:r>
      <w:r w:rsidR="00F724FF">
        <w:rPr>
          <w:rFonts w:ascii="David" w:hAnsi="David" w:cs="David" w:hint="cs"/>
          <w:sz w:val="24"/>
          <w:szCs w:val="24"/>
          <w:rtl/>
        </w:rPr>
        <w:t xml:space="preserve">פגיעה באוטונומיה. זאת לאחר </w:t>
      </w:r>
      <w:r w:rsidR="00514997">
        <w:rPr>
          <w:rFonts w:ascii="David" w:hAnsi="David" w:cs="David" w:hint="cs"/>
          <w:sz w:val="24"/>
          <w:szCs w:val="24"/>
          <w:rtl/>
        </w:rPr>
        <w:t>בחינת</w:t>
      </w:r>
      <w:r w:rsidR="00F724FF">
        <w:rPr>
          <w:rFonts w:ascii="David" w:hAnsi="David" w:cs="David" w:hint="cs"/>
          <w:sz w:val="24"/>
          <w:szCs w:val="24"/>
          <w:rtl/>
        </w:rPr>
        <w:t xml:space="preserve"> כל מקרה לגופו תוך הימנעות מכפל פיצויים גם </w:t>
      </w:r>
      <w:r w:rsidR="00514997">
        <w:rPr>
          <w:rFonts w:ascii="David" w:hAnsi="David" w:cs="David" w:hint="cs"/>
          <w:sz w:val="24"/>
          <w:szCs w:val="24"/>
          <w:rtl/>
        </w:rPr>
        <w:t>מכוח</w:t>
      </w:r>
      <w:r w:rsidR="00F724FF">
        <w:rPr>
          <w:rFonts w:ascii="David" w:hAnsi="David" w:cs="David" w:hint="cs"/>
          <w:sz w:val="24"/>
          <w:szCs w:val="24"/>
          <w:rtl/>
        </w:rPr>
        <w:t xml:space="preserve"> החוק לפיצוי נפגעי הגזזת,</w:t>
      </w:r>
      <w:r>
        <w:rPr>
          <w:rStyle w:val="a7"/>
          <w:rFonts w:ascii="David" w:hAnsi="David" w:hint="default"/>
          <w:sz w:val="24"/>
          <w:szCs w:val="24"/>
          <w:rtl/>
        </w:rPr>
        <w:footnoteReference w:id="99"/>
      </w:r>
      <w:r w:rsidR="00F724FF">
        <w:rPr>
          <w:rFonts w:ascii="David" w:hAnsi="David" w:cs="David" w:hint="cs"/>
          <w:sz w:val="24"/>
          <w:szCs w:val="24"/>
          <w:rtl/>
        </w:rPr>
        <w:t xml:space="preserve"> וגם לפי דיני הנזיקין.</w:t>
      </w:r>
      <w:r>
        <w:rPr>
          <w:rStyle w:val="a7"/>
          <w:rFonts w:ascii="David" w:hAnsi="David" w:hint="default"/>
          <w:sz w:val="24"/>
          <w:szCs w:val="24"/>
          <w:rtl/>
        </w:rPr>
        <w:footnoteReference w:id="100"/>
      </w:r>
      <w:r w:rsidR="00F724FF">
        <w:rPr>
          <w:rFonts w:ascii="David" w:hAnsi="David" w:cs="David" w:hint="cs"/>
          <w:sz w:val="24"/>
          <w:szCs w:val="24"/>
          <w:rtl/>
        </w:rPr>
        <w:t xml:space="preserve"> </w:t>
      </w:r>
    </w:p>
    <w:p w:rsidR="00A832FC" w:rsidRDefault="00A832FC" w:rsidP="004B77F3">
      <w:pPr>
        <w:spacing w:after="0" w:line="360" w:lineRule="auto"/>
        <w:jc w:val="both"/>
        <w:rPr>
          <w:rFonts w:ascii="David" w:hAnsi="David" w:cs="David" w:hint="default"/>
          <w:sz w:val="24"/>
          <w:szCs w:val="24"/>
          <w:rtl/>
        </w:rPr>
      </w:pPr>
    </w:p>
    <w:p w:rsidR="004867AF" w:rsidRDefault="00BE211D" w:rsidP="00092EDA">
      <w:pPr>
        <w:spacing w:after="0" w:line="360" w:lineRule="auto"/>
        <w:jc w:val="both"/>
        <w:rPr>
          <w:rFonts w:ascii="David" w:eastAsia="Calibri" w:hAnsi="David" w:cs="David" w:hint="default"/>
          <w:sz w:val="24"/>
          <w:szCs w:val="24"/>
          <w:rtl/>
        </w:rPr>
      </w:pPr>
      <w:r>
        <w:rPr>
          <w:rFonts w:ascii="David" w:hAnsi="David" w:cs="David" w:hint="cs"/>
          <w:sz w:val="24"/>
          <w:szCs w:val="24"/>
          <w:rtl/>
        </w:rPr>
        <w:t>בעניין הגזזת</w:t>
      </w:r>
      <w:r w:rsidR="00D71681">
        <w:rPr>
          <w:rFonts w:ascii="David" w:hAnsi="David" w:cs="David" w:hint="cs"/>
          <w:sz w:val="24"/>
          <w:szCs w:val="24"/>
          <w:rtl/>
        </w:rPr>
        <w:t xml:space="preserve"> משרד הבריאות הוא זה שנתן את הטיפול לחולי הגזזת. לכן, ביהמ"ש מטיל חובת גילוי על המדינה כי היא </w:t>
      </w:r>
      <w:r>
        <w:rPr>
          <w:rFonts w:ascii="David" w:hAnsi="David" w:cs="David" w:hint="cs"/>
          <w:sz w:val="24"/>
          <w:szCs w:val="24"/>
          <w:rtl/>
        </w:rPr>
        <w:t>זו</w:t>
      </w:r>
      <w:r w:rsidR="00D71681">
        <w:rPr>
          <w:rFonts w:ascii="David" w:hAnsi="David" w:cs="David" w:hint="cs"/>
          <w:sz w:val="24"/>
          <w:szCs w:val="24"/>
          <w:rtl/>
        </w:rPr>
        <w:t xml:space="preserve"> שיצרה את הסיכון.</w:t>
      </w:r>
      <w:r w:rsidR="00B55AEF" w:rsidRPr="00B55AEF">
        <w:rPr>
          <w:rFonts w:ascii="David" w:hAnsi="David" w:cs="David" w:hint="cs"/>
          <w:sz w:val="24"/>
          <w:szCs w:val="24"/>
          <w:rtl/>
        </w:rPr>
        <w:t xml:space="preserve"> </w:t>
      </w:r>
      <w:r w:rsidR="00B55AEF">
        <w:rPr>
          <w:rFonts w:ascii="David" w:hAnsi="David" w:cs="David" w:hint="cs"/>
          <w:sz w:val="24"/>
          <w:szCs w:val="24"/>
          <w:rtl/>
        </w:rPr>
        <w:t>כמו כן</w:t>
      </w:r>
      <w:r w:rsidR="006D2623">
        <w:rPr>
          <w:rFonts w:ascii="David" w:hAnsi="David" w:cs="David" w:hint="cs"/>
          <w:sz w:val="24"/>
          <w:szCs w:val="24"/>
          <w:rtl/>
        </w:rPr>
        <w:t xml:space="preserve"> בעניין הקשר הסיבתי</w:t>
      </w:r>
      <w:r w:rsidR="00B55AEF">
        <w:rPr>
          <w:rFonts w:ascii="David" w:hAnsi="David" w:cs="David" w:hint="cs"/>
          <w:sz w:val="24"/>
          <w:szCs w:val="24"/>
          <w:rtl/>
        </w:rPr>
        <w:t xml:space="preserve">, עולה הטענה כי למטופל לא נמסר מידע </w:t>
      </w:r>
      <w:r>
        <w:rPr>
          <w:rFonts w:ascii="David" w:hAnsi="David" w:cs="David" w:hint="cs"/>
          <w:sz w:val="24"/>
          <w:szCs w:val="24"/>
          <w:rtl/>
        </w:rPr>
        <w:t>ועל</w:t>
      </w:r>
      <w:r w:rsidR="00B55AEF">
        <w:rPr>
          <w:rFonts w:ascii="David" w:hAnsi="David" w:cs="David" w:hint="cs"/>
          <w:sz w:val="24"/>
          <w:szCs w:val="24"/>
          <w:rtl/>
        </w:rPr>
        <w:t xml:space="preserve"> הניזוק להוכיח שאילו נמסר לו המידע הוא לא היה משתמש בתרופה, קרי ב</w:t>
      </w:r>
      <w:r w:rsidR="00556339">
        <w:rPr>
          <w:rFonts w:ascii="David" w:hAnsi="David" w:cs="David" w:hint="cs"/>
          <w:sz w:val="24"/>
          <w:szCs w:val="24"/>
          <w:rtl/>
        </w:rPr>
        <w:t xml:space="preserve">טיפולי </w:t>
      </w:r>
      <w:r w:rsidR="00B55AEF">
        <w:rPr>
          <w:rFonts w:ascii="David" w:hAnsi="David" w:cs="David" w:hint="cs"/>
          <w:sz w:val="24"/>
          <w:szCs w:val="24"/>
          <w:rtl/>
        </w:rPr>
        <w:t xml:space="preserve">הקרנות. </w:t>
      </w:r>
      <w:r w:rsidR="00283B41">
        <w:rPr>
          <w:rFonts w:ascii="David" w:eastAsia="Calibri" w:hAnsi="David" w:cs="David" w:hint="cs"/>
          <w:sz w:val="24"/>
          <w:szCs w:val="24"/>
          <w:rtl/>
        </w:rPr>
        <w:t xml:space="preserve">מכך עולה שגם בעניין זה המדינה נקטה בפעולה אקטיבית של טיפול באמצעות הקרנות באזורים הנגועים. </w:t>
      </w:r>
      <w:r>
        <w:rPr>
          <w:rFonts w:ascii="David" w:eastAsia="Calibri" w:hAnsi="David" w:cs="David" w:hint="cs"/>
          <w:sz w:val="24"/>
          <w:szCs w:val="24"/>
          <w:rtl/>
        </w:rPr>
        <w:t xml:space="preserve">לאחר מכן הוטלה על </w:t>
      </w:r>
      <w:r w:rsidR="00283B41">
        <w:rPr>
          <w:rFonts w:ascii="David" w:eastAsia="Calibri" w:hAnsi="David" w:cs="David" w:hint="cs"/>
          <w:sz w:val="24"/>
          <w:szCs w:val="24"/>
          <w:rtl/>
        </w:rPr>
        <w:t>המדינה</w:t>
      </w:r>
      <w:r>
        <w:rPr>
          <w:rFonts w:ascii="David" w:eastAsia="Calibri" w:hAnsi="David" w:cs="David" w:hint="cs"/>
          <w:sz w:val="24"/>
          <w:szCs w:val="24"/>
          <w:rtl/>
        </w:rPr>
        <w:t xml:space="preserve"> אחריות בגין המחדל בשל </w:t>
      </w:r>
      <w:r w:rsidR="00283B41">
        <w:rPr>
          <w:rFonts w:ascii="David" w:eastAsia="Calibri" w:hAnsi="David" w:cs="David" w:hint="cs"/>
          <w:sz w:val="24"/>
          <w:szCs w:val="24"/>
          <w:rtl/>
        </w:rPr>
        <w:t xml:space="preserve">כך שבמשך שנים היא לא יידעה את אוכלוסיית נפגעי טיפול בגזזת, עד לאותה עת שבו התפרסם </w:t>
      </w:r>
      <w:r>
        <w:rPr>
          <w:rFonts w:ascii="David" w:eastAsia="Calibri" w:hAnsi="David" w:cs="David" w:hint="cs"/>
          <w:sz w:val="24"/>
          <w:szCs w:val="24"/>
          <w:rtl/>
        </w:rPr>
        <w:t xml:space="preserve">הדבר </w:t>
      </w:r>
      <w:r w:rsidR="00652981">
        <w:rPr>
          <w:rFonts w:ascii="David" w:eastAsia="Calibri" w:hAnsi="David" w:cs="David" w:hint="cs"/>
          <w:sz w:val="24"/>
          <w:szCs w:val="24"/>
          <w:rtl/>
        </w:rPr>
        <w:t>בעיתון, ובעקבות כך הוצאו</w:t>
      </w:r>
      <w:r w:rsidR="00283B41">
        <w:rPr>
          <w:rFonts w:ascii="David" w:eastAsia="Calibri" w:hAnsi="David" w:cs="David" w:hint="cs"/>
          <w:sz w:val="24"/>
          <w:szCs w:val="24"/>
          <w:rtl/>
        </w:rPr>
        <w:t xml:space="preserve"> מכתבים לאנשים שטופלו בילדותם כי הסיכון שלהם לחלות במחלת הסרטן גבוה יותר. </w:t>
      </w:r>
    </w:p>
    <w:p w:rsidR="00AE3D19" w:rsidRDefault="00AE3D19" w:rsidP="00B55AEF">
      <w:pPr>
        <w:spacing w:after="0" w:line="360" w:lineRule="auto"/>
        <w:jc w:val="both"/>
        <w:rPr>
          <w:rFonts w:ascii="David" w:eastAsia="Calibri" w:hAnsi="David" w:cs="David" w:hint="default"/>
          <w:sz w:val="24"/>
          <w:szCs w:val="24"/>
          <w:rtl/>
        </w:rPr>
      </w:pPr>
    </w:p>
    <w:p w:rsidR="00FE55E1" w:rsidRDefault="00BE211D" w:rsidP="00B55AEF">
      <w:pPr>
        <w:spacing w:after="0" w:line="360" w:lineRule="auto"/>
        <w:jc w:val="both"/>
        <w:rPr>
          <w:rFonts w:ascii="David" w:eastAsia="Calibri" w:hAnsi="David" w:cs="David" w:hint="default"/>
          <w:b/>
          <w:bCs/>
          <w:sz w:val="24"/>
          <w:szCs w:val="24"/>
          <w:u w:val="single"/>
          <w:rtl/>
        </w:rPr>
      </w:pPr>
      <w:r>
        <w:rPr>
          <w:rFonts w:ascii="David" w:eastAsia="Calibri" w:hAnsi="David" w:cs="David" w:hint="cs"/>
          <w:b/>
          <w:bCs/>
          <w:sz w:val="24"/>
          <w:szCs w:val="24"/>
          <w:u w:val="single"/>
          <w:rtl/>
        </w:rPr>
        <w:t xml:space="preserve">ג3. התנהלות המדינה לגביי אופן היידוע של </w:t>
      </w:r>
      <w:r>
        <w:rPr>
          <w:rFonts w:ascii="David" w:eastAsia="Calibri" w:hAnsi="David" w:cs="David" w:hint="cs"/>
          <w:b/>
          <w:bCs/>
          <w:sz w:val="24"/>
          <w:szCs w:val="24"/>
          <w:u w:val="single"/>
          <w:rtl/>
        </w:rPr>
        <w:t>ההורים</w:t>
      </w:r>
    </w:p>
    <w:p w:rsidR="00763D1B" w:rsidRDefault="00BE211D" w:rsidP="008F73E6">
      <w:pPr>
        <w:spacing w:after="0" w:line="360" w:lineRule="auto"/>
        <w:jc w:val="both"/>
        <w:rPr>
          <w:rFonts w:ascii="David" w:eastAsia="Calibri" w:hAnsi="David" w:cs="David" w:hint="default"/>
          <w:sz w:val="24"/>
          <w:szCs w:val="24"/>
          <w:rtl/>
        </w:rPr>
      </w:pPr>
      <w:r>
        <w:rPr>
          <w:rFonts w:ascii="David" w:eastAsia="Calibri" w:hAnsi="David" w:cs="David" w:hint="cs"/>
          <w:sz w:val="24"/>
          <w:szCs w:val="24"/>
          <w:rtl/>
        </w:rPr>
        <w:t xml:space="preserve">בפתח דבר תת פרק זה ובסיכום תתי פרקים הקודמים אציין כי ככל שהמדינה ביצעה פעולה אקטיבית כך תוטל עלייה חובת גילוי ויידוע האוכלוסייה המדוברת. בענייננו עולה השאלה האם הפעולה </w:t>
      </w:r>
      <w:r w:rsidR="00553C0E">
        <w:rPr>
          <w:rFonts w:ascii="David" w:eastAsia="Calibri" w:hAnsi="David" w:cs="David" w:hint="cs"/>
          <w:sz w:val="24"/>
          <w:szCs w:val="24"/>
          <w:rtl/>
        </w:rPr>
        <w:t xml:space="preserve">של המדינה </w:t>
      </w:r>
      <w:r>
        <w:rPr>
          <w:rFonts w:ascii="David" w:eastAsia="Calibri" w:hAnsi="David" w:cs="David" w:hint="cs"/>
          <w:sz w:val="24"/>
          <w:szCs w:val="24"/>
          <w:rtl/>
        </w:rPr>
        <w:t xml:space="preserve">היא זאת שגרמה פעולה אקטיבית שבגינה נגרמה ההולדה בעוולה ובעקבות כך </w:t>
      </w:r>
      <w:r w:rsidR="00BF66AE">
        <w:rPr>
          <w:rFonts w:ascii="David" w:eastAsia="Calibri" w:hAnsi="David" w:cs="David" w:hint="cs"/>
          <w:sz w:val="24"/>
          <w:szCs w:val="24"/>
          <w:rtl/>
        </w:rPr>
        <w:t>תוטל על המדינה חובת גילוי וידוע?</w:t>
      </w:r>
      <w:r>
        <w:rPr>
          <w:rFonts w:ascii="David" w:eastAsia="Calibri" w:hAnsi="David" w:cs="David" w:hint="cs"/>
          <w:sz w:val="24"/>
          <w:szCs w:val="24"/>
          <w:rtl/>
        </w:rPr>
        <w:t xml:space="preserve"> על שאלה זאת אענה בשלילה, שכן המדינה לא </w:t>
      </w:r>
      <w:r w:rsidR="003B213E">
        <w:rPr>
          <w:rFonts w:ascii="David" w:eastAsia="Calibri" w:hAnsi="David" w:cs="David" w:hint="cs"/>
          <w:sz w:val="24"/>
          <w:szCs w:val="24"/>
          <w:rtl/>
        </w:rPr>
        <w:t>התרשלה בגילוי המום אלא היא יצרה סיכון בכך שלא יידעה את ההורים ב</w:t>
      </w:r>
      <w:r w:rsidR="00B249C6">
        <w:rPr>
          <w:rFonts w:ascii="David" w:eastAsia="Calibri" w:hAnsi="David" w:cs="David" w:hint="cs"/>
          <w:sz w:val="24"/>
          <w:szCs w:val="24"/>
          <w:rtl/>
        </w:rPr>
        <w:t xml:space="preserve">שינוי הדין. </w:t>
      </w:r>
      <w:r w:rsidR="00B1304E">
        <w:rPr>
          <w:rFonts w:ascii="David" w:eastAsia="Calibri" w:hAnsi="David" w:cs="David" w:hint="cs"/>
          <w:sz w:val="24"/>
          <w:szCs w:val="24"/>
          <w:rtl/>
        </w:rPr>
        <w:t xml:space="preserve">מה שאומר שהדין לפני הלכת המר קבע כי שתי עילות תביעה עומדות איתנות לבדן, האחת של ההורים שתקופת ההתיישנות </w:t>
      </w:r>
      <w:r w:rsidR="00553C0E">
        <w:rPr>
          <w:rFonts w:ascii="David" w:eastAsia="Calibri" w:hAnsi="David" w:cs="David" w:hint="cs"/>
          <w:sz w:val="24"/>
          <w:szCs w:val="24"/>
          <w:rtl/>
        </w:rPr>
        <w:t xml:space="preserve">בגינה </w:t>
      </w:r>
      <w:r w:rsidR="00B1304E">
        <w:rPr>
          <w:rFonts w:ascii="David" w:eastAsia="Calibri" w:hAnsi="David" w:cs="David" w:hint="cs"/>
          <w:sz w:val="24"/>
          <w:szCs w:val="24"/>
          <w:rtl/>
        </w:rPr>
        <w:t xml:space="preserve">היא שבע שנים והאחרת של היילוד שתקופת ההתיישנות </w:t>
      </w:r>
      <w:r w:rsidR="00553C0E">
        <w:rPr>
          <w:rFonts w:ascii="David" w:eastAsia="Calibri" w:hAnsi="David" w:cs="David" w:hint="cs"/>
          <w:sz w:val="24"/>
          <w:szCs w:val="24"/>
          <w:rtl/>
        </w:rPr>
        <w:t xml:space="preserve">בגינה </w:t>
      </w:r>
      <w:r w:rsidR="00B1304E">
        <w:rPr>
          <w:rFonts w:ascii="David" w:eastAsia="Calibri" w:hAnsi="David" w:cs="David" w:hint="cs"/>
          <w:sz w:val="24"/>
          <w:szCs w:val="24"/>
          <w:rtl/>
        </w:rPr>
        <w:t>היא עשרים וחמש שנה.</w:t>
      </w:r>
      <w:r>
        <w:rPr>
          <w:rStyle w:val="a7"/>
          <w:rFonts w:ascii="David" w:eastAsia="Calibri" w:hAnsi="David" w:hint="default"/>
          <w:sz w:val="24"/>
          <w:szCs w:val="24"/>
          <w:rtl/>
        </w:rPr>
        <w:footnoteReference w:id="101"/>
      </w:r>
      <w:r w:rsidR="00B1304E">
        <w:rPr>
          <w:rFonts w:ascii="David" w:eastAsia="Calibri" w:hAnsi="David" w:cs="David" w:hint="cs"/>
          <w:sz w:val="24"/>
          <w:szCs w:val="24"/>
          <w:rtl/>
        </w:rPr>
        <w:t xml:space="preserve"> מששונה הדין כעת עילת תביעה אחת עומדת לזכות ההורים והילוד לתבוע והיא עילת ההורים שהייתה קודם עם תוספת פיצויים למשך תוחלת חייו של היילוד, מה שאומר כי עילה זאת עומדת איתנה לתבוע שבע שנים בלבד. </w:t>
      </w:r>
      <w:r w:rsidR="0069521F">
        <w:rPr>
          <w:rFonts w:ascii="David" w:eastAsia="Calibri" w:hAnsi="David" w:cs="David" w:hint="cs"/>
          <w:sz w:val="24"/>
          <w:szCs w:val="24"/>
          <w:rtl/>
        </w:rPr>
        <w:t>בפס"ד איבי,</w:t>
      </w:r>
      <w:r>
        <w:rPr>
          <w:rStyle w:val="a7"/>
          <w:rFonts w:ascii="David" w:eastAsia="Calibri" w:hAnsi="David" w:hint="default"/>
          <w:sz w:val="24"/>
          <w:szCs w:val="24"/>
          <w:rtl/>
        </w:rPr>
        <w:footnoteReference w:id="102"/>
      </w:r>
      <w:r w:rsidR="0069521F">
        <w:rPr>
          <w:rFonts w:ascii="David" w:eastAsia="Calibri" w:hAnsi="David" w:cs="David" w:hint="cs"/>
          <w:sz w:val="24"/>
          <w:szCs w:val="24"/>
          <w:rtl/>
        </w:rPr>
        <w:t xml:space="preserve"> </w:t>
      </w:r>
      <w:r w:rsidR="004806D4">
        <w:rPr>
          <w:rFonts w:ascii="David" w:eastAsia="Calibri" w:hAnsi="David" w:cs="David" w:hint="cs"/>
          <w:sz w:val="24"/>
          <w:szCs w:val="24"/>
          <w:rtl/>
        </w:rPr>
        <w:t xml:space="preserve">אומר </w:t>
      </w:r>
      <w:r w:rsidR="008F73E6">
        <w:rPr>
          <w:rFonts w:ascii="David" w:eastAsia="Calibri" w:hAnsi="David" w:cs="David" w:hint="cs"/>
          <w:sz w:val="24"/>
          <w:szCs w:val="24"/>
          <w:rtl/>
        </w:rPr>
        <w:t>ביהמ"ש</w:t>
      </w:r>
      <w:r w:rsidR="00C62757">
        <w:rPr>
          <w:rFonts w:ascii="David" w:eastAsia="Calibri" w:hAnsi="David" w:cs="David" w:hint="cs"/>
          <w:sz w:val="24"/>
          <w:szCs w:val="24"/>
          <w:rtl/>
        </w:rPr>
        <w:t xml:space="preserve"> בצורה מפורשת כי חובת הגילוי נג</w:t>
      </w:r>
      <w:r w:rsidR="004806D4">
        <w:rPr>
          <w:rFonts w:ascii="David" w:eastAsia="Calibri" w:hAnsi="David" w:cs="David" w:hint="cs"/>
          <w:sz w:val="24"/>
          <w:szCs w:val="24"/>
          <w:rtl/>
        </w:rPr>
        <w:t xml:space="preserve">זרת מכך שהמדינה יצרה את הסיכון לגידולים סרטניים באופן אקטיבי. מה שמוביל אותי לשאלה אחרת </w:t>
      </w:r>
      <w:r w:rsidR="004806D4">
        <w:rPr>
          <w:rFonts w:ascii="David" w:eastAsia="Calibri" w:hAnsi="David" w:cs="David" w:hint="default"/>
          <w:sz w:val="24"/>
          <w:szCs w:val="24"/>
          <w:rtl/>
        </w:rPr>
        <w:t>–</w:t>
      </w:r>
      <w:r w:rsidR="004806D4">
        <w:rPr>
          <w:rFonts w:ascii="David" w:eastAsia="Calibri" w:hAnsi="David" w:cs="David" w:hint="cs"/>
          <w:sz w:val="24"/>
          <w:szCs w:val="24"/>
          <w:rtl/>
        </w:rPr>
        <w:t xml:space="preserve"> האם זה אומר שברגע שהמדינה לא יצרה את הסיכון באופן אקטיבי </w:t>
      </w:r>
      <w:r w:rsidR="004806D4">
        <w:rPr>
          <w:rFonts w:ascii="David" w:eastAsia="Calibri" w:hAnsi="David" w:cs="David" w:hint="default"/>
          <w:sz w:val="24"/>
          <w:szCs w:val="24"/>
          <w:rtl/>
        </w:rPr>
        <w:t>–</w:t>
      </w:r>
      <w:r w:rsidR="004806D4">
        <w:rPr>
          <w:rFonts w:ascii="David" w:eastAsia="Calibri" w:hAnsi="David" w:cs="David" w:hint="cs"/>
          <w:sz w:val="24"/>
          <w:szCs w:val="24"/>
          <w:rtl/>
        </w:rPr>
        <w:t xml:space="preserve"> ראשוני, לא מוטלת עלייה חובת הגילוי? </w:t>
      </w:r>
      <w:r w:rsidR="004806D4">
        <w:rPr>
          <w:rFonts w:ascii="David" w:hAnsi="David" w:cs="David" w:hint="cs"/>
          <w:sz w:val="24"/>
          <w:szCs w:val="24"/>
          <w:rtl/>
        </w:rPr>
        <w:t>בפס"ד איבי משרד הבריאות הוא זה שנתן את הטיפול לחולי הגזזת. לכן, ביהמ"ש מטיל חובת גילוי על המדינה כי היא זה שיצרה את הסיכון</w:t>
      </w:r>
      <w:r w:rsidR="004806D4">
        <w:rPr>
          <w:rFonts w:ascii="David" w:eastAsia="Calibri" w:hAnsi="David" w:cs="David" w:hint="cs"/>
          <w:sz w:val="24"/>
          <w:szCs w:val="24"/>
          <w:rtl/>
        </w:rPr>
        <w:t>.</w:t>
      </w:r>
      <w:r>
        <w:rPr>
          <w:rStyle w:val="a7"/>
          <w:rFonts w:ascii="David" w:eastAsia="Calibri" w:hAnsi="David" w:hint="default"/>
          <w:sz w:val="24"/>
          <w:szCs w:val="24"/>
          <w:rtl/>
        </w:rPr>
        <w:footnoteReference w:id="103"/>
      </w:r>
      <w:r w:rsidR="004806D4">
        <w:rPr>
          <w:rFonts w:ascii="David" w:eastAsia="Calibri" w:hAnsi="David" w:cs="David" w:hint="cs"/>
          <w:sz w:val="24"/>
          <w:szCs w:val="24"/>
          <w:rtl/>
        </w:rPr>
        <w:t xml:space="preserve"> </w:t>
      </w:r>
      <w:r w:rsidR="002662FB">
        <w:rPr>
          <w:rFonts w:ascii="David" w:eastAsia="Calibri" w:hAnsi="David" w:cs="David" w:hint="cs"/>
          <w:sz w:val="24"/>
          <w:szCs w:val="24"/>
          <w:rtl/>
        </w:rPr>
        <w:t xml:space="preserve">במקרה דנן, </w:t>
      </w:r>
      <w:r w:rsidR="00896920">
        <w:rPr>
          <w:rFonts w:ascii="David" w:eastAsia="Calibri" w:hAnsi="David" w:cs="David" w:hint="cs"/>
          <w:sz w:val="24"/>
          <w:szCs w:val="24"/>
          <w:rtl/>
        </w:rPr>
        <w:t>שולחיה</w:t>
      </w:r>
      <w:r w:rsidR="002662FB">
        <w:rPr>
          <w:rFonts w:ascii="David" w:eastAsia="Calibri" w:hAnsi="David" w:cs="David" w:hint="cs"/>
          <w:sz w:val="24"/>
          <w:szCs w:val="24"/>
          <w:rtl/>
        </w:rPr>
        <w:t xml:space="preserve"> של המדינה שינו את הדין, האם עכשיו בהינתן העובדה שהדין השתנה המדינה חבה בחובת הרשלנות? </w:t>
      </w:r>
      <w:r w:rsidR="008C65B2">
        <w:rPr>
          <w:rFonts w:ascii="David" w:eastAsia="Calibri" w:hAnsi="David" w:cs="David" w:hint="cs"/>
          <w:sz w:val="24"/>
          <w:szCs w:val="24"/>
          <w:rtl/>
        </w:rPr>
        <w:t>אנתח זאת כעת.</w:t>
      </w:r>
    </w:p>
    <w:p w:rsidR="00483DDF" w:rsidRDefault="00483DDF" w:rsidP="004B6065">
      <w:pPr>
        <w:spacing w:after="0" w:line="360" w:lineRule="auto"/>
        <w:jc w:val="both"/>
        <w:rPr>
          <w:rFonts w:ascii="David" w:eastAsia="Calibri" w:hAnsi="David" w:cs="David" w:hint="default"/>
          <w:sz w:val="24"/>
          <w:szCs w:val="24"/>
          <w:rtl/>
        </w:rPr>
      </w:pPr>
    </w:p>
    <w:p w:rsidR="00483DDF" w:rsidRDefault="00483DDF" w:rsidP="004B6065">
      <w:pPr>
        <w:spacing w:after="0" w:line="360" w:lineRule="auto"/>
        <w:jc w:val="both"/>
        <w:rPr>
          <w:rFonts w:ascii="David" w:eastAsia="Calibri" w:hAnsi="David" w:cs="David" w:hint="default"/>
          <w:sz w:val="24"/>
          <w:szCs w:val="24"/>
          <w:rtl/>
        </w:rPr>
      </w:pPr>
    </w:p>
    <w:p w:rsidR="00483DDF" w:rsidRDefault="00483DDF" w:rsidP="004B6065">
      <w:pPr>
        <w:spacing w:after="0" w:line="360" w:lineRule="auto"/>
        <w:jc w:val="both"/>
        <w:rPr>
          <w:rFonts w:ascii="David" w:eastAsia="Calibri" w:hAnsi="David" w:cs="David" w:hint="default"/>
          <w:sz w:val="24"/>
          <w:szCs w:val="24"/>
          <w:rtl/>
        </w:rPr>
      </w:pPr>
    </w:p>
    <w:p w:rsidR="00483DDF" w:rsidRDefault="00483DDF" w:rsidP="004B6065">
      <w:pPr>
        <w:spacing w:after="0" w:line="360" w:lineRule="auto"/>
        <w:jc w:val="both"/>
        <w:rPr>
          <w:rFonts w:ascii="David" w:eastAsia="Calibri" w:hAnsi="David" w:cs="David" w:hint="default"/>
          <w:sz w:val="24"/>
          <w:szCs w:val="24"/>
          <w:rtl/>
        </w:rPr>
      </w:pPr>
    </w:p>
    <w:p w:rsidR="004B6065" w:rsidRDefault="004B6065" w:rsidP="004B6065">
      <w:pPr>
        <w:spacing w:after="0" w:line="360" w:lineRule="auto"/>
        <w:jc w:val="both"/>
        <w:rPr>
          <w:rFonts w:ascii="David" w:eastAsia="Calibri" w:hAnsi="David" w:cs="David" w:hint="default"/>
          <w:sz w:val="24"/>
          <w:szCs w:val="24"/>
          <w:rtl/>
        </w:rPr>
      </w:pPr>
    </w:p>
    <w:p w:rsidR="008C65B2" w:rsidRPr="007C366E" w:rsidRDefault="00BE211D" w:rsidP="007C366E">
      <w:pPr>
        <w:spacing w:after="0" w:line="360" w:lineRule="auto"/>
        <w:jc w:val="both"/>
        <w:rPr>
          <w:rFonts w:ascii="David" w:eastAsia="Calibri" w:hAnsi="David" w:cs="David" w:hint="default"/>
          <w:b/>
          <w:bCs/>
          <w:sz w:val="24"/>
          <w:szCs w:val="24"/>
          <w:u w:val="single"/>
          <w:rtl/>
        </w:rPr>
      </w:pPr>
      <w:r w:rsidRPr="00F57BDD">
        <w:rPr>
          <w:rFonts w:ascii="David" w:eastAsia="Calibri" w:hAnsi="David" w:cs="David" w:hint="cs"/>
          <w:b/>
          <w:bCs/>
          <w:sz w:val="24"/>
          <w:szCs w:val="24"/>
          <w:u w:val="single"/>
          <w:rtl/>
        </w:rPr>
        <w:lastRenderedPageBreak/>
        <w:t>ג1.3</w:t>
      </w:r>
      <w:r w:rsidR="00642C6D" w:rsidRPr="00F57BDD">
        <w:rPr>
          <w:rFonts w:ascii="David" w:eastAsia="Calibri" w:hAnsi="David" w:cs="David" w:hint="cs"/>
          <w:b/>
          <w:bCs/>
          <w:sz w:val="24"/>
          <w:szCs w:val="24"/>
          <w:u w:val="single"/>
          <w:rtl/>
        </w:rPr>
        <w:t xml:space="preserve"> עוולת הרשלנות בנזיקין: </w:t>
      </w:r>
    </w:p>
    <w:p w:rsidR="007817A7" w:rsidRDefault="00BE211D" w:rsidP="00F57BDD">
      <w:pPr>
        <w:spacing w:after="0" w:line="360" w:lineRule="auto"/>
        <w:jc w:val="both"/>
        <w:rPr>
          <w:rFonts w:ascii="David" w:eastAsia="Calibri" w:hAnsi="David" w:cs="David" w:hint="default"/>
          <w:sz w:val="24"/>
          <w:szCs w:val="24"/>
          <w:rtl/>
        </w:rPr>
      </w:pPr>
      <w:r w:rsidRPr="00411133">
        <w:rPr>
          <w:rFonts w:ascii="David" w:hAnsi="David" w:cs="David"/>
          <w:sz w:val="24"/>
          <w:szCs w:val="24"/>
          <w:shd w:val="clear" w:color="auto" w:fill="FFFFFF"/>
          <w:rtl/>
        </w:rPr>
        <w:t>בדיני הנזיקין, זכויות היסוד יכולות לחוס בצילן של עוולות פרטיקולאריות ספציפיות, אך זוכות להגנה בעיקר תחת עוולות המסגרת.</w:t>
      </w:r>
      <w:r>
        <w:rPr>
          <w:rStyle w:val="a7"/>
          <w:rFonts w:ascii="David" w:hAnsi="David" w:cs="David" w:hint="eastAsia"/>
          <w:sz w:val="24"/>
          <w:szCs w:val="24"/>
          <w:shd w:val="clear" w:color="auto" w:fill="FFFFFF"/>
          <w:rtl/>
        </w:rPr>
        <w:footnoteReference w:id="104"/>
      </w:r>
      <w:r w:rsidRPr="00411133">
        <w:rPr>
          <w:rFonts w:ascii="David" w:hAnsi="David" w:cs="David"/>
          <w:sz w:val="24"/>
          <w:szCs w:val="24"/>
          <w:shd w:val="clear" w:color="auto" w:fill="FFFFFF"/>
          <w:rtl/>
        </w:rPr>
        <w:t xml:space="preserve"> </w:t>
      </w:r>
      <w:r w:rsidR="0096286B" w:rsidRPr="00C124FC">
        <w:rPr>
          <w:rFonts w:ascii="David" w:hAnsi="David" w:cs="David" w:hint="cs"/>
          <w:sz w:val="24"/>
          <w:szCs w:val="24"/>
          <w:rtl/>
        </w:rPr>
        <w:t>בהתאם לע</w:t>
      </w:r>
      <w:r w:rsidR="00C62757">
        <w:rPr>
          <w:rFonts w:ascii="David" w:hAnsi="David" w:cs="David" w:hint="cs"/>
          <w:sz w:val="24"/>
          <w:szCs w:val="24"/>
          <w:rtl/>
        </w:rPr>
        <w:t>וולת המסגרת</w:t>
      </w:r>
      <w:r w:rsidR="0096286B" w:rsidRPr="00C124FC">
        <w:rPr>
          <w:rFonts w:ascii="David" w:hAnsi="David" w:cs="David" w:hint="cs"/>
          <w:sz w:val="24"/>
          <w:szCs w:val="24"/>
          <w:rtl/>
        </w:rPr>
        <w:t xml:space="preserve"> המעוגנת </w:t>
      </w:r>
      <w:r w:rsidR="0096286B">
        <w:rPr>
          <w:rFonts w:ascii="David" w:hAnsi="David" w:cs="David" w:hint="cs"/>
          <w:sz w:val="24"/>
          <w:szCs w:val="24"/>
          <w:rtl/>
        </w:rPr>
        <w:t xml:space="preserve">בסעיפים 35, 36 </w:t>
      </w:r>
      <w:r w:rsidR="00C62757">
        <w:rPr>
          <w:rFonts w:ascii="David" w:hAnsi="David" w:cs="David" w:hint="cs"/>
          <w:sz w:val="24"/>
          <w:szCs w:val="24"/>
          <w:rtl/>
        </w:rPr>
        <w:t xml:space="preserve">לפקודות הנזיקין, </w:t>
      </w:r>
      <w:r w:rsidR="0096286B" w:rsidRPr="00C124FC">
        <w:rPr>
          <w:rFonts w:ascii="David" w:hAnsi="David" w:cs="David" w:hint="cs"/>
          <w:sz w:val="24"/>
          <w:szCs w:val="24"/>
          <w:rtl/>
        </w:rPr>
        <w:t>בגין נזקים ממוניים ולא ממוניים.</w:t>
      </w:r>
      <w:r>
        <w:rPr>
          <w:rStyle w:val="a7"/>
          <w:rFonts w:ascii="David" w:hAnsi="David" w:cs="David" w:hint="eastAsia"/>
          <w:sz w:val="24"/>
          <w:szCs w:val="24"/>
          <w:rtl/>
        </w:rPr>
        <w:footnoteReference w:id="105"/>
      </w:r>
      <w:r w:rsidR="00C62757">
        <w:rPr>
          <w:rFonts w:ascii="David" w:hAnsi="David" w:cs="David" w:hint="cs"/>
          <w:sz w:val="24"/>
          <w:szCs w:val="24"/>
          <w:rtl/>
        </w:rPr>
        <w:t xml:space="preserve"> כדי להוכיח רשלנות על התובע להוכיח את רכיבי העוולה: קיומה של חובת הזהירות והפרתה, יסוד ההתרשלות, קיומו של קשר סיבתי בין הפרת חובת הזהירות לבין הנזק שנגרם ויסוד הנזק.</w:t>
      </w:r>
      <w:r w:rsidR="0096286B" w:rsidRPr="00C124FC">
        <w:rPr>
          <w:rFonts w:ascii="David" w:hAnsi="David" w:cs="David" w:hint="cs"/>
          <w:sz w:val="24"/>
          <w:szCs w:val="24"/>
          <w:rtl/>
        </w:rPr>
        <w:t xml:space="preserve"> תחילה, אבחן את קיומה של </w:t>
      </w:r>
      <w:r w:rsidR="0096286B" w:rsidRPr="00837042">
        <w:rPr>
          <w:rFonts w:ascii="David" w:hAnsi="David" w:cs="David" w:hint="cs"/>
          <w:b/>
          <w:bCs/>
          <w:sz w:val="24"/>
          <w:szCs w:val="24"/>
          <w:rtl/>
        </w:rPr>
        <w:t>חובת זהירות</w:t>
      </w:r>
      <w:r w:rsidR="0096286B" w:rsidRPr="00C124FC">
        <w:rPr>
          <w:rFonts w:ascii="David" w:hAnsi="David" w:cs="David" w:hint="cs"/>
          <w:sz w:val="24"/>
          <w:szCs w:val="24"/>
          <w:rtl/>
        </w:rPr>
        <w:t xml:space="preserve"> בעוולה. כאמור, האם בין </w:t>
      </w:r>
      <w:r w:rsidR="0096286B">
        <w:rPr>
          <w:rFonts w:ascii="David" w:hAnsi="David" w:cs="David" w:hint="cs"/>
          <w:sz w:val="24"/>
          <w:szCs w:val="24"/>
          <w:rtl/>
        </w:rPr>
        <w:t>המדינה</w:t>
      </w:r>
      <w:r w:rsidR="0096286B" w:rsidRPr="00C124FC">
        <w:rPr>
          <w:rFonts w:ascii="David" w:hAnsi="David" w:cs="David" w:hint="cs"/>
          <w:sz w:val="24"/>
          <w:szCs w:val="24"/>
          <w:rtl/>
        </w:rPr>
        <w:t xml:space="preserve"> לבין </w:t>
      </w:r>
      <w:r w:rsidR="0096286B">
        <w:rPr>
          <w:rFonts w:ascii="David" w:hAnsi="David" w:cs="David" w:hint="cs"/>
          <w:sz w:val="24"/>
          <w:szCs w:val="24"/>
          <w:rtl/>
        </w:rPr>
        <w:t xml:space="preserve">ההורים </w:t>
      </w:r>
      <w:r w:rsidR="0096286B" w:rsidRPr="00C124FC">
        <w:rPr>
          <w:rFonts w:ascii="David" w:hAnsi="David" w:cs="David" w:hint="cs"/>
          <w:sz w:val="24"/>
          <w:szCs w:val="24"/>
          <w:rtl/>
        </w:rPr>
        <w:t>קיים קשר שמצדיק הטלת חובת זהירות. ביהמ"ש בהתאם, יבחן את התועלת שבהטלת אחריות והעלות תוך כדי בדיקת שיקולי המדיניות.</w:t>
      </w:r>
    </w:p>
    <w:p w:rsidR="00B23B13" w:rsidRPr="00016312" w:rsidRDefault="00BE211D" w:rsidP="0088158B">
      <w:pPr>
        <w:pStyle w:val="ac"/>
        <w:bidi/>
        <w:spacing w:line="360" w:lineRule="auto"/>
        <w:jc w:val="both"/>
        <w:rPr>
          <w:rFonts w:ascii="David" w:hAnsi="David" w:cs="David" w:hint="default"/>
          <w:shd w:val="clear" w:color="auto" w:fill="FFFFFF"/>
          <w:rtl/>
        </w:rPr>
      </w:pPr>
      <w:r w:rsidRPr="00C124FC">
        <w:rPr>
          <w:rFonts w:ascii="David" w:hAnsi="David" w:cs="David"/>
          <w:rtl/>
        </w:rPr>
        <w:t xml:space="preserve">השופט שמגר בפס"ד לוי קבע את המודל התלת שלבי: שלב ראשון במודל הוא </w:t>
      </w:r>
      <w:r w:rsidRPr="00B23B13">
        <w:rPr>
          <w:rFonts w:ascii="David" w:hAnsi="David" w:cs="David"/>
          <w:b/>
          <w:bCs/>
          <w:rtl/>
        </w:rPr>
        <w:t xml:space="preserve">מבחן הצפיות הטכנית </w:t>
      </w:r>
      <w:r w:rsidRPr="00C124FC">
        <w:rPr>
          <w:rFonts w:ascii="David" w:hAnsi="David" w:cs="David"/>
          <w:rtl/>
        </w:rPr>
        <w:t>שמגלם את רעיון האשם בעוולת הרשלנות</w:t>
      </w:r>
      <w:r>
        <w:rPr>
          <w:rFonts w:ascii="David" w:hAnsi="David" w:cs="David"/>
          <w:rtl/>
        </w:rPr>
        <w:t>.</w:t>
      </w:r>
      <w:r>
        <w:rPr>
          <w:rStyle w:val="a7"/>
          <w:rFonts w:ascii="David" w:hAnsi="David" w:cs="David" w:hint="eastAsia"/>
          <w:rtl/>
        </w:rPr>
        <w:footnoteReference w:id="106"/>
      </w:r>
      <w:r w:rsidRPr="00C124FC">
        <w:rPr>
          <w:rFonts w:ascii="David" w:hAnsi="David" w:cs="David"/>
          <w:rtl/>
        </w:rPr>
        <w:t xml:space="preserve"> צפיות טכנית עובדתית הינה האם </w:t>
      </w:r>
      <w:r w:rsidRPr="00C124FC">
        <w:rPr>
          <w:rFonts w:ascii="David" w:hAnsi="David" w:cs="David"/>
          <w:rtl/>
        </w:rPr>
        <w:t>מזיק סביר יכול היה לצפות את התרחשות הנזק שבנסיבות המקרה.</w:t>
      </w:r>
      <w:r>
        <w:rPr>
          <w:rStyle w:val="a7"/>
          <w:rFonts w:ascii="David" w:hAnsi="David" w:cs="David" w:hint="eastAsia"/>
          <w:rtl/>
        </w:rPr>
        <w:footnoteReference w:id="107"/>
      </w:r>
      <w:r w:rsidRPr="00C124FC">
        <w:rPr>
          <w:rFonts w:ascii="David" w:hAnsi="David" w:cs="David"/>
          <w:rtl/>
        </w:rPr>
        <w:t xml:space="preserve"> ביהמ"ש יסבור כי </w:t>
      </w:r>
      <w:r w:rsidR="000743F3">
        <w:rPr>
          <w:rFonts w:ascii="David" w:hAnsi="David" w:cs="David"/>
          <w:rtl/>
        </w:rPr>
        <w:t xml:space="preserve">המדינה </w:t>
      </w:r>
      <w:r w:rsidRPr="00C124FC">
        <w:rPr>
          <w:rFonts w:ascii="David" w:hAnsi="David" w:cs="David"/>
          <w:rtl/>
        </w:rPr>
        <w:t>לא נושא</w:t>
      </w:r>
      <w:r w:rsidR="000743F3">
        <w:rPr>
          <w:rFonts w:ascii="David" w:hAnsi="David" w:cs="David"/>
          <w:rtl/>
        </w:rPr>
        <w:t>ת באחריות מוחלטת מעצם היותה כזו</w:t>
      </w:r>
      <w:r w:rsidRPr="00C124FC">
        <w:rPr>
          <w:rFonts w:ascii="David" w:hAnsi="David" w:cs="David"/>
          <w:rtl/>
        </w:rPr>
        <w:t xml:space="preserve">, אלא אם </w:t>
      </w:r>
      <w:r w:rsidR="000743F3">
        <w:rPr>
          <w:rFonts w:ascii="David" w:hAnsi="David" w:cs="David"/>
          <w:rtl/>
        </w:rPr>
        <w:t>היא</w:t>
      </w:r>
      <w:r w:rsidRPr="00C124FC">
        <w:rPr>
          <w:rFonts w:ascii="David" w:hAnsi="David" w:cs="David"/>
          <w:rtl/>
        </w:rPr>
        <w:t xml:space="preserve"> </w:t>
      </w:r>
      <w:r w:rsidR="000743F3">
        <w:rPr>
          <w:rFonts w:ascii="David" w:hAnsi="David" w:cs="David"/>
          <w:rtl/>
        </w:rPr>
        <w:t xml:space="preserve">קיימה </w:t>
      </w:r>
      <w:r w:rsidRPr="00C124FC">
        <w:rPr>
          <w:rFonts w:ascii="David" w:hAnsi="David" w:cs="David"/>
          <w:rtl/>
        </w:rPr>
        <w:t>את יסוד האשם במבחן הצפיות.</w:t>
      </w:r>
      <w:r>
        <w:rPr>
          <w:rStyle w:val="a7"/>
          <w:rFonts w:ascii="David" w:hAnsi="David" w:cs="David" w:hint="eastAsia"/>
          <w:rtl/>
        </w:rPr>
        <w:footnoteReference w:id="108"/>
      </w:r>
      <w:r w:rsidRPr="00C124FC">
        <w:rPr>
          <w:rFonts w:ascii="David" w:hAnsi="David" w:cs="David"/>
          <w:rtl/>
        </w:rPr>
        <w:t xml:space="preserve"> בעניינו, השאלה היא האם </w:t>
      </w:r>
      <w:r w:rsidR="000743F3">
        <w:rPr>
          <w:rFonts w:ascii="David" w:hAnsi="David" w:cs="David"/>
          <w:rtl/>
        </w:rPr>
        <w:t>המדינה</w:t>
      </w:r>
      <w:r w:rsidRPr="00C124FC">
        <w:rPr>
          <w:rFonts w:ascii="David" w:hAnsi="David" w:cs="David"/>
          <w:rtl/>
        </w:rPr>
        <w:t xml:space="preserve"> כמזיק</w:t>
      </w:r>
      <w:r w:rsidR="000743F3">
        <w:rPr>
          <w:rFonts w:ascii="David" w:hAnsi="David" w:cs="David"/>
          <w:rtl/>
        </w:rPr>
        <w:t>ה</w:t>
      </w:r>
      <w:r w:rsidRPr="00C124FC">
        <w:rPr>
          <w:rFonts w:ascii="David" w:hAnsi="David" w:cs="David"/>
          <w:rtl/>
        </w:rPr>
        <w:t xml:space="preserve"> סביר</w:t>
      </w:r>
      <w:r w:rsidR="000743F3">
        <w:rPr>
          <w:rFonts w:ascii="David" w:hAnsi="David" w:cs="David"/>
          <w:rtl/>
        </w:rPr>
        <w:t>ה</w:t>
      </w:r>
      <w:r w:rsidRPr="00C124FC">
        <w:rPr>
          <w:rFonts w:ascii="David" w:hAnsi="David" w:cs="David"/>
          <w:rtl/>
        </w:rPr>
        <w:t xml:space="preserve"> יכל</w:t>
      </w:r>
      <w:r w:rsidR="000743F3">
        <w:rPr>
          <w:rFonts w:ascii="David" w:hAnsi="David" w:cs="David"/>
          <w:rtl/>
        </w:rPr>
        <w:t>ה</w:t>
      </w:r>
      <w:r w:rsidRPr="00C124FC">
        <w:rPr>
          <w:rFonts w:ascii="David" w:hAnsi="David" w:cs="David"/>
          <w:rtl/>
        </w:rPr>
        <w:t xml:space="preserve"> לצפות כי </w:t>
      </w:r>
      <w:r w:rsidR="000743F3">
        <w:rPr>
          <w:rFonts w:ascii="David" w:hAnsi="David" w:cs="David"/>
          <w:rtl/>
        </w:rPr>
        <w:t xml:space="preserve">בעת שינוי הדין </w:t>
      </w:r>
      <w:r w:rsidR="003A33FE">
        <w:rPr>
          <w:rFonts w:ascii="David" w:hAnsi="David" w:cs="David"/>
          <w:rtl/>
        </w:rPr>
        <w:t>וקיצור תוחלת</w:t>
      </w:r>
      <w:r w:rsidR="000743F3">
        <w:rPr>
          <w:rFonts w:ascii="David" w:hAnsi="David" w:cs="David"/>
          <w:rtl/>
        </w:rPr>
        <w:t xml:space="preserve"> תקופת ההתיישנות </w:t>
      </w:r>
      <w:r w:rsidR="003A33FE">
        <w:rPr>
          <w:rFonts w:ascii="David" w:hAnsi="David" w:cs="David"/>
          <w:rtl/>
        </w:rPr>
        <w:t xml:space="preserve">משמעותית </w:t>
      </w:r>
      <w:r w:rsidR="000743F3">
        <w:rPr>
          <w:rFonts w:ascii="David" w:hAnsi="David" w:cs="David"/>
          <w:rtl/>
        </w:rPr>
        <w:t xml:space="preserve">עלולים ההורים וילדיהם </w:t>
      </w:r>
      <w:r w:rsidR="00C1185A">
        <w:rPr>
          <w:rFonts w:ascii="David" w:hAnsi="David" w:cs="David"/>
          <w:rtl/>
        </w:rPr>
        <w:t>להישאר</w:t>
      </w:r>
      <w:r w:rsidR="000743F3">
        <w:rPr>
          <w:rFonts w:ascii="David" w:hAnsi="David" w:cs="David"/>
          <w:rtl/>
        </w:rPr>
        <w:t xml:space="preserve"> ללא שום עוול</w:t>
      </w:r>
      <w:r w:rsidR="00C62757">
        <w:rPr>
          <w:rFonts w:ascii="David" w:hAnsi="David" w:cs="David"/>
          <w:rtl/>
        </w:rPr>
        <w:t>ת תביעה ופיצויים המגיעים בגינם.</w:t>
      </w:r>
      <w:r w:rsidR="009160CE">
        <w:rPr>
          <w:rFonts w:ascii="David" w:hAnsi="David" w:cs="David"/>
          <w:rtl/>
        </w:rPr>
        <w:t xml:space="preserve"> </w:t>
      </w:r>
      <w:r w:rsidR="003A33FE">
        <w:rPr>
          <w:rFonts w:ascii="David" w:hAnsi="David" w:cs="David"/>
          <w:rtl/>
        </w:rPr>
        <w:t xml:space="preserve">המדינה תטען כי בעת קביעת </w:t>
      </w:r>
      <w:r w:rsidR="003807CE">
        <w:rPr>
          <w:rFonts w:ascii="David" w:hAnsi="David" w:cs="David"/>
          <w:rtl/>
        </w:rPr>
        <w:t>פסק הדין ומהמידע שהיה נתון בידה</w:t>
      </w:r>
      <w:r w:rsidR="003A33FE">
        <w:rPr>
          <w:rFonts w:ascii="David" w:hAnsi="David" w:cs="David"/>
          <w:rtl/>
        </w:rPr>
        <w:t xml:space="preserve"> לא הייתה אינדיקציה לצפות את הנזק. זאת ועוד, מקרים </w:t>
      </w:r>
      <w:r w:rsidR="00C1185A">
        <w:rPr>
          <w:rFonts w:ascii="David" w:hAnsi="David" w:cs="David"/>
          <w:rtl/>
        </w:rPr>
        <w:t>מעין</w:t>
      </w:r>
      <w:r w:rsidR="003A33FE">
        <w:rPr>
          <w:rFonts w:ascii="David" w:hAnsi="David" w:cs="David"/>
          <w:rtl/>
        </w:rPr>
        <w:t xml:space="preserve"> אלו קורים לעיתים תכופות ולכן </w:t>
      </w:r>
      <w:r w:rsidR="00016312">
        <w:rPr>
          <w:rFonts w:ascii="David" w:hAnsi="David" w:cs="David"/>
          <w:rtl/>
        </w:rPr>
        <w:t>תסבור</w:t>
      </w:r>
      <w:r w:rsidR="003A33FE">
        <w:rPr>
          <w:rFonts w:ascii="David" w:hAnsi="David" w:cs="David"/>
          <w:rtl/>
        </w:rPr>
        <w:t xml:space="preserve"> שאין לחייבה בנזיקין. </w:t>
      </w:r>
      <w:r w:rsidR="00016312" w:rsidRPr="00411133">
        <w:rPr>
          <w:rFonts w:ascii="David" w:hAnsi="David" w:cs="David"/>
          <w:shd w:val="clear" w:color="auto" w:fill="FFFFFF"/>
          <w:rtl/>
        </w:rPr>
        <w:t>בפסיקה נקבע כי אין צורך לצפות את קרות הנזק עצמו אלא את התרחשותו בקווים כלליים.</w:t>
      </w:r>
      <w:r>
        <w:rPr>
          <w:rStyle w:val="a7"/>
          <w:rFonts w:ascii="David" w:hAnsi="David" w:cs="David"/>
          <w:shd w:val="clear" w:color="auto" w:fill="FFFFFF"/>
          <w:rtl/>
        </w:rPr>
        <w:footnoteReference w:id="109"/>
      </w:r>
      <w:r w:rsidR="00016312" w:rsidRPr="00411133">
        <w:rPr>
          <w:rFonts w:ascii="David" w:hAnsi="David" w:cs="David"/>
          <w:shd w:val="clear" w:color="auto" w:fill="FFFFFF"/>
          <w:rtl/>
        </w:rPr>
        <w:t xml:space="preserve"> </w:t>
      </w:r>
      <w:r w:rsidR="003A33FE">
        <w:rPr>
          <w:rFonts w:ascii="David" w:hAnsi="David" w:cs="David"/>
          <w:rtl/>
        </w:rPr>
        <w:t>מנגד, ביהמ</w:t>
      </w:r>
      <w:r w:rsidR="009160CE" w:rsidRPr="00C124FC">
        <w:rPr>
          <w:rFonts w:ascii="David" w:hAnsi="David" w:cs="David"/>
          <w:rtl/>
        </w:rPr>
        <w:t>"ש בפסיקתו הכיר בכלים שונים לצפיית מקרה בידי מזיק סביר למשל: ניסיון חיים, מחקרים וידע כללי.</w:t>
      </w:r>
      <w:r>
        <w:rPr>
          <w:rStyle w:val="a7"/>
          <w:rFonts w:ascii="David" w:hAnsi="David" w:cs="David"/>
          <w:rtl/>
        </w:rPr>
        <w:footnoteReference w:id="110"/>
      </w:r>
      <w:r w:rsidR="00016312">
        <w:rPr>
          <w:rFonts w:ascii="David" w:hAnsi="David" w:cs="David"/>
          <w:rtl/>
        </w:rPr>
        <w:t xml:space="preserve"> </w:t>
      </w:r>
      <w:r w:rsidR="007A6C88" w:rsidRPr="00C124FC">
        <w:rPr>
          <w:rFonts w:ascii="David" w:hAnsi="David" w:cs="David"/>
          <w:rtl/>
        </w:rPr>
        <w:t xml:space="preserve">לפיכך, ביהמ"ש רשאי לקבוע מהנחתו הכללית </w:t>
      </w:r>
      <w:r w:rsidR="007A6C88">
        <w:rPr>
          <w:rFonts w:ascii="David" w:hAnsi="David" w:cs="David"/>
          <w:rtl/>
        </w:rPr>
        <w:t>שהמדינה שהיא</w:t>
      </w:r>
      <w:r w:rsidR="007A6C88" w:rsidRPr="00C124FC">
        <w:rPr>
          <w:rFonts w:ascii="David" w:hAnsi="David" w:cs="David"/>
          <w:rtl/>
        </w:rPr>
        <w:t xml:space="preserve"> בעל</w:t>
      </w:r>
      <w:r w:rsidR="007A6C88">
        <w:rPr>
          <w:rFonts w:ascii="David" w:hAnsi="David" w:cs="David"/>
          <w:rtl/>
        </w:rPr>
        <w:t>ת</w:t>
      </w:r>
      <w:r w:rsidR="007A6C88" w:rsidRPr="00C124FC">
        <w:rPr>
          <w:rFonts w:ascii="David" w:hAnsi="David" w:cs="David"/>
          <w:rtl/>
        </w:rPr>
        <w:t xml:space="preserve"> ניסיון ואמצעים מתאימים, </w:t>
      </w:r>
      <w:r w:rsidR="007A6C88">
        <w:rPr>
          <w:rFonts w:ascii="David" w:hAnsi="David" w:cs="David"/>
          <w:rtl/>
        </w:rPr>
        <w:t xml:space="preserve">צריכה הייתה לדעת כי באותה עת של שינוי הדין </w:t>
      </w:r>
      <w:r w:rsidR="00061E99">
        <w:rPr>
          <w:rFonts w:ascii="David" w:hAnsi="David" w:cs="David"/>
          <w:rtl/>
        </w:rPr>
        <w:t>ל</w:t>
      </w:r>
      <w:r w:rsidR="007A6C88">
        <w:rPr>
          <w:rFonts w:ascii="David" w:hAnsi="David" w:cs="David"/>
          <w:rtl/>
        </w:rPr>
        <w:t xml:space="preserve">הורים הזכות לדעת על הדין הרלוונטי. </w:t>
      </w:r>
      <w:r w:rsidR="00D30792" w:rsidRPr="00C124FC">
        <w:rPr>
          <w:rFonts w:ascii="David" w:hAnsi="David" w:cs="David"/>
          <w:rtl/>
        </w:rPr>
        <w:t xml:space="preserve">ביהמ"ש קבע כי הצפיות הנדרשת מתייחסת לקווים הכללים של </w:t>
      </w:r>
      <w:r w:rsidR="0088158B">
        <w:rPr>
          <w:rFonts w:ascii="David" w:hAnsi="David" w:cs="David"/>
          <w:rtl/>
        </w:rPr>
        <w:t>ההתרחשות</w:t>
      </w:r>
      <w:r w:rsidR="00D30792" w:rsidRPr="00C124FC">
        <w:rPr>
          <w:rFonts w:ascii="David" w:hAnsi="David" w:cs="David"/>
          <w:rtl/>
        </w:rPr>
        <w:t xml:space="preserve"> ולסוג הנזק ולא נדרש לצפות כל פרט בהתרחשות ובעניינו, </w:t>
      </w:r>
      <w:r w:rsidR="003807CE">
        <w:rPr>
          <w:rFonts w:ascii="David" w:hAnsi="David" w:cs="David"/>
          <w:rtl/>
        </w:rPr>
        <w:t>התערבות בעניינים פרטים ו</w:t>
      </w:r>
      <w:r w:rsidR="00D30792">
        <w:rPr>
          <w:rFonts w:ascii="David" w:hAnsi="David" w:cs="David"/>
          <w:rtl/>
        </w:rPr>
        <w:t xml:space="preserve">חובת </w:t>
      </w:r>
      <w:r w:rsidR="003807CE">
        <w:rPr>
          <w:rFonts w:ascii="David" w:hAnsi="David" w:cs="David"/>
          <w:rtl/>
        </w:rPr>
        <w:t>ה</w:t>
      </w:r>
      <w:r w:rsidR="00D30792">
        <w:rPr>
          <w:rFonts w:ascii="David" w:hAnsi="David" w:cs="David"/>
          <w:rtl/>
        </w:rPr>
        <w:t>גילוי</w:t>
      </w:r>
      <w:r w:rsidR="00D30792" w:rsidRPr="00C124FC">
        <w:rPr>
          <w:rFonts w:ascii="David" w:hAnsi="David" w:cs="David"/>
          <w:rtl/>
        </w:rPr>
        <w:t>.</w:t>
      </w:r>
      <w:r>
        <w:rPr>
          <w:rStyle w:val="a7"/>
          <w:rFonts w:ascii="David" w:hAnsi="David" w:cs="David"/>
          <w:rtl/>
        </w:rPr>
        <w:footnoteReference w:id="111"/>
      </w:r>
      <w:r w:rsidR="00D30792" w:rsidRPr="00C124FC">
        <w:rPr>
          <w:rFonts w:ascii="David" w:hAnsi="David" w:cs="David"/>
          <w:rtl/>
        </w:rPr>
        <w:t xml:space="preserve"> במידה ולא ניתן לצפות את סוג הנזק לא ניתן להטיל אחריות על הנתבע</w:t>
      </w:r>
      <w:r>
        <w:rPr>
          <w:rFonts w:ascii="David" w:hAnsi="David" w:cs="David"/>
          <w:rtl/>
        </w:rPr>
        <w:t>ת</w:t>
      </w:r>
      <w:r w:rsidR="00D30792" w:rsidRPr="00C124FC">
        <w:rPr>
          <w:rFonts w:ascii="David" w:hAnsi="David" w:cs="David"/>
          <w:rtl/>
        </w:rPr>
        <w:t>.</w:t>
      </w:r>
      <w:r>
        <w:rPr>
          <w:rStyle w:val="a7"/>
          <w:rFonts w:ascii="David" w:hAnsi="David" w:cs="David"/>
          <w:rtl/>
        </w:rPr>
        <w:footnoteReference w:id="112"/>
      </w:r>
      <w:r w:rsidR="00D30792" w:rsidRPr="00C124FC">
        <w:rPr>
          <w:rFonts w:ascii="David" w:hAnsi="David" w:cs="David"/>
          <w:rtl/>
        </w:rPr>
        <w:t xml:space="preserve"> מחד, </w:t>
      </w:r>
      <w:r w:rsidR="00D30792">
        <w:rPr>
          <w:rFonts w:ascii="David" w:hAnsi="David" w:cs="David"/>
          <w:rtl/>
        </w:rPr>
        <w:t>המדינה</w:t>
      </w:r>
      <w:r w:rsidR="00D30792" w:rsidRPr="00C124FC">
        <w:rPr>
          <w:rFonts w:ascii="David" w:hAnsi="David" w:cs="David"/>
          <w:rtl/>
        </w:rPr>
        <w:t xml:space="preserve"> </w:t>
      </w:r>
      <w:r w:rsidR="00D30792">
        <w:rPr>
          <w:rFonts w:ascii="David" w:hAnsi="David" w:cs="David"/>
          <w:rtl/>
        </w:rPr>
        <w:t>תטען</w:t>
      </w:r>
      <w:r w:rsidR="00D30792" w:rsidRPr="00C124FC">
        <w:rPr>
          <w:rFonts w:ascii="David" w:hAnsi="David" w:cs="David"/>
          <w:rtl/>
        </w:rPr>
        <w:t xml:space="preserve"> שלא היה ניתן לצפות את סוג הנזק, הרי לא כל </w:t>
      </w:r>
      <w:r w:rsidR="00D30792">
        <w:rPr>
          <w:rFonts w:ascii="David" w:hAnsi="David" w:cs="David"/>
          <w:rtl/>
        </w:rPr>
        <w:t>שינוי בדין עלול להוביל למצבים בהם היילוד נותר עם מ</w:t>
      </w:r>
      <w:r w:rsidR="003A55E7">
        <w:rPr>
          <w:rFonts w:ascii="David" w:hAnsi="David" w:cs="David"/>
          <w:rtl/>
        </w:rPr>
        <w:t>ום וללא אמצעים סבירים להתמודדות</w:t>
      </w:r>
      <w:r w:rsidR="00D30792" w:rsidRPr="00C124FC">
        <w:rPr>
          <w:rFonts w:ascii="David" w:hAnsi="David" w:cs="David"/>
          <w:rtl/>
        </w:rPr>
        <w:t xml:space="preserve">, אלא שכן היה ניתן לצפות שזה </w:t>
      </w:r>
      <w:r w:rsidR="00D30792">
        <w:rPr>
          <w:rFonts w:ascii="David" w:hAnsi="David" w:cs="David"/>
          <w:rtl/>
        </w:rPr>
        <w:t>לכך שההורים לא יוכלו לתבוע בכלל משום שהם יאבדו את עילת התביעה בשל קיצור תקופת ההתיישנות</w:t>
      </w:r>
      <w:r w:rsidR="00D30792" w:rsidRPr="00C124FC">
        <w:rPr>
          <w:rFonts w:ascii="David" w:hAnsi="David" w:cs="David"/>
          <w:rtl/>
        </w:rPr>
        <w:t>. מאידך, ביהמ"ש פוסק בנוגע לראיית קווי הפעולה באופן מגמתי ולפי שיקול דעתו, לכן ישנם מצבים מן הסוג הזה שביהמ"ש כן יכיר בחובת זהירות בהתקיים נסיבות מסו</w:t>
      </w:r>
      <w:r w:rsidR="00D30792">
        <w:rPr>
          <w:rFonts w:ascii="David" w:hAnsi="David" w:cs="David"/>
          <w:shd w:val="clear" w:color="auto" w:fill="FFFFFF"/>
          <w:rtl/>
        </w:rPr>
        <w:t xml:space="preserve">ימות. </w:t>
      </w:r>
    </w:p>
    <w:p w:rsidR="009160CE" w:rsidRDefault="00BE211D" w:rsidP="00820CEF">
      <w:pPr>
        <w:spacing w:after="0" w:line="360" w:lineRule="auto"/>
        <w:jc w:val="both"/>
        <w:rPr>
          <w:rFonts w:ascii="David" w:hAnsi="David" w:cs="David" w:hint="default"/>
          <w:sz w:val="24"/>
          <w:szCs w:val="24"/>
          <w:rtl/>
        </w:rPr>
      </w:pPr>
      <w:r w:rsidRPr="00C124FC">
        <w:rPr>
          <w:rFonts w:ascii="David" w:hAnsi="David" w:cs="David"/>
          <w:sz w:val="24"/>
          <w:szCs w:val="24"/>
          <w:rtl/>
        </w:rPr>
        <w:t>השופט שמגר מוסיף מסננת לחו</w:t>
      </w:r>
      <w:r w:rsidRPr="00C124FC">
        <w:rPr>
          <w:rFonts w:ascii="David" w:hAnsi="David" w:cs="David"/>
          <w:sz w:val="24"/>
          <w:szCs w:val="24"/>
          <w:rtl/>
        </w:rPr>
        <w:t xml:space="preserve">בת הזהירות </w:t>
      </w:r>
      <w:r w:rsidRPr="00C124FC">
        <w:rPr>
          <w:rFonts w:ascii="David" w:hAnsi="David" w:cs="David" w:hint="cs"/>
          <w:sz w:val="24"/>
          <w:szCs w:val="24"/>
          <w:rtl/>
        </w:rPr>
        <w:t xml:space="preserve">בדמות </w:t>
      </w:r>
      <w:r w:rsidRPr="00C124FC">
        <w:rPr>
          <w:rFonts w:ascii="David" w:hAnsi="David" w:cs="David"/>
          <w:sz w:val="24"/>
          <w:szCs w:val="24"/>
          <w:rtl/>
        </w:rPr>
        <w:t>"</w:t>
      </w:r>
      <w:r w:rsidRPr="00B23B13">
        <w:rPr>
          <w:rFonts w:ascii="David" w:hAnsi="David" w:cs="David"/>
          <w:b/>
          <w:bCs/>
          <w:sz w:val="24"/>
          <w:szCs w:val="24"/>
          <w:rtl/>
        </w:rPr>
        <w:t>מבחן השכנות</w:t>
      </w:r>
      <w:r w:rsidRPr="00C124FC">
        <w:rPr>
          <w:rFonts w:ascii="David" w:hAnsi="David" w:cs="David" w:hint="cs"/>
          <w:sz w:val="24"/>
          <w:szCs w:val="24"/>
          <w:rtl/>
        </w:rPr>
        <w:t xml:space="preserve">" במסגרתו יש </w:t>
      </w:r>
      <w:r w:rsidRPr="00C124FC">
        <w:rPr>
          <w:rFonts w:ascii="David" w:hAnsi="David" w:cs="David"/>
          <w:sz w:val="24"/>
          <w:szCs w:val="24"/>
          <w:rtl/>
        </w:rPr>
        <w:t xml:space="preserve">לבחון </w:t>
      </w:r>
      <w:r w:rsidRPr="00C124FC">
        <w:rPr>
          <w:rFonts w:ascii="David" w:hAnsi="David" w:cs="David" w:hint="cs"/>
          <w:sz w:val="24"/>
          <w:szCs w:val="24"/>
          <w:rtl/>
        </w:rPr>
        <w:t xml:space="preserve">האם </w:t>
      </w:r>
      <w:r w:rsidRPr="00C124FC">
        <w:rPr>
          <w:rFonts w:ascii="David" w:hAnsi="David" w:cs="David"/>
          <w:sz w:val="24"/>
          <w:szCs w:val="24"/>
          <w:rtl/>
        </w:rPr>
        <w:t>קיומה של קרבה</w:t>
      </w:r>
      <w:r w:rsidRPr="00C124FC">
        <w:rPr>
          <w:rFonts w:ascii="David" w:hAnsi="David" w:cs="David" w:hint="cs"/>
          <w:sz w:val="24"/>
          <w:szCs w:val="24"/>
          <w:rtl/>
        </w:rPr>
        <w:t xml:space="preserve"> </w:t>
      </w:r>
      <w:r w:rsidRPr="00C124FC">
        <w:rPr>
          <w:rFonts w:ascii="David" w:hAnsi="David" w:cs="David"/>
          <w:sz w:val="24"/>
          <w:szCs w:val="24"/>
          <w:rtl/>
        </w:rPr>
        <w:t>מצדיקה הטלת אחריות בין המזיק לניזוק.</w:t>
      </w:r>
      <w:r>
        <w:rPr>
          <w:rStyle w:val="a7"/>
          <w:rFonts w:ascii="David" w:hAnsi="David" w:cs="David" w:hint="eastAsia"/>
          <w:sz w:val="24"/>
          <w:szCs w:val="24"/>
          <w:rtl/>
        </w:rPr>
        <w:footnoteReference w:id="113"/>
      </w:r>
      <w:r w:rsidRPr="00C124FC">
        <w:rPr>
          <w:rFonts w:ascii="David" w:hAnsi="David" w:cs="David" w:hint="cs"/>
          <w:sz w:val="24"/>
          <w:szCs w:val="24"/>
          <w:rtl/>
        </w:rPr>
        <w:t xml:space="preserve"> הקרבה תהא קרבה פיזית או משפטית, במקרה שלפנינו אין קרבה </w:t>
      </w:r>
      <w:r w:rsidRPr="00C124FC">
        <w:rPr>
          <w:rFonts w:ascii="David" w:hAnsi="David" w:cs="David" w:hint="cs"/>
          <w:sz w:val="24"/>
          <w:szCs w:val="24"/>
          <w:rtl/>
        </w:rPr>
        <w:lastRenderedPageBreak/>
        <w:t xml:space="preserve">משפטית </w:t>
      </w:r>
      <w:r w:rsidR="00161208">
        <w:rPr>
          <w:rFonts w:ascii="David" w:hAnsi="David" w:cs="David" w:hint="cs"/>
          <w:sz w:val="24"/>
          <w:szCs w:val="24"/>
          <w:rtl/>
        </w:rPr>
        <w:t xml:space="preserve">או פיזית, </w:t>
      </w:r>
      <w:r w:rsidR="00413873">
        <w:rPr>
          <w:rFonts w:ascii="David" w:hAnsi="David" w:cs="David" w:hint="cs"/>
          <w:sz w:val="24"/>
          <w:szCs w:val="24"/>
          <w:rtl/>
        </w:rPr>
        <w:t>אלא יש מערכת של זכויות וחובות בין השניים.</w:t>
      </w:r>
      <w:r w:rsidR="00B163FC">
        <w:rPr>
          <w:rFonts w:ascii="David" w:hAnsi="David" w:cs="David" w:hint="cs"/>
          <w:sz w:val="24"/>
          <w:szCs w:val="24"/>
          <w:rtl/>
        </w:rPr>
        <w:t xml:space="preserve"> בהמשך לכך ניתן לטעון לקרבה שמקורה ב</w:t>
      </w:r>
      <w:r w:rsidR="00917CE5">
        <w:rPr>
          <w:rFonts w:ascii="David" w:hAnsi="David" w:cs="David" w:hint="cs"/>
          <w:sz w:val="24"/>
          <w:szCs w:val="24"/>
          <w:rtl/>
        </w:rPr>
        <w:t xml:space="preserve">הסתמכותם הסבירה של ההורים על כך </w:t>
      </w:r>
      <w:r w:rsidR="00B163FC">
        <w:rPr>
          <w:rFonts w:ascii="David" w:hAnsi="David" w:cs="David" w:hint="cs"/>
          <w:sz w:val="24"/>
          <w:szCs w:val="24"/>
          <w:rtl/>
        </w:rPr>
        <w:t>שהמדינה תנקוט באמצעי זהירות מתאימים כדי למנוע מצב בו הילדים והוריהם יישארו חסרי כל עילת תביעה וכספים להתמודדות</w:t>
      </w:r>
      <w:r w:rsidR="002513A5">
        <w:rPr>
          <w:rFonts w:ascii="David" w:hAnsi="David" w:cs="David" w:hint="cs"/>
          <w:sz w:val="24"/>
          <w:szCs w:val="24"/>
          <w:rtl/>
        </w:rPr>
        <w:t xml:space="preserve"> עם</w:t>
      </w:r>
      <w:r w:rsidR="00B163FC">
        <w:rPr>
          <w:rFonts w:ascii="David" w:hAnsi="David" w:cs="David" w:hint="cs"/>
          <w:sz w:val="24"/>
          <w:szCs w:val="24"/>
          <w:rtl/>
        </w:rPr>
        <w:t xml:space="preserve"> המצב אליו נקלעו.</w:t>
      </w:r>
      <w:r w:rsidR="00413873">
        <w:rPr>
          <w:rFonts w:ascii="David" w:hAnsi="David" w:cs="David" w:hint="cs"/>
          <w:sz w:val="24"/>
          <w:szCs w:val="24"/>
          <w:rtl/>
        </w:rPr>
        <w:t xml:space="preserve"> </w:t>
      </w:r>
      <w:r w:rsidRPr="00C124FC">
        <w:rPr>
          <w:rFonts w:ascii="David" w:hAnsi="David" w:cs="David" w:hint="cs"/>
          <w:sz w:val="24"/>
          <w:szCs w:val="24"/>
          <w:rtl/>
        </w:rPr>
        <w:t xml:space="preserve">השופט שמגר מציע מבחני עזר: </w:t>
      </w:r>
      <w:r w:rsidR="00413873">
        <w:rPr>
          <w:rFonts w:ascii="David" w:hAnsi="David" w:cs="David" w:hint="cs"/>
          <w:sz w:val="24"/>
          <w:szCs w:val="24"/>
          <w:rtl/>
        </w:rPr>
        <w:t xml:space="preserve">אי חובת היידוע היא פעולה </w:t>
      </w:r>
      <w:r w:rsidRPr="00C124FC">
        <w:rPr>
          <w:rFonts w:ascii="David" w:hAnsi="David" w:cs="David" w:hint="cs"/>
          <w:sz w:val="24"/>
          <w:szCs w:val="24"/>
          <w:rtl/>
        </w:rPr>
        <w:t xml:space="preserve">מזיקה </w:t>
      </w:r>
      <w:r w:rsidR="00413873">
        <w:rPr>
          <w:rFonts w:ascii="David" w:hAnsi="David" w:cs="David" w:hint="cs"/>
          <w:sz w:val="24"/>
          <w:szCs w:val="24"/>
          <w:rtl/>
        </w:rPr>
        <w:t>ועולה לכדי מחדל מאחר שהמדינה שתקה ולא גרמה לוודאות באשר לאופן הגשת תובענה לפי הדין החדש</w:t>
      </w:r>
      <w:r w:rsidRPr="00C124FC">
        <w:rPr>
          <w:rFonts w:ascii="David" w:hAnsi="David" w:cs="David" w:hint="cs"/>
          <w:sz w:val="24"/>
          <w:szCs w:val="24"/>
          <w:rtl/>
        </w:rPr>
        <w:t xml:space="preserve">. </w:t>
      </w:r>
      <w:r w:rsidR="00413873">
        <w:rPr>
          <w:rFonts w:ascii="David" w:hAnsi="David" w:cs="David" w:hint="cs"/>
          <w:sz w:val="24"/>
          <w:szCs w:val="24"/>
          <w:rtl/>
        </w:rPr>
        <w:t xml:space="preserve">אף שהנזק </w:t>
      </w:r>
      <w:r w:rsidR="00825CE5">
        <w:rPr>
          <w:rFonts w:ascii="David" w:hAnsi="David" w:cs="David" w:hint="cs"/>
          <w:sz w:val="24"/>
          <w:szCs w:val="24"/>
          <w:rtl/>
        </w:rPr>
        <w:t>שממנו</w:t>
      </w:r>
      <w:r w:rsidR="00413873">
        <w:rPr>
          <w:rFonts w:ascii="David" w:hAnsi="David" w:cs="David" w:hint="cs"/>
          <w:sz w:val="24"/>
          <w:szCs w:val="24"/>
          <w:rtl/>
        </w:rPr>
        <w:t xml:space="preserve"> ההורים סבלו הוא נזק כלכלי טהור שנגרם עקב מחדל טהור, ניתן לטעון כי על קיומה של שכנות בין הצדדים, ניתן ללמוד מההסתמכות הסבירה של ההורים על כך שהמדינה תיידע אותם שלמרות שניצבת בפניהם כעת עילת תביעה אחת עליהם להזדרז עם הגשתה טרם תתיישן.</w:t>
      </w:r>
      <w:r>
        <w:rPr>
          <w:rStyle w:val="a7"/>
          <w:rFonts w:ascii="David" w:hAnsi="David" w:hint="default"/>
          <w:sz w:val="24"/>
          <w:szCs w:val="24"/>
          <w:rtl/>
        </w:rPr>
        <w:footnoteReference w:id="114"/>
      </w:r>
      <w:r w:rsidR="00B163FC">
        <w:rPr>
          <w:rFonts w:ascii="David" w:hAnsi="David" w:cs="David" w:hint="cs"/>
          <w:sz w:val="24"/>
          <w:szCs w:val="24"/>
          <w:rtl/>
        </w:rPr>
        <w:t xml:space="preserve">זאת ועוד, יש לומר </w:t>
      </w:r>
      <w:r w:rsidR="00820CEF">
        <w:rPr>
          <w:rFonts w:ascii="David" w:hAnsi="David" w:cs="David" w:hint="cs"/>
          <w:sz w:val="24"/>
          <w:szCs w:val="24"/>
          <w:rtl/>
        </w:rPr>
        <w:t>כי אף</w:t>
      </w:r>
      <w:r w:rsidR="00B163FC">
        <w:rPr>
          <w:rFonts w:ascii="David" w:hAnsi="David" w:cs="David" w:hint="cs"/>
          <w:sz w:val="24"/>
          <w:szCs w:val="24"/>
          <w:rtl/>
        </w:rPr>
        <w:t xml:space="preserve"> שההורים הם ניזוקים בשל אי חובת הגילוי שחבה להם המדינה, כך שהמדינה היא מזיקה ראשונית שהרשלנות המיוחסת לה באה לידי ביטוי על דרך המחדל. ניתן לטעון שהמדינה בהיותה בעלת שליטה על כלל אזרחיה היא שאפשרה את קרות האירוע ו"פספוס" עילת תביעה גם של ההורים, ובעצם כך היא זאת שיצרה את התנאים להתממשות הסיכון. </w:t>
      </w:r>
      <w:r w:rsidR="00777347">
        <w:rPr>
          <w:rFonts w:ascii="David" w:hAnsi="David" w:cs="David" w:hint="cs"/>
          <w:sz w:val="24"/>
          <w:szCs w:val="24"/>
          <w:rtl/>
        </w:rPr>
        <w:t xml:space="preserve">סוג הנזק בעניינו, הוא נזק </w:t>
      </w:r>
      <w:r w:rsidR="00777347" w:rsidRPr="00C124FC">
        <w:rPr>
          <w:rFonts w:ascii="David" w:hAnsi="David" w:cs="David" w:hint="cs"/>
          <w:sz w:val="24"/>
          <w:szCs w:val="24"/>
          <w:rtl/>
        </w:rPr>
        <w:t xml:space="preserve">כלכלי בשל פגיעה </w:t>
      </w:r>
      <w:r w:rsidR="00777347">
        <w:rPr>
          <w:rFonts w:ascii="David" w:hAnsi="David" w:cs="David" w:hint="cs"/>
          <w:sz w:val="24"/>
          <w:szCs w:val="24"/>
          <w:rtl/>
        </w:rPr>
        <w:t>בפנייה לערכאות</w:t>
      </w:r>
      <w:r w:rsidR="00777347" w:rsidRPr="00C124FC">
        <w:rPr>
          <w:rFonts w:ascii="David" w:hAnsi="David" w:cs="David" w:hint="cs"/>
          <w:sz w:val="24"/>
          <w:szCs w:val="24"/>
          <w:rtl/>
        </w:rPr>
        <w:t xml:space="preserve"> והוצאות רפואיות. </w:t>
      </w:r>
    </w:p>
    <w:p w:rsidR="00465EAF" w:rsidRDefault="00465EAF" w:rsidP="00777347">
      <w:pPr>
        <w:spacing w:after="0" w:line="360" w:lineRule="auto"/>
        <w:jc w:val="both"/>
        <w:rPr>
          <w:rFonts w:ascii="David" w:hAnsi="David" w:cs="David" w:hint="default"/>
          <w:sz w:val="24"/>
          <w:szCs w:val="24"/>
          <w:rtl/>
        </w:rPr>
      </w:pPr>
    </w:p>
    <w:p w:rsidR="005068B8" w:rsidRDefault="00BE211D" w:rsidP="008F73E6">
      <w:pPr>
        <w:spacing w:after="0" w:line="360" w:lineRule="auto"/>
        <w:jc w:val="both"/>
        <w:rPr>
          <w:rFonts w:ascii="David" w:hAnsi="David" w:cs="David" w:hint="default"/>
          <w:sz w:val="24"/>
          <w:szCs w:val="24"/>
          <w:rtl/>
        </w:rPr>
      </w:pPr>
      <w:r w:rsidRPr="00C124FC">
        <w:rPr>
          <w:rFonts w:ascii="David" w:hAnsi="David" w:cs="David" w:hint="cs"/>
          <w:sz w:val="24"/>
          <w:szCs w:val="24"/>
          <w:rtl/>
        </w:rPr>
        <w:t xml:space="preserve">כעת, נבחן את </w:t>
      </w:r>
      <w:r w:rsidRPr="00465EAF">
        <w:rPr>
          <w:rFonts w:ascii="David" w:hAnsi="David" w:cs="David" w:hint="cs"/>
          <w:b/>
          <w:bCs/>
          <w:sz w:val="24"/>
          <w:szCs w:val="24"/>
          <w:rtl/>
        </w:rPr>
        <w:t xml:space="preserve">הצפיות </w:t>
      </w:r>
      <w:r w:rsidR="00F71122">
        <w:rPr>
          <w:rFonts w:ascii="David" w:hAnsi="David" w:cs="David" w:hint="cs"/>
          <w:b/>
          <w:bCs/>
          <w:sz w:val="24"/>
          <w:szCs w:val="24"/>
          <w:rtl/>
        </w:rPr>
        <w:t>ה</w:t>
      </w:r>
      <w:r w:rsidRPr="00465EAF">
        <w:rPr>
          <w:rFonts w:ascii="David" w:hAnsi="David" w:cs="David" w:hint="cs"/>
          <w:b/>
          <w:bCs/>
          <w:sz w:val="24"/>
          <w:szCs w:val="24"/>
          <w:rtl/>
        </w:rPr>
        <w:t xml:space="preserve">נורמטיבית </w:t>
      </w:r>
      <w:r w:rsidRPr="00C124FC">
        <w:rPr>
          <w:rFonts w:ascii="David" w:hAnsi="David" w:cs="David" w:hint="cs"/>
          <w:sz w:val="24"/>
          <w:szCs w:val="24"/>
          <w:rtl/>
        </w:rPr>
        <w:t xml:space="preserve">בשאלה האם </w:t>
      </w:r>
      <w:r>
        <w:rPr>
          <w:rFonts w:ascii="David" w:hAnsi="David" w:cs="David" w:hint="cs"/>
          <w:sz w:val="24"/>
          <w:szCs w:val="24"/>
          <w:rtl/>
        </w:rPr>
        <w:t xml:space="preserve">המדינה </w:t>
      </w:r>
      <w:r w:rsidRPr="00C124FC">
        <w:rPr>
          <w:rFonts w:ascii="David" w:hAnsi="David" w:cs="David" w:hint="cs"/>
          <w:sz w:val="24"/>
          <w:szCs w:val="24"/>
          <w:rtl/>
        </w:rPr>
        <w:t>כמזיק</w:t>
      </w:r>
      <w:r>
        <w:rPr>
          <w:rFonts w:ascii="David" w:hAnsi="David" w:cs="David" w:hint="cs"/>
          <w:sz w:val="24"/>
          <w:szCs w:val="24"/>
          <w:rtl/>
        </w:rPr>
        <w:t>ה</w:t>
      </w:r>
      <w:r w:rsidRPr="00C124FC">
        <w:rPr>
          <w:rFonts w:ascii="David" w:hAnsi="David" w:cs="David" w:hint="cs"/>
          <w:sz w:val="24"/>
          <w:szCs w:val="24"/>
          <w:rtl/>
        </w:rPr>
        <w:t xml:space="preserve"> סביר</w:t>
      </w:r>
      <w:r>
        <w:rPr>
          <w:rFonts w:ascii="David" w:hAnsi="David" w:cs="David" w:hint="cs"/>
          <w:sz w:val="24"/>
          <w:szCs w:val="24"/>
          <w:rtl/>
        </w:rPr>
        <w:t>ה</w:t>
      </w:r>
      <w:r w:rsidRPr="00C124FC">
        <w:rPr>
          <w:rFonts w:ascii="David" w:hAnsi="David" w:cs="David" w:hint="cs"/>
          <w:sz w:val="24"/>
          <w:szCs w:val="24"/>
          <w:rtl/>
        </w:rPr>
        <w:t xml:space="preserve"> </w:t>
      </w:r>
      <w:r>
        <w:rPr>
          <w:rFonts w:ascii="David" w:hAnsi="David" w:cs="David" w:hint="cs"/>
          <w:sz w:val="24"/>
          <w:szCs w:val="24"/>
          <w:rtl/>
        </w:rPr>
        <w:t>צריכה</w:t>
      </w:r>
      <w:r w:rsidRPr="00C124FC">
        <w:rPr>
          <w:rFonts w:ascii="David" w:hAnsi="David" w:cs="David" w:hint="cs"/>
          <w:sz w:val="24"/>
          <w:szCs w:val="24"/>
          <w:rtl/>
        </w:rPr>
        <w:t xml:space="preserve"> הי</w:t>
      </w:r>
      <w:r>
        <w:rPr>
          <w:rFonts w:ascii="David" w:hAnsi="David" w:cs="David" w:hint="cs"/>
          <w:sz w:val="24"/>
          <w:szCs w:val="24"/>
          <w:rtl/>
        </w:rPr>
        <w:t>ית</w:t>
      </w:r>
      <w:r w:rsidRPr="00C124FC">
        <w:rPr>
          <w:rFonts w:ascii="David" w:hAnsi="David" w:cs="David" w:hint="cs"/>
          <w:sz w:val="24"/>
          <w:szCs w:val="24"/>
          <w:rtl/>
        </w:rPr>
        <w:t xml:space="preserve">ה לצפות את התרחשות הנזק כאמור, </w:t>
      </w:r>
      <w:r>
        <w:rPr>
          <w:rFonts w:ascii="David" w:hAnsi="David" w:cs="David" w:hint="cs"/>
          <w:sz w:val="24"/>
          <w:szCs w:val="24"/>
          <w:rtl/>
        </w:rPr>
        <w:t xml:space="preserve">אובדן עילת תביעה </w:t>
      </w:r>
      <w:r w:rsidRPr="00C124FC">
        <w:rPr>
          <w:rFonts w:ascii="David" w:hAnsi="David" w:cs="David" w:hint="cs"/>
          <w:sz w:val="24"/>
          <w:szCs w:val="24"/>
          <w:rtl/>
        </w:rPr>
        <w:t xml:space="preserve">וזאת במסגרת </w:t>
      </w:r>
      <w:r w:rsidRPr="00C124FC">
        <w:rPr>
          <w:rFonts w:ascii="David" w:hAnsi="David" w:cs="David"/>
          <w:sz w:val="24"/>
          <w:szCs w:val="24"/>
          <w:rtl/>
        </w:rPr>
        <w:t>שיקולי המדיניות</w:t>
      </w:r>
      <w:r w:rsidRPr="00C124FC">
        <w:rPr>
          <w:rFonts w:ascii="David" w:hAnsi="David" w:cs="David" w:hint="cs"/>
          <w:sz w:val="24"/>
          <w:szCs w:val="24"/>
          <w:rtl/>
        </w:rPr>
        <w:t>.</w:t>
      </w:r>
      <w:r w:rsidRPr="00C124FC">
        <w:rPr>
          <w:rFonts w:ascii="David" w:hAnsi="David" w:cs="David"/>
          <w:sz w:val="24"/>
          <w:szCs w:val="24"/>
          <w:rtl/>
        </w:rPr>
        <w:t xml:space="preserve"> המקרה שלפנינו מאופיין כמחדל משום </w:t>
      </w:r>
      <w:r w:rsidRPr="00C124FC">
        <w:rPr>
          <w:rFonts w:ascii="David" w:hAnsi="David" w:cs="David" w:hint="cs"/>
          <w:sz w:val="24"/>
          <w:szCs w:val="24"/>
          <w:rtl/>
        </w:rPr>
        <w:t>ש</w:t>
      </w:r>
      <w:r w:rsidRPr="00C124FC">
        <w:rPr>
          <w:rFonts w:ascii="David" w:hAnsi="David" w:cs="David"/>
          <w:sz w:val="24"/>
          <w:szCs w:val="24"/>
          <w:rtl/>
        </w:rPr>
        <w:t xml:space="preserve">הסיכון </w:t>
      </w:r>
      <w:r w:rsidR="00806B7D">
        <w:rPr>
          <w:rFonts w:ascii="David" w:hAnsi="David" w:cs="David" w:hint="cs"/>
          <w:sz w:val="24"/>
          <w:szCs w:val="24"/>
          <w:rtl/>
        </w:rPr>
        <w:t xml:space="preserve">שהמדינה יצרה באי הודעה להורים היא זאת שגרמה בעצם </w:t>
      </w:r>
      <w:r w:rsidRPr="00C124FC">
        <w:rPr>
          <w:rFonts w:ascii="David" w:hAnsi="David" w:cs="David" w:hint="cs"/>
          <w:sz w:val="24"/>
          <w:szCs w:val="24"/>
          <w:rtl/>
        </w:rPr>
        <w:t xml:space="preserve"> </w:t>
      </w:r>
      <w:r w:rsidR="00806B7D">
        <w:rPr>
          <w:rFonts w:ascii="David" w:hAnsi="David" w:cs="David" w:hint="cs"/>
          <w:sz w:val="24"/>
          <w:szCs w:val="24"/>
          <w:rtl/>
        </w:rPr>
        <w:t>ל</w:t>
      </w:r>
      <w:r w:rsidRPr="00C124FC">
        <w:rPr>
          <w:rFonts w:ascii="David" w:hAnsi="David" w:cs="David" w:hint="cs"/>
          <w:sz w:val="24"/>
          <w:szCs w:val="24"/>
          <w:rtl/>
        </w:rPr>
        <w:t>התממשותו של הסיכון</w:t>
      </w:r>
      <w:r w:rsidRPr="00C124FC">
        <w:rPr>
          <w:rFonts w:ascii="David" w:hAnsi="David" w:cs="David"/>
          <w:sz w:val="24"/>
          <w:szCs w:val="24"/>
          <w:rtl/>
        </w:rPr>
        <w:t>.</w:t>
      </w:r>
      <w:r w:rsidRPr="00C124FC">
        <w:rPr>
          <w:rFonts w:ascii="David" w:hAnsi="David" w:cs="David" w:hint="cs"/>
          <w:sz w:val="24"/>
          <w:szCs w:val="24"/>
          <w:rtl/>
        </w:rPr>
        <w:t xml:space="preserve"> </w:t>
      </w:r>
      <w:r w:rsidRPr="00C124FC">
        <w:rPr>
          <w:rFonts w:ascii="David" w:hAnsi="David" w:cs="David"/>
          <w:sz w:val="24"/>
          <w:szCs w:val="24"/>
          <w:rtl/>
        </w:rPr>
        <w:t>הבעיה מכך הינה הרתעת יתר</w:t>
      </w:r>
      <w:r w:rsidRPr="00C124FC">
        <w:rPr>
          <w:rFonts w:ascii="David" w:hAnsi="David" w:cs="David" w:hint="cs"/>
          <w:sz w:val="24"/>
          <w:szCs w:val="24"/>
          <w:rtl/>
        </w:rPr>
        <w:t xml:space="preserve"> כאמור,</w:t>
      </w:r>
      <w:r w:rsidR="00026105">
        <w:rPr>
          <w:rFonts w:ascii="David" w:hAnsi="David" w:cs="David" w:hint="cs"/>
          <w:sz w:val="24"/>
          <w:szCs w:val="24"/>
          <w:rtl/>
        </w:rPr>
        <w:t xml:space="preserve"> המדינה תמצא את עצמה חשופה לאחריות רחבה, וכל הזמן תצטרך להיות "עם יד על הדופק" שמא </w:t>
      </w:r>
      <w:r w:rsidR="008F73E6">
        <w:rPr>
          <w:rFonts w:ascii="David" w:hAnsi="David" w:cs="David" w:hint="cs"/>
          <w:sz w:val="24"/>
          <w:szCs w:val="24"/>
          <w:rtl/>
        </w:rPr>
        <w:t>ביהמ"ש</w:t>
      </w:r>
      <w:r w:rsidR="00026105">
        <w:rPr>
          <w:rFonts w:ascii="David" w:hAnsi="David" w:cs="David" w:hint="cs"/>
          <w:sz w:val="24"/>
          <w:szCs w:val="24"/>
          <w:rtl/>
        </w:rPr>
        <w:t xml:space="preserve"> העליון ישנה את הדין והיא תצטרך למהר ולפרסם ברשומות, באינטרנט, להוציא מכתבים לאוכלוסייה הרלוונטית.</w:t>
      </w:r>
      <w:r>
        <w:rPr>
          <w:rStyle w:val="a7"/>
          <w:rFonts w:ascii="David" w:hAnsi="David" w:hint="default"/>
          <w:sz w:val="24"/>
          <w:szCs w:val="24"/>
          <w:rtl/>
        </w:rPr>
        <w:footnoteReference w:id="115"/>
      </w:r>
      <w:r w:rsidR="00026105">
        <w:rPr>
          <w:rFonts w:ascii="David" w:hAnsi="David" w:cs="David" w:hint="cs"/>
          <w:sz w:val="24"/>
          <w:szCs w:val="24"/>
          <w:rtl/>
        </w:rPr>
        <w:t xml:space="preserve"> </w:t>
      </w:r>
      <w:r w:rsidR="000500AE" w:rsidRPr="00C124FC">
        <w:rPr>
          <w:rFonts w:ascii="David" w:hAnsi="David" w:cs="David" w:hint="cs"/>
          <w:sz w:val="24"/>
          <w:szCs w:val="24"/>
          <w:rtl/>
        </w:rPr>
        <w:t xml:space="preserve">הטלת אחריות על </w:t>
      </w:r>
      <w:r w:rsidR="000500AE">
        <w:rPr>
          <w:rFonts w:ascii="David" w:hAnsi="David" w:cs="David" w:hint="cs"/>
          <w:sz w:val="24"/>
          <w:szCs w:val="24"/>
          <w:rtl/>
        </w:rPr>
        <w:t>המדינה</w:t>
      </w:r>
      <w:r w:rsidR="000500AE" w:rsidRPr="00C124FC">
        <w:rPr>
          <w:rFonts w:ascii="David" w:hAnsi="David" w:cs="David" w:hint="cs"/>
          <w:sz w:val="24"/>
          <w:szCs w:val="24"/>
          <w:rtl/>
        </w:rPr>
        <w:t xml:space="preserve"> בגין מחדל תוביל לעלויות מנהליות גבוהות כתוצאה מהגשת תביעות במקרים </w:t>
      </w:r>
      <w:r w:rsidR="000500AE">
        <w:rPr>
          <w:rFonts w:ascii="David" w:hAnsi="David" w:cs="David" w:hint="cs"/>
          <w:sz w:val="24"/>
          <w:szCs w:val="24"/>
          <w:rtl/>
        </w:rPr>
        <w:t>בהם המדינה התרשלה</w:t>
      </w:r>
      <w:r w:rsidR="000500AE" w:rsidRPr="00C124FC">
        <w:rPr>
          <w:rFonts w:ascii="David" w:hAnsi="David" w:cs="David" w:hint="cs"/>
          <w:sz w:val="24"/>
          <w:szCs w:val="24"/>
          <w:rtl/>
        </w:rPr>
        <w:t>. ביהמ"ש עשוי להכיר בנכונות להטיל אחריות נזיקית על מחדל במקרים מיוחדים.</w:t>
      </w:r>
      <w:r>
        <w:rPr>
          <w:rStyle w:val="a7"/>
          <w:rFonts w:ascii="David" w:hAnsi="David" w:cs="David" w:hint="eastAsia"/>
          <w:sz w:val="24"/>
          <w:szCs w:val="24"/>
          <w:rtl/>
        </w:rPr>
        <w:footnoteReference w:id="116"/>
      </w:r>
      <w:r w:rsidR="000500AE" w:rsidRPr="00C124FC">
        <w:rPr>
          <w:rFonts w:ascii="David" w:hAnsi="David" w:cs="David" w:hint="cs"/>
          <w:sz w:val="24"/>
          <w:szCs w:val="24"/>
          <w:rtl/>
        </w:rPr>
        <w:t xml:space="preserve"> בעניינו, </w:t>
      </w:r>
      <w:r w:rsidR="000500AE">
        <w:rPr>
          <w:rFonts w:ascii="David" w:hAnsi="David" w:cs="David" w:hint="cs"/>
          <w:sz w:val="24"/>
          <w:szCs w:val="24"/>
          <w:rtl/>
        </w:rPr>
        <w:t>ההורים יטענו</w:t>
      </w:r>
      <w:r w:rsidR="000500AE" w:rsidRPr="00C124FC">
        <w:rPr>
          <w:rFonts w:ascii="David" w:hAnsi="David" w:cs="David" w:hint="cs"/>
          <w:sz w:val="24"/>
          <w:szCs w:val="24"/>
          <w:rtl/>
        </w:rPr>
        <w:t xml:space="preserve"> שהייתה לה</w:t>
      </w:r>
      <w:r w:rsidR="000500AE">
        <w:rPr>
          <w:rFonts w:ascii="David" w:hAnsi="David" w:cs="David" w:hint="cs"/>
          <w:sz w:val="24"/>
          <w:szCs w:val="24"/>
          <w:rtl/>
        </w:rPr>
        <w:t>ם</w:t>
      </w:r>
      <w:r w:rsidR="000500AE" w:rsidRPr="00C124FC">
        <w:rPr>
          <w:rFonts w:ascii="David" w:hAnsi="David" w:cs="David" w:hint="cs"/>
          <w:sz w:val="24"/>
          <w:szCs w:val="24"/>
          <w:rtl/>
        </w:rPr>
        <w:t xml:space="preserve"> הסתמכות סבירה </w:t>
      </w:r>
      <w:r w:rsidR="000500AE">
        <w:rPr>
          <w:rFonts w:ascii="David" w:hAnsi="David" w:cs="David" w:hint="cs"/>
          <w:sz w:val="24"/>
          <w:szCs w:val="24"/>
          <w:rtl/>
        </w:rPr>
        <w:t>שהמדינה</w:t>
      </w:r>
      <w:r w:rsidR="000500AE" w:rsidRPr="00C124FC">
        <w:rPr>
          <w:rFonts w:ascii="David" w:hAnsi="David" w:cs="David" w:hint="cs"/>
          <w:sz w:val="24"/>
          <w:szCs w:val="24"/>
          <w:rtl/>
        </w:rPr>
        <w:t xml:space="preserve"> כבעל</w:t>
      </w:r>
      <w:r w:rsidR="000500AE">
        <w:rPr>
          <w:rFonts w:ascii="David" w:hAnsi="David" w:cs="David" w:hint="cs"/>
          <w:sz w:val="24"/>
          <w:szCs w:val="24"/>
          <w:rtl/>
        </w:rPr>
        <w:t>ת</w:t>
      </w:r>
      <w:r w:rsidR="00F71122">
        <w:rPr>
          <w:rFonts w:ascii="David" w:hAnsi="David" w:cs="David" w:hint="cs"/>
          <w:sz w:val="24"/>
          <w:szCs w:val="24"/>
          <w:rtl/>
        </w:rPr>
        <w:t xml:space="preserve"> שליטה</w:t>
      </w:r>
      <w:r w:rsidR="000500AE">
        <w:rPr>
          <w:rFonts w:ascii="David" w:hAnsi="David" w:cs="David" w:hint="cs"/>
          <w:sz w:val="24"/>
          <w:szCs w:val="24"/>
          <w:rtl/>
        </w:rPr>
        <w:t xml:space="preserve"> תדאג</w:t>
      </w:r>
      <w:r w:rsidR="000500AE" w:rsidRPr="00C124FC">
        <w:rPr>
          <w:rFonts w:ascii="David" w:hAnsi="David" w:cs="David" w:hint="cs"/>
          <w:sz w:val="24"/>
          <w:szCs w:val="24"/>
          <w:rtl/>
        </w:rPr>
        <w:t xml:space="preserve"> </w:t>
      </w:r>
      <w:r>
        <w:rPr>
          <w:rFonts w:ascii="David" w:hAnsi="David" w:cs="David" w:hint="cs"/>
          <w:sz w:val="24"/>
          <w:szCs w:val="24"/>
          <w:rtl/>
        </w:rPr>
        <w:t>להורים וילדיהם</w:t>
      </w:r>
      <w:r w:rsidR="000500AE" w:rsidRPr="00C124FC">
        <w:rPr>
          <w:rFonts w:ascii="David" w:hAnsi="David" w:cs="David" w:hint="cs"/>
          <w:sz w:val="24"/>
          <w:szCs w:val="24"/>
          <w:rtl/>
        </w:rPr>
        <w:t xml:space="preserve"> ולמניעת ה</w:t>
      </w:r>
      <w:r w:rsidR="000500AE">
        <w:rPr>
          <w:rFonts w:ascii="David" w:hAnsi="David" w:cs="David" w:hint="cs"/>
          <w:sz w:val="24"/>
          <w:szCs w:val="24"/>
          <w:rtl/>
        </w:rPr>
        <w:t>נזק הכרוך מכך.</w:t>
      </w:r>
      <w:r>
        <w:rPr>
          <w:rStyle w:val="a7"/>
          <w:rFonts w:ascii="David" w:hAnsi="David" w:hint="default"/>
          <w:sz w:val="24"/>
          <w:szCs w:val="24"/>
          <w:rtl/>
        </w:rPr>
        <w:footnoteReference w:id="117"/>
      </w:r>
      <w:r w:rsidR="000500AE">
        <w:rPr>
          <w:rFonts w:ascii="David" w:hAnsi="David" w:cs="David" w:hint="cs"/>
          <w:sz w:val="24"/>
          <w:szCs w:val="24"/>
          <w:rtl/>
        </w:rPr>
        <w:t xml:space="preserve"> </w:t>
      </w:r>
      <w:r>
        <w:rPr>
          <w:rFonts w:ascii="David" w:hAnsi="David" w:cs="David" w:hint="cs"/>
          <w:sz w:val="24"/>
          <w:szCs w:val="24"/>
          <w:rtl/>
        </w:rPr>
        <w:t xml:space="preserve">למדינה קיימת יכולת משמעותית של פיקוח באמצעות מעמדה למנוע את הנזק </w:t>
      </w:r>
      <w:r>
        <w:rPr>
          <w:rFonts w:ascii="David" w:hAnsi="David" w:cs="David" w:hint="cs"/>
          <w:sz w:val="24"/>
          <w:szCs w:val="24"/>
          <w:rtl/>
        </w:rPr>
        <w:t>למשל: להציב אדם בבית משפט שכל תפקידו להעביר למדינה כי נעשה שינוי בדין, להורות לשופטים כי עליהם להוציא הודעה מסודרת לציבור או לחילופין שיורו להוציא מכתבים לאוכלוסייה המדוברת. יתרה מזאת, המדינה מעצם היותה תחשב כמונעת הנזק הטובה ביותר</w:t>
      </w:r>
      <w:r w:rsidRPr="00C124FC">
        <w:rPr>
          <w:rFonts w:ascii="David" w:hAnsi="David" w:cs="David" w:hint="cs"/>
          <w:sz w:val="24"/>
          <w:szCs w:val="24"/>
          <w:rtl/>
        </w:rPr>
        <w:t>.</w:t>
      </w:r>
      <w:r>
        <w:rPr>
          <w:rStyle w:val="a7"/>
          <w:rFonts w:ascii="David" w:hAnsi="David" w:cs="David" w:hint="eastAsia"/>
          <w:sz w:val="24"/>
          <w:szCs w:val="24"/>
          <w:rtl/>
        </w:rPr>
        <w:footnoteReference w:id="118"/>
      </w:r>
      <w:r w:rsidRPr="00C124FC">
        <w:rPr>
          <w:rFonts w:ascii="David" w:hAnsi="David" w:cs="David" w:hint="cs"/>
          <w:sz w:val="24"/>
          <w:szCs w:val="24"/>
          <w:rtl/>
        </w:rPr>
        <w:t xml:space="preserve"> מנגד, </w:t>
      </w:r>
      <w:r>
        <w:rPr>
          <w:rFonts w:ascii="David" w:hAnsi="David" w:cs="David" w:hint="cs"/>
          <w:sz w:val="24"/>
          <w:szCs w:val="24"/>
          <w:rtl/>
        </w:rPr>
        <w:t>המדינה</w:t>
      </w:r>
      <w:r w:rsidRPr="00C124FC">
        <w:rPr>
          <w:rFonts w:ascii="David" w:hAnsi="David" w:cs="David" w:hint="cs"/>
          <w:sz w:val="24"/>
          <w:szCs w:val="24"/>
          <w:rtl/>
        </w:rPr>
        <w:t xml:space="preserve"> כבעל</w:t>
      </w:r>
      <w:r>
        <w:rPr>
          <w:rFonts w:ascii="David" w:hAnsi="David" w:cs="David" w:hint="cs"/>
          <w:sz w:val="24"/>
          <w:szCs w:val="24"/>
          <w:rtl/>
        </w:rPr>
        <w:t>ת</w:t>
      </w:r>
      <w:r w:rsidRPr="00C124FC">
        <w:rPr>
          <w:rFonts w:ascii="David" w:hAnsi="David" w:cs="David" w:hint="cs"/>
          <w:sz w:val="24"/>
          <w:szCs w:val="24"/>
          <w:rtl/>
        </w:rPr>
        <w:t xml:space="preserve"> הסמ</w:t>
      </w:r>
      <w:r w:rsidRPr="00C124FC">
        <w:rPr>
          <w:rFonts w:ascii="David" w:hAnsi="David" w:cs="David" w:hint="cs"/>
          <w:sz w:val="24"/>
          <w:szCs w:val="24"/>
          <w:rtl/>
        </w:rPr>
        <w:t xml:space="preserve">כות להשליט סדר </w:t>
      </w:r>
      <w:r>
        <w:rPr>
          <w:rFonts w:ascii="David" w:hAnsi="David" w:cs="David" w:hint="cs"/>
          <w:sz w:val="24"/>
          <w:szCs w:val="24"/>
          <w:rtl/>
        </w:rPr>
        <w:t>תטען</w:t>
      </w:r>
      <w:r w:rsidRPr="00C124FC">
        <w:rPr>
          <w:rFonts w:ascii="David" w:hAnsi="David" w:cs="David" w:hint="cs"/>
          <w:sz w:val="24"/>
          <w:szCs w:val="24"/>
          <w:rtl/>
        </w:rPr>
        <w:t xml:space="preserve"> </w:t>
      </w:r>
      <w:r>
        <w:rPr>
          <w:rFonts w:ascii="David" w:hAnsi="David" w:cs="David" w:hint="cs"/>
          <w:sz w:val="24"/>
          <w:szCs w:val="24"/>
          <w:rtl/>
        </w:rPr>
        <w:t>שהיא</w:t>
      </w:r>
      <w:r w:rsidRPr="00C124FC">
        <w:rPr>
          <w:rFonts w:ascii="David" w:hAnsi="David" w:cs="David" w:hint="cs"/>
          <w:sz w:val="24"/>
          <w:szCs w:val="24"/>
          <w:rtl/>
        </w:rPr>
        <w:t xml:space="preserve"> נקט</w:t>
      </w:r>
      <w:r>
        <w:rPr>
          <w:rFonts w:ascii="David" w:hAnsi="David" w:cs="David" w:hint="cs"/>
          <w:sz w:val="24"/>
          <w:szCs w:val="24"/>
          <w:rtl/>
        </w:rPr>
        <w:t>ה</w:t>
      </w:r>
      <w:r w:rsidRPr="00C124FC">
        <w:rPr>
          <w:rFonts w:ascii="David" w:hAnsi="David" w:cs="David" w:hint="cs"/>
          <w:sz w:val="24"/>
          <w:szCs w:val="24"/>
          <w:rtl/>
        </w:rPr>
        <w:t xml:space="preserve"> באמצעים סבירים לנוכח השירותים </w:t>
      </w:r>
      <w:r>
        <w:rPr>
          <w:rFonts w:ascii="David" w:hAnsi="David" w:cs="David" w:hint="cs"/>
          <w:sz w:val="24"/>
          <w:szCs w:val="24"/>
          <w:rtl/>
        </w:rPr>
        <w:t>שיש באמצעותה</w:t>
      </w:r>
      <w:r w:rsidRPr="00C124FC">
        <w:rPr>
          <w:rFonts w:ascii="David" w:hAnsi="David" w:cs="David" w:hint="cs"/>
          <w:sz w:val="24"/>
          <w:szCs w:val="24"/>
          <w:rtl/>
        </w:rPr>
        <w:t xml:space="preserve"> ובהתאם</w:t>
      </w:r>
      <w:r>
        <w:rPr>
          <w:rFonts w:ascii="David" w:hAnsi="David" w:cs="David" w:hint="cs"/>
          <w:sz w:val="24"/>
          <w:szCs w:val="24"/>
          <w:rtl/>
        </w:rPr>
        <w:t xml:space="preserve"> לנוהליי</w:t>
      </w:r>
      <w:r>
        <w:rPr>
          <w:rFonts w:ascii="David" w:hAnsi="David" w:cs="David"/>
          <w:sz w:val="24"/>
          <w:szCs w:val="24"/>
          <w:rtl/>
        </w:rPr>
        <w:t>ם</w:t>
      </w:r>
      <w:r>
        <w:rPr>
          <w:rFonts w:ascii="David" w:hAnsi="David" w:cs="David" w:hint="cs"/>
          <w:sz w:val="24"/>
          <w:szCs w:val="24"/>
          <w:rtl/>
        </w:rPr>
        <w:t xml:space="preserve">. </w:t>
      </w:r>
    </w:p>
    <w:p w:rsidR="00C00728" w:rsidRDefault="00C00728" w:rsidP="005068B8">
      <w:pPr>
        <w:spacing w:after="0" w:line="360" w:lineRule="auto"/>
        <w:jc w:val="both"/>
        <w:rPr>
          <w:rFonts w:ascii="David" w:hAnsi="David" w:cs="David" w:hint="default"/>
          <w:sz w:val="24"/>
          <w:szCs w:val="24"/>
          <w:rtl/>
        </w:rPr>
      </w:pPr>
    </w:p>
    <w:p w:rsidR="0061633B" w:rsidRPr="00BF432D" w:rsidRDefault="00BE211D" w:rsidP="008D0EFE">
      <w:pPr>
        <w:spacing w:line="360" w:lineRule="auto"/>
        <w:jc w:val="both"/>
        <w:rPr>
          <w:rFonts w:ascii="David" w:hAnsi="David" w:cs="David" w:hint="default"/>
          <w:sz w:val="24"/>
          <w:szCs w:val="24"/>
          <w:rtl/>
        </w:rPr>
      </w:pPr>
      <w:r>
        <w:rPr>
          <w:rFonts w:ascii="David" w:hAnsi="David" w:cs="David" w:hint="cs"/>
          <w:sz w:val="24"/>
          <w:szCs w:val="24"/>
          <w:rtl/>
        </w:rPr>
        <w:t xml:space="preserve">נשאלת השאלה האם הטלת אחריות נזיקית עולה על שיקולי המדיניות? האם קיימים שיקולי מדיניות המצדיקים הטלת אחריות או הימנעות ממנה? </w:t>
      </w:r>
      <w:r w:rsidR="00C00728" w:rsidRPr="00C124FC">
        <w:rPr>
          <w:rFonts w:ascii="David" w:hAnsi="David" w:cs="David" w:hint="cs"/>
          <w:sz w:val="24"/>
          <w:szCs w:val="24"/>
          <w:rtl/>
        </w:rPr>
        <w:t xml:space="preserve">לעניין היקף הנזק, </w:t>
      </w:r>
      <w:r w:rsidR="00857E06">
        <w:rPr>
          <w:rFonts w:ascii="David" w:hAnsi="David" w:cs="David" w:hint="cs"/>
          <w:sz w:val="24"/>
          <w:szCs w:val="24"/>
          <w:rtl/>
        </w:rPr>
        <w:t>ההורים יטענו שהנזק הוא נזק</w:t>
      </w:r>
      <w:r w:rsidR="00C00728" w:rsidRPr="00C124FC">
        <w:rPr>
          <w:rFonts w:ascii="David" w:hAnsi="David" w:cs="David" w:hint="cs"/>
          <w:sz w:val="24"/>
          <w:szCs w:val="24"/>
          <w:rtl/>
        </w:rPr>
        <w:t xml:space="preserve"> כלכלי והוכר בפסיקה לצורך ס</w:t>
      </w:r>
      <w:r w:rsidR="00C00728" w:rsidRPr="00C124FC">
        <w:rPr>
          <w:rFonts w:ascii="David" w:hAnsi="David" w:cs="David"/>
          <w:sz w:val="24"/>
          <w:szCs w:val="24"/>
        </w:rPr>
        <w:t>'</w:t>
      </w:r>
      <w:r w:rsidR="00C00728" w:rsidRPr="00C124FC">
        <w:rPr>
          <w:rFonts w:ascii="David" w:hAnsi="David" w:cs="David" w:hint="cs"/>
          <w:sz w:val="24"/>
          <w:szCs w:val="24"/>
          <w:rtl/>
        </w:rPr>
        <w:t>2 לפקודת הנזיקין.</w:t>
      </w:r>
      <w:r>
        <w:rPr>
          <w:rStyle w:val="a7"/>
          <w:rFonts w:ascii="David" w:hAnsi="David" w:cs="David" w:hint="eastAsia"/>
          <w:sz w:val="24"/>
          <w:szCs w:val="24"/>
          <w:rtl/>
        </w:rPr>
        <w:footnoteReference w:id="119"/>
      </w:r>
      <w:r w:rsidR="00C00728" w:rsidRPr="00C124FC">
        <w:rPr>
          <w:rFonts w:ascii="Segoe UI Light" w:hAnsi="Segoe UI Light" w:cs="Segoe UI Light" w:hint="cs"/>
          <w:rtl/>
        </w:rPr>
        <w:t xml:space="preserve"> </w:t>
      </w:r>
      <w:r w:rsidRPr="006C5F65">
        <w:rPr>
          <w:rFonts w:ascii="David" w:hAnsi="David" w:cs="David"/>
          <w:sz w:val="24"/>
          <w:szCs w:val="24"/>
          <w:u w:val="single"/>
          <w:shd w:val="clear" w:color="auto" w:fill="FFFFFF"/>
          <w:rtl/>
        </w:rPr>
        <w:t>עלות האמצעים למניעת הנזק</w:t>
      </w:r>
      <w:r w:rsidRPr="00411133">
        <w:rPr>
          <w:rFonts w:ascii="David" w:hAnsi="David" w:cs="David"/>
          <w:sz w:val="24"/>
          <w:szCs w:val="24"/>
          <w:shd w:val="clear" w:color="auto" w:fill="FFFFFF"/>
          <w:rtl/>
        </w:rPr>
        <w:t xml:space="preserve">: עלות מניעת הנזק היא נמוכה, </w:t>
      </w:r>
      <w:r w:rsidR="0061698C">
        <w:rPr>
          <w:rFonts w:ascii="David" w:hAnsi="David" w:cs="David" w:hint="cs"/>
          <w:sz w:val="24"/>
          <w:szCs w:val="24"/>
          <w:shd w:val="clear" w:color="auto" w:fill="FFFFFF"/>
          <w:rtl/>
        </w:rPr>
        <w:t xml:space="preserve">פרסום בעיתון, פרסום באינטרנט, הוצאת "קול קורא" להורים שילדיהם נולדו עם מומים כתוצאה מהתרשלות הרופא, </w:t>
      </w:r>
      <w:r w:rsidR="0061698C">
        <w:rPr>
          <w:rFonts w:ascii="David" w:hAnsi="David" w:cs="David" w:hint="cs"/>
          <w:sz w:val="24"/>
          <w:szCs w:val="24"/>
          <w:shd w:val="clear" w:color="auto" w:fill="FFFFFF"/>
          <w:rtl/>
        </w:rPr>
        <w:lastRenderedPageBreak/>
        <w:t>שליחת מכתבים למשפחות</w:t>
      </w:r>
      <w:r w:rsidRPr="00411133">
        <w:rPr>
          <w:rFonts w:ascii="David" w:hAnsi="David" w:cs="David"/>
          <w:sz w:val="24"/>
          <w:szCs w:val="24"/>
          <w:shd w:val="clear" w:color="auto" w:fill="FFFFFF"/>
          <w:rtl/>
        </w:rPr>
        <w:t xml:space="preserve">. </w:t>
      </w:r>
      <w:r w:rsidRPr="006C5F65">
        <w:rPr>
          <w:rFonts w:ascii="David" w:hAnsi="David" w:cs="David"/>
          <w:sz w:val="24"/>
          <w:szCs w:val="24"/>
          <w:u w:val="single"/>
          <w:shd w:val="clear" w:color="auto" w:fill="FFFFFF"/>
          <w:rtl/>
        </w:rPr>
        <w:t>צדק מתקן</w:t>
      </w:r>
      <w:r w:rsidRPr="00411133">
        <w:rPr>
          <w:rFonts w:ascii="David" w:hAnsi="David" w:cs="David"/>
          <w:sz w:val="24"/>
          <w:szCs w:val="24"/>
          <w:shd w:val="clear" w:color="auto" w:fill="FFFFFF"/>
          <w:rtl/>
        </w:rPr>
        <w:t xml:space="preserve">: הכרה בפיצויים בגין </w:t>
      </w:r>
      <w:r w:rsidR="0061698C">
        <w:rPr>
          <w:rFonts w:ascii="David" w:hAnsi="David" w:cs="David" w:hint="cs"/>
          <w:sz w:val="24"/>
          <w:szCs w:val="24"/>
          <w:shd w:val="clear" w:color="auto" w:fill="FFFFFF"/>
          <w:rtl/>
        </w:rPr>
        <w:t>אובדן עילת תביעה</w:t>
      </w:r>
      <w:r w:rsidRPr="00411133">
        <w:rPr>
          <w:rFonts w:ascii="David" w:hAnsi="David" w:cs="David"/>
          <w:sz w:val="24"/>
          <w:szCs w:val="24"/>
          <w:shd w:val="clear" w:color="auto" w:fill="FFFFFF"/>
          <w:rtl/>
        </w:rPr>
        <w:t xml:space="preserve"> מבטאת את החתירה לתיקון העוול</w:t>
      </w:r>
      <w:r w:rsidR="00BF432D">
        <w:rPr>
          <w:rFonts w:ascii="David" w:hAnsi="David" w:cs="David" w:hint="cs"/>
          <w:sz w:val="24"/>
          <w:szCs w:val="24"/>
          <w:shd w:val="clear" w:color="auto" w:fill="FFFFFF"/>
          <w:rtl/>
        </w:rPr>
        <w:t xml:space="preserve"> שנגרם</w:t>
      </w:r>
      <w:r w:rsidRPr="00411133">
        <w:rPr>
          <w:rFonts w:ascii="David" w:hAnsi="David" w:cs="David"/>
          <w:sz w:val="24"/>
          <w:szCs w:val="24"/>
          <w:shd w:val="clear" w:color="auto" w:fill="FFFFFF"/>
          <w:rtl/>
        </w:rPr>
        <w:t>.</w:t>
      </w:r>
      <w:r>
        <w:rPr>
          <w:rStyle w:val="a7"/>
          <w:rFonts w:ascii="David" w:hAnsi="David" w:cs="David" w:hint="eastAsia"/>
          <w:sz w:val="24"/>
          <w:szCs w:val="24"/>
          <w:shd w:val="clear" w:color="auto" w:fill="FFFFFF"/>
          <w:rtl/>
        </w:rPr>
        <w:footnoteReference w:id="120"/>
      </w:r>
      <w:r w:rsidRPr="00411133">
        <w:rPr>
          <w:rFonts w:ascii="David" w:hAnsi="David" w:cs="David"/>
          <w:sz w:val="24"/>
          <w:szCs w:val="24"/>
          <w:shd w:val="clear" w:color="auto" w:fill="FFFFFF"/>
          <w:rtl/>
        </w:rPr>
        <w:t xml:space="preserve"> </w:t>
      </w:r>
      <w:r w:rsidRPr="00A00567">
        <w:rPr>
          <w:rFonts w:ascii="David" w:hAnsi="David" w:cs="David"/>
          <w:sz w:val="24"/>
          <w:szCs w:val="24"/>
          <w:u w:val="single"/>
          <w:shd w:val="clear" w:color="auto" w:fill="FFFFFF"/>
          <w:rtl/>
        </w:rPr>
        <w:t>שוויון</w:t>
      </w:r>
      <w:r w:rsidRPr="00A00567">
        <w:rPr>
          <w:rFonts w:ascii="David" w:hAnsi="David" w:cs="David"/>
          <w:sz w:val="24"/>
          <w:szCs w:val="24"/>
          <w:shd w:val="clear" w:color="auto" w:fill="FFFFFF"/>
          <w:rtl/>
        </w:rPr>
        <w:t>:</w:t>
      </w:r>
      <w:r w:rsidRPr="00411133">
        <w:rPr>
          <w:rFonts w:ascii="David" w:hAnsi="David" w:cs="David"/>
          <w:sz w:val="24"/>
          <w:szCs w:val="24"/>
          <w:shd w:val="clear" w:color="auto" w:fill="FFFFFF"/>
          <w:rtl/>
        </w:rPr>
        <w:t xml:space="preserve"> מבחינה פרוצדורלית עקרון השוויון מחייב את </w:t>
      </w:r>
      <w:r w:rsidR="00BF432D">
        <w:rPr>
          <w:rFonts w:ascii="David" w:hAnsi="David" w:cs="David" w:hint="cs"/>
          <w:sz w:val="24"/>
          <w:szCs w:val="24"/>
          <w:shd w:val="clear" w:color="auto" w:fill="FFFFFF"/>
          <w:rtl/>
        </w:rPr>
        <w:t>המדינה</w:t>
      </w:r>
      <w:r w:rsidRPr="00411133">
        <w:rPr>
          <w:rFonts w:ascii="David" w:hAnsi="David" w:cs="David"/>
          <w:sz w:val="24"/>
          <w:szCs w:val="24"/>
          <w:shd w:val="clear" w:color="auto" w:fill="FFFFFF"/>
          <w:rtl/>
        </w:rPr>
        <w:t xml:space="preserve"> </w:t>
      </w:r>
      <w:r w:rsidR="00BF432D">
        <w:rPr>
          <w:rFonts w:ascii="David" w:hAnsi="David" w:cs="David" w:hint="cs"/>
          <w:sz w:val="24"/>
          <w:szCs w:val="24"/>
          <w:shd w:val="clear" w:color="auto" w:fill="FFFFFF"/>
          <w:rtl/>
        </w:rPr>
        <w:t>להודיע לאוכלוסייה המדוברת כי נעשה שינוי בדין ובכך לא נחסמת דלתם לפנייה לערכאות שיפוטיות, בכך יוצר שוויון לכלל האוכלוסייה בישראל.</w:t>
      </w:r>
      <w:r w:rsidRPr="00411133">
        <w:rPr>
          <w:rFonts w:ascii="David" w:hAnsi="David" w:cs="David"/>
          <w:sz w:val="24"/>
          <w:szCs w:val="24"/>
          <w:shd w:val="clear" w:color="auto" w:fill="FFFFFF"/>
          <w:rtl/>
        </w:rPr>
        <w:t xml:space="preserve"> מנגד ניתן לומר </w:t>
      </w:r>
      <w:r w:rsidR="00BF432D">
        <w:rPr>
          <w:rFonts w:ascii="David" w:hAnsi="David" w:cs="David" w:hint="cs"/>
          <w:sz w:val="24"/>
          <w:szCs w:val="24"/>
          <w:shd w:val="clear" w:color="auto" w:fill="FFFFFF"/>
          <w:rtl/>
        </w:rPr>
        <w:t>שעצם הטלת אחריות על המדינה בגין חובת יידוע תגרום למדרון חלקלק בתחום רחב יותר של תביעות בהם המדינה תידרש להתערב יתר על המידה.</w:t>
      </w:r>
      <w:r w:rsidRPr="00411133">
        <w:rPr>
          <w:rFonts w:ascii="David" w:hAnsi="David" w:cs="David"/>
          <w:sz w:val="24"/>
          <w:szCs w:val="24"/>
          <w:shd w:val="clear" w:color="auto" w:fill="FFFFFF"/>
          <w:rtl/>
        </w:rPr>
        <w:t xml:space="preserve"> בנוסף תטען המדינה כי מאחר ואין במקרים אלה יכולת לערוך בדיקה </w:t>
      </w:r>
      <w:r w:rsidR="00BF432D">
        <w:rPr>
          <w:rFonts w:ascii="David" w:hAnsi="David" w:cs="David" w:hint="cs"/>
          <w:sz w:val="24"/>
          <w:szCs w:val="24"/>
          <w:shd w:val="clear" w:color="auto" w:fill="FFFFFF"/>
          <w:rtl/>
        </w:rPr>
        <w:t>כי יידוע אוכלוסייה ספציפית כל פעם תביא למקום של נזק ממשי</w:t>
      </w:r>
      <w:r w:rsidRPr="00411133">
        <w:rPr>
          <w:rFonts w:ascii="David" w:hAnsi="David" w:cs="David"/>
          <w:sz w:val="24"/>
          <w:szCs w:val="24"/>
          <w:shd w:val="clear" w:color="auto" w:fill="FFFFFF"/>
          <w:rtl/>
        </w:rPr>
        <w:t xml:space="preserve">. </w:t>
      </w:r>
      <w:r w:rsidRPr="00A00567">
        <w:rPr>
          <w:rFonts w:ascii="David" w:hAnsi="David" w:cs="David"/>
          <w:sz w:val="24"/>
          <w:szCs w:val="24"/>
          <w:u w:val="single"/>
          <w:shd w:val="clear" w:color="auto" w:fill="FFFFFF"/>
          <w:rtl/>
        </w:rPr>
        <w:t>מניעת הנזק</w:t>
      </w:r>
      <w:r w:rsidRPr="00BF432D">
        <w:rPr>
          <w:rFonts w:ascii="David" w:hAnsi="David" w:cs="David"/>
          <w:sz w:val="24"/>
          <w:szCs w:val="24"/>
          <w:shd w:val="clear" w:color="auto" w:fill="FFFFFF"/>
          <w:rtl/>
        </w:rPr>
        <w:t>:</w:t>
      </w:r>
      <w:r w:rsidRPr="00411133">
        <w:rPr>
          <w:rFonts w:ascii="David" w:hAnsi="David" w:cs="David"/>
          <w:sz w:val="24"/>
          <w:szCs w:val="24"/>
          <w:shd w:val="clear" w:color="auto" w:fill="FFFFFF"/>
          <w:rtl/>
        </w:rPr>
        <w:t xml:space="preserve"> מאח</w:t>
      </w:r>
      <w:r w:rsidRPr="00411133">
        <w:rPr>
          <w:rFonts w:ascii="David" w:hAnsi="David" w:cs="David"/>
          <w:sz w:val="24"/>
          <w:szCs w:val="24"/>
          <w:shd w:val="clear" w:color="auto" w:fill="FFFFFF"/>
          <w:rtl/>
        </w:rPr>
        <w:t xml:space="preserve">ר והמדינה היא האחראית על הנושא ובידה הכוח </w:t>
      </w:r>
      <w:r w:rsidR="00BF432D">
        <w:rPr>
          <w:rFonts w:ascii="David" w:hAnsi="David" w:cs="David" w:hint="cs"/>
          <w:sz w:val="24"/>
          <w:szCs w:val="24"/>
          <w:shd w:val="clear" w:color="auto" w:fill="FFFFFF"/>
          <w:rtl/>
        </w:rPr>
        <w:t xml:space="preserve">להורות לאחת או יותר מזרועותיה לצאת ב"קריאה" להורים, </w:t>
      </w:r>
      <w:r w:rsidRPr="00411133">
        <w:rPr>
          <w:rFonts w:ascii="David" w:hAnsi="David" w:cs="David"/>
          <w:sz w:val="24"/>
          <w:szCs w:val="24"/>
          <w:shd w:val="clear" w:color="auto" w:fill="FFFFFF"/>
          <w:rtl/>
        </w:rPr>
        <w:t xml:space="preserve">היא גם זו היכולה למנוע את הנזק בצורה הטובה ביותר. </w:t>
      </w:r>
      <w:r w:rsidRPr="00A00567">
        <w:rPr>
          <w:rFonts w:ascii="David" w:hAnsi="David" w:cs="David"/>
          <w:sz w:val="24"/>
          <w:szCs w:val="24"/>
          <w:u w:val="single"/>
          <w:shd w:val="clear" w:color="auto" w:fill="FFFFFF"/>
          <w:rtl/>
        </w:rPr>
        <w:t>פיזור הנזק</w:t>
      </w:r>
      <w:r w:rsidR="00A00567">
        <w:rPr>
          <w:rFonts w:ascii="David" w:hAnsi="David" w:cs="David" w:hint="cs"/>
          <w:sz w:val="24"/>
          <w:szCs w:val="24"/>
          <w:shd w:val="clear" w:color="auto" w:fill="FFFFFF"/>
          <w:rtl/>
        </w:rPr>
        <w:t>:</w:t>
      </w:r>
      <w:r w:rsidRPr="00411133">
        <w:rPr>
          <w:rFonts w:ascii="David" w:hAnsi="David" w:cs="David"/>
          <w:sz w:val="24"/>
          <w:szCs w:val="24"/>
          <w:shd w:val="clear" w:color="auto" w:fill="FFFFFF"/>
          <w:rtl/>
        </w:rPr>
        <w:t xml:space="preserve"> המדינה יכולה לשאת בתוצאות הנזקים,</w:t>
      </w:r>
      <w:r w:rsidR="005C419C">
        <w:rPr>
          <w:rFonts w:ascii="David" w:hAnsi="David" w:cs="David" w:hint="cs"/>
          <w:sz w:val="24"/>
          <w:szCs w:val="24"/>
          <w:shd w:val="clear" w:color="auto" w:fill="FFFFFF"/>
          <w:rtl/>
        </w:rPr>
        <w:t xml:space="preserve"> שכאמור אלו הוצאות נמוכות שכרוכות בפרסום ושליחת מכתבים מאשר הותרת המשפחות ללא כספים למשך תוחלת חייו של היילוד, הכולל אמצעים רפואיים והתפתחותיים דבר שעשוי להוביל לנטל המדינה ברגע שלא יהיה ניתן לטפל בילד. במילים אחרות, הוצאות היילוד </w:t>
      </w:r>
      <w:r w:rsidR="007A4FB4">
        <w:rPr>
          <w:rFonts w:ascii="David" w:hAnsi="David" w:cs="David" w:hint="cs"/>
          <w:sz w:val="24"/>
          <w:szCs w:val="24"/>
          <w:shd w:val="clear" w:color="auto" w:fill="FFFFFF"/>
          <w:rtl/>
        </w:rPr>
        <w:t>יהוו נטל</w:t>
      </w:r>
      <w:r w:rsidR="005C419C">
        <w:rPr>
          <w:rFonts w:ascii="David" w:hAnsi="David" w:cs="David" w:hint="cs"/>
          <w:sz w:val="24"/>
          <w:szCs w:val="24"/>
          <w:shd w:val="clear" w:color="auto" w:fill="FFFFFF"/>
          <w:rtl/>
        </w:rPr>
        <w:t xml:space="preserve"> על הוריו שיצטרכו לשלם את הטיפולים הכרוכים בגידולו ולמשך תוחלת חייו דבר שיכול להוביל להתפטרות מהעבודה כתוצאה מטיפול היילוד עם המומים הקשים, השקעה מרבית וויתור</w:t>
      </w:r>
      <w:r w:rsidR="00222EEC">
        <w:rPr>
          <w:rFonts w:ascii="David" w:hAnsi="David" w:cs="David" w:hint="cs"/>
          <w:sz w:val="24"/>
          <w:szCs w:val="24"/>
          <w:shd w:val="clear" w:color="auto" w:fill="FFFFFF"/>
          <w:rtl/>
        </w:rPr>
        <w:t xml:space="preserve"> על</w:t>
      </w:r>
      <w:r w:rsidR="005C419C">
        <w:rPr>
          <w:rFonts w:ascii="David" w:hAnsi="David" w:cs="David" w:hint="cs"/>
          <w:sz w:val="24"/>
          <w:szCs w:val="24"/>
          <w:shd w:val="clear" w:color="auto" w:fill="FFFFFF"/>
          <w:rtl/>
        </w:rPr>
        <w:t xml:space="preserve"> חיים "נורמטיביים" ככל שניתן, </w:t>
      </w:r>
      <w:r w:rsidRPr="00411133">
        <w:rPr>
          <w:rFonts w:ascii="David" w:hAnsi="David" w:cs="David"/>
          <w:sz w:val="24"/>
          <w:szCs w:val="24"/>
          <w:shd w:val="clear" w:color="auto" w:fill="FFFFFF"/>
          <w:rtl/>
        </w:rPr>
        <w:t xml:space="preserve"> </w:t>
      </w:r>
      <w:r w:rsidR="005C419C">
        <w:rPr>
          <w:rFonts w:ascii="David" w:hAnsi="David" w:cs="David" w:hint="cs"/>
          <w:sz w:val="24"/>
          <w:szCs w:val="24"/>
          <w:shd w:val="clear" w:color="auto" w:fill="FFFFFF"/>
          <w:rtl/>
        </w:rPr>
        <w:t xml:space="preserve">השקעת הכספים בילד אחד </w:t>
      </w:r>
      <w:r w:rsidR="005C419C">
        <w:rPr>
          <w:rFonts w:ascii="David" w:hAnsi="David" w:cs="David" w:hint="default"/>
          <w:sz w:val="24"/>
          <w:szCs w:val="24"/>
          <w:shd w:val="clear" w:color="auto" w:fill="FFFFFF"/>
          <w:rtl/>
        </w:rPr>
        <w:t>–</w:t>
      </w:r>
      <w:r w:rsidR="005C419C">
        <w:rPr>
          <w:rFonts w:ascii="David" w:hAnsi="David" w:cs="David" w:hint="cs"/>
          <w:sz w:val="24"/>
          <w:szCs w:val="24"/>
          <w:shd w:val="clear" w:color="auto" w:fill="FFFFFF"/>
          <w:rtl/>
        </w:rPr>
        <w:t xml:space="preserve"> בעל המום וחוסר תשומת לב לשאר ילדי המשפחה. כמו כן, דבר זה </w:t>
      </w:r>
      <w:r w:rsidR="008D0EFE">
        <w:rPr>
          <w:rFonts w:ascii="David" w:hAnsi="David" w:cs="David" w:hint="cs"/>
          <w:sz w:val="24"/>
          <w:szCs w:val="24"/>
          <w:shd w:val="clear" w:color="auto" w:fill="FFFFFF"/>
          <w:rtl/>
        </w:rPr>
        <w:t>עלול</w:t>
      </w:r>
      <w:r w:rsidR="005C419C">
        <w:rPr>
          <w:rFonts w:ascii="David" w:hAnsi="David" w:cs="David" w:hint="cs"/>
          <w:sz w:val="24"/>
          <w:szCs w:val="24"/>
          <w:shd w:val="clear" w:color="auto" w:fill="FFFFFF"/>
          <w:rtl/>
        </w:rPr>
        <w:t xml:space="preserve"> להוביל ל</w:t>
      </w:r>
      <w:r w:rsidR="00365403">
        <w:rPr>
          <w:rFonts w:ascii="David" w:hAnsi="David" w:cs="David" w:hint="cs"/>
          <w:sz w:val="24"/>
          <w:szCs w:val="24"/>
          <w:shd w:val="clear" w:color="auto" w:fill="FFFFFF"/>
          <w:rtl/>
        </w:rPr>
        <w:t xml:space="preserve">קרע בין זוגות ההורים במשפחה, משבר, תסכול ואף גירושין. הטיפול הכרוך בילד עם מומים קשים הוא 100% ולעיתים אף יותר, יש לסעוד אותו, להכיל אותו ולהרגיש אותו ברגע שההורים יאבדו את עילת תביעתם הקושי הרב בגידול ילד עם צרכים מיוחדים יגדל אף יותר. </w:t>
      </w:r>
    </w:p>
    <w:p w:rsidR="009D5B41" w:rsidRDefault="00BE211D" w:rsidP="00035A6C">
      <w:pPr>
        <w:pStyle w:val="ac"/>
        <w:bidi/>
        <w:spacing w:line="360" w:lineRule="auto"/>
        <w:jc w:val="both"/>
        <w:rPr>
          <w:rFonts w:ascii="David" w:hAnsi="David" w:cs="David" w:hint="default"/>
          <w:b/>
          <w:bCs/>
          <w:shd w:val="clear" w:color="auto" w:fill="FFFFFF"/>
          <w:rtl/>
        </w:rPr>
      </w:pPr>
      <w:r w:rsidRPr="00411133">
        <w:rPr>
          <w:rFonts w:ascii="David" w:hAnsi="David" w:cs="David"/>
          <w:shd w:val="clear" w:color="auto" w:fill="FFFFFF"/>
          <w:rtl/>
        </w:rPr>
        <w:t>מהנית</w:t>
      </w:r>
      <w:r w:rsidRPr="00411133">
        <w:rPr>
          <w:rFonts w:ascii="David" w:hAnsi="David" w:cs="David"/>
          <w:shd w:val="clear" w:color="auto" w:fill="FFFFFF"/>
          <w:rtl/>
        </w:rPr>
        <w:t xml:space="preserve">וח האמור, עולה כי אכן קיימת חובת זהירות של המדינה כלפי </w:t>
      </w:r>
      <w:r>
        <w:rPr>
          <w:rFonts w:ascii="David" w:hAnsi="David" w:cs="David"/>
          <w:shd w:val="clear" w:color="auto" w:fill="FFFFFF"/>
          <w:rtl/>
        </w:rPr>
        <w:t xml:space="preserve">ההורים באשר לחובת הגילוי והיידוע. </w:t>
      </w:r>
      <w:r w:rsidRPr="00411133">
        <w:rPr>
          <w:rFonts w:ascii="David" w:hAnsi="David" w:cs="David"/>
          <w:shd w:val="clear" w:color="auto" w:fill="FFFFFF"/>
          <w:rtl/>
        </w:rPr>
        <w:t xml:space="preserve">אין בשיקולי המדיניות בכדי לצמצם חובה זו, אלא ההיפך, הם מצביעים על הצורך בהטלת </w:t>
      </w:r>
      <w:r>
        <w:rPr>
          <w:rFonts w:ascii="David" w:hAnsi="David" w:cs="David"/>
          <w:shd w:val="clear" w:color="auto" w:fill="FFFFFF"/>
          <w:rtl/>
        </w:rPr>
        <w:t xml:space="preserve">חובת היידוע. המדינה תנסה "להתנער" מקביעה </w:t>
      </w:r>
      <w:r w:rsidR="00F128E3">
        <w:rPr>
          <w:rFonts w:ascii="David" w:hAnsi="David" w:cs="David"/>
          <w:shd w:val="clear" w:color="auto" w:fill="FFFFFF"/>
          <w:rtl/>
        </w:rPr>
        <w:t>זו</w:t>
      </w:r>
      <w:r>
        <w:rPr>
          <w:rFonts w:ascii="David" w:hAnsi="David" w:cs="David"/>
          <w:shd w:val="clear" w:color="auto" w:fill="FFFFFF"/>
          <w:rtl/>
        </w:rPr>
        <w:t xml:space="preserve"> שכן היא מכניסה את עצמה ל"בור ללא תחתית". אך, כאשר נשים במאזן של נזק לא מול תועלת נראה כי התועלת שתצמח מחובת היידוע של המדינה כלפי ההורים תגדל לעומת הנזק של אי יידוע. קרי, ההוצאות הכספיות באשר לפרסום ויידוע ההורים הוא קטן מאוד לעומת, הנזק שעלול להיגרם כתוצ</w:t>
      </w:r>
      <w:r>
        <w:rPr>
          <w:rFonts w:ascii="David" w:hAnsi="David" w:cs="David"/>
          <w:shd w:val="clear" w:color="auto" w:fill="FFFFFF"/>
          <w:rtl/>
        </w:rPr>
        <w:t>אה מכך שההורים לא ידעו כי שינו את הדין מה שגרם לאובדן עילת תביעה.</w:t>
      </w:r>
      <w:r w:rsidR="00ED28B7">
        <w:rPr>
          <w:rFonts w:ascii="David" w:hAnsi="David" w:cs="David"/>
          <w:shd w:val="clear" w:color="auto" w:fill="FFFFFF"/>
          <w:rtl/>
        </w:rPr>
        <w:t xml:space="preserve"> דוגמא לכך ניתן לראות בעניין קדוש מרגלית על הנזקים שנגרמו כתוצאה מכך שהרופא לא </w:t>
      </w:r>
      <w:r w:rsidR="004C43FE">
        <w:rPr>
          <w:rFonts w:ascii="David" w:hAnsi="David" w:cs="David"/>
          <w:shd w:val="clear" w:color="auto" w:fill="FFFFFF"/>
          <w:rtl/>
        </w:rPr>
        <w:t>פעל</w:t>
      </w:r>
      <w:r w:rsidR="00ED28B7">
        <w:rPr>
          <w:rFonts w:ascii="David" w:hAnsi="David" w:cs="David"/>
          <w:shd w:val="clear" w:color="auto" w:fill="FFFFFF"/>
          <w:rtl/>
        </w:rPr>
        <w:t xml:space="preserve"> </w:t>
      </w:r>
      <w:r w:rsidR="004C43FE">
        <w:rPr>
          <w:rFonts w:ascii="David" w:hAnsi="David" w:cs="David"/>
          <w:shd w:val="clear" w:color="auto" w:fill="FFFFFF"/>
          <w:rtl/>
        </w:rPr>
        <w:t xml:space="preserve">לפי </w:t>
      </w:r>
      <w:r w:rsidR="00ED28B7">
        <w:rPr>
          <w:rFonts w:ascii="David" w:hAnsi="David" w:cs="David"/>
          <w:shd w:val="clear" w:color="auto" w:fill="FFFFFF"/>
          <w:rtl/>
        </w:rPr>
        <w:t>חובת</w:t>
      </w:r>
      <w:r w:rsidR="00E35E0A">
        <w:rPr>
          <w:rFonts w:ascii="David" w:hAnsi="David" w:cs="David"/>
          <w:shd w:val="clear" w:color="auto" w:fill="FFFFFF"/>
          <w:rtl/>
        </w:rPr>
        <w:t xml:space="preserve"> הגילוי שהייתה מוטלת עליו,</w:t>
      </w:r>
      <w:r>
        <w:rPr>
          <w:rStyle w:val="a7"/>
          <w:rFonts w:ascii="David" w:hAnsi="David" w:hint="default"/>
          <w:shd w:val="clear" w:color="auto" w:fill="FFFFFF"/>
          <w:rtl/>
        </w:rPr>
        <w:footnoteReference w:id="121"/>
      </w:r>
      <w:r w:rsidR="00E35E0A">
        <w:rPr>
          <w:rFonts w:ascii="David" w:hAnsi="David" w:cs="David"/>
          <w:shd w:val="clear" w:color="auto" w:fill="FFFFFF"/>
          <w:rtl/>
        </w:rPr>
        <w:t xml:space="preserve"> וכן כתבה בעניין דומה.</w:t>
      </w:r>
      <w:r>
        <w:rPr>
          <w:rStyle w:val="a7"/>
          <w:rFonts w:ascii="David" w:hAnsi="David" w:hint="default"/>
          <w:shd w:val="clear" w:color="auto" w:fill="FFFFFF"/>
          <w:rtl/>
        </w:rPr>
        <w:footnoteReference w:id="122"/>
      </w:r>
      <w:r>
        <w:rPr>
          <w:rFonts w:ascii="David" w:hAnsi="David" w:cs="David"/>
          <w:shd w:val="clear" w:color="auto" w:fill="FFFFFF"/>
          <w:rtl/>
        </w:rPr>
        <w:t xml:space="preserve"> במצב דברים זה המדינה תצטרך לסייע בקצבה מוגדלת מבי</w:t>
      </w:r>
      <w:r>
        <w:rPr>
          <w:rFonts w:ascii="David" w:hAnsi="David" w:cs="David"/>
          <w:shd w:val="clear" w:color="auto" w:fill="FFFFFF"/>
          <w:rtl/>
        </w:rPr>
        <w:t>טוח לאומי,</w:t>
      </w:r>
      <w:r>
        <w:rPr>
          <w:rStyle w:val="a7"/>
          <w:rFonts w:ascii="David" w:hAnsi="David" w:hint="default"/>
          <w:shd w:val="clear" w:color="auto" w:fill="FFFFFF"/>
          <w:rtl/>
        </w:rPr>
        <w:footnoteReference w:id="123"/>
      </w:r>
      <w:r>
        <w:rPr>
          <w:rFonts w:ascii="David" w:hAnsi="David" w:cs="David"/>
          <w:shd w:val="clear" w:color="auto" w:fill="FFFFFF"/>
          <w:rtl/>
        </w:rPr>
        <w:t xml:space="preserve"> השלמת הבטחת הכנסה להורים על אובדן שעות וימי עבודה</w:t>
      </w:r>
      <w:r w:rsidR="00C740B3">
        <w:rPr>
          <w:rFonts w:ascii="David" w:hAnsi="David" w:cs="David"/>
          <w:shd w:val="clear" w:color="auto" w:fill="FFFFFF"/>
          <w:rtl/>
        </w:rPr>
        <w:t xml:space="preserve"> בהגיעם למצב כלכלי נמוך לצורך גידול ילדיהם ראה עניין עמותת הורות משותפת-טובת הילד</w:t>
      </w:r>
      <w:r w:rsidR="00A378D5">
        <w:rPr>
          <w:rFonts w:ascii="David" w:hAnsi="David" w:cs="David"/>
          <w:shd w:val="clear" w:color="auto" w:fill="FFFFFF"/>
          <w:rtl/>
        </w:rPr>
        <w:t>,</w:t>
      </w:r>
      <w:r>
        <w:rPr>
          <w:rStyle w:val="a7"/>
          <w:rFonts w:ascii="David" w:hAnsi="David" w:hint="default"/>
          <w:shd w:val="clear" w:color="auto" w:fill="FFFFFF"/>
          <w:rtl/>
        </w:rPr>
        <w:footnoteReference w:id="124"/>
      </w:r>
      <w:r>
        <w:rPr>
          <w:rFonts w:ascii="David" w:hAnsi="David" w:cs="David"/>
          <w:shd w:val="clear" w:color="auto" w:fill="FFFFFF"/>
          <w:rtl/>
        </w:rPr>
        <w:t xml:space="preserve"> במצבים גרועים ובשל עלות טיפולים גדולה הדבר עלול להוביל למצב בו ההורים יוותרו על בי</w:t>
      </w:r>
      <w:r w:rsidR="0027626A">
        <w:rPr>
          <w:rFonts w:ascii="David" w:hAnsi="David" w:cs="David"/>
          <w:shd w:val="clear" w:color="auto" w:fill="FFFFFF"/>
          <w:rtl/>
        </w:rPr>
        <w:t>תם בשביל לממן את ההוצאות היילוד,</w:t>
      </w:r>
      <w:r>
        <w:rPr>
          <w:rFonts w:ascii="David" w:hAnsi="David" w:cs="David"/>
          <w:shd w:val="clear" w:color="auto" w:fill="FFFFFF"/>
          <w:rtl/>
        </w:rPr>
        <w:t xml:space="preserve"> זה </w:t>
      </w:r>
      <w:r w:rsidR="0027626A">
        <w:rPr>
          <w:rFonts w:ascii="David" w:hAnsi="David" w:cs="David"/>
          <w:shd w:val="clear" w:color="auto" w:fill="FFFFFF"/>
          <w:rtl/>
        </w:rPr>
        <w:t>עלול</w:t>
      </w:r>
      <w:r>
        <w:rPr>
          <w:rFonts w:ascii="David" w:hAnsi="David" w:cs="David"/>
          <w:shd w:val="clear" w:color="auto" w:fill="FFFFFF"/>
          <w:rtl/>
        </w:rPr>
        <w:t xml:space="preserve"> להוביל לבקשה לסיוע בשכר דירה ודיור ציבורי</w:t>
      </w:r>
      <w:r w:rsidR="0027626A">
        <w:rPr>
          <w:rFonts w:ascii="David" w:hAnsi="David" w:cs="David"/>
          <w:shd w:val="clear" w:color="auto" w:fill="FFFFFF"/>
          <w:rtl/>
        </w:rPr>
        <w:t xml:space="preserve"> שכאמור, תנאיה הם קשים ויש לעמוד במכלול הדרישות לכך, ראה עניין יצחק יוסף</w:t>
      </w:r>
      <w:r>
        <w:rPr>
          <w:rFonts w:ascii="David" w:hAnsi="David" w:cs="David"/>
          <w:shd w:val="clear" w:color="auto" w:fill="FFFFFF"/>
          <w:rtl/>
        </w:rPr>
        <w:t>.</w:t>
      </w:r>
      <w:r>
        <w:rPr>
          <w:rStyle w:val="a7"/>
          <w:rFonts w:ascii="David" w:hAnsi="David" w:hint="default"/>
          <w:shd w:val="clear" w:color="auto" w:fill="FFFFFF"/>
          <w:rtl/>
        </w:rPr>
        <w:footnoteReference w:id="125"/>
      </w:r>
      <w:r>
        <w:rPr>
          <w:rFonts w:ascii="David" w:hAnsi="David" w:cs="David"/>
          <w:shd w:val="clear" w:color="auto" w:fill="FFFFFF"/>
          <w:rtl/>
        </w:rPr>
        <w:t xml:space="preserve"> </w:t>
      </w:r>
      <w:r w:rsidR="001165A9">
        <w:rPr>
          <w:rFonts w:ascii="David" w:hAnsi="David" w:cs="David"/>
          <w:shd w:val="clear" w:color="auto" w:fill="FFFFFF"/>
          <w:rtl/>
        </w:rPr>
        <w:t xml:space="preserve">לא רק זאת, </w:t>
      </w:r>
      <w:r w:rsidR="001165A9">
        <w:rPr>
          <w:rFonts w:ascii="David" w:hAnsi="David" w:cs="David"/>
          <w:shd w:val="clear" w:color="auto" w:fill="FFFFFF"/>
          <w:rtl/>
        </w:rPr>
        <w:lastRenderedPageBreak/>
        <w:t>המדינה עלולה להתמודד עם גידול בעוני והכרה גדולה יותר של משפחות במוסד הרווחה.</w:t>
      </w:r>
      <w:r>
        <w:rPr>
          <w:rStyle w:val="a7"/>
          <w:rFonts w:ascii="David" w:hAnsi="David" w:hint="default"/>
          <w:shd w:val="clear" w:color="auto" w:fill="FFFFFF"/>
          <w:rtl/>
        </w:rPr>
        <w:footnoteReference w:id="126"/>
      </w:r>
      <w:r w:rsidR="001165A9">
        <w:rPr>
          <w:rFonts w:ascii="David" w:hAnsi="David" w:cs="David"/>
          <w:shd w:val="clear" w:color="auto" w:fill="FFFFFF"/>
          <w:rtl/>
        </w:rPr>
        <w:t xml:space="preserve"> </w:t>
      </w:r>
      <w:r w:rsidR="00424D77">
        <w:rPr>
          <w:rFonts w:ascii="David" w:hAnsi="David" w:cs="David"/>
          <w:shd w:val="clear" w:color="auto" w:fill="FFFFFF"/>
          <w:rtl/>
        </w:rPr>
        <w:t xml:space="preserve">כל זאת תחת העובדה כי אין </w:t>
      </w:r>
      <w:r w:rsidR="009139C0">
        <w:rPr>
          <w:rFonts w:ascii="David" w:hAnsi="David" w:cs="David"/>
          <w:shd w:val="clear" w:color="auto" w:fill="FFFFFF"/>
          <w:rtl/>
        </w:rPr>
        <w:t>לשכוח</w:t>
      </w:r>
      <w:r w:rsidR="00424D77">
        <w:rPr>
          <w:rFonts w:ascii="David" w:hAnsi="David" w:cs="David"/>
          <w:shd w:val="clear" w:color="auto" w:fill="FFFFFF"/>
          <w:rtl/>
        </w:rPr>
        <w:t xml:space="preserve"> שהילד שנולד עם מומים הוא ילד שהוריו בטרם כניסתם להיריון בדקו כי חלילה לא ייולד ילד עם מומים. </w:t>
      </w:r>
    </w:p>
    <w:p w:rsidR="00507197" w:rsidRDefault="00BE211D" w:rsidP="000F3A52">
      <w:pPr>
        <w:pStyle w:val="ac"/>
        <w:bidi/>
        <w:spacing w:line="360" w:lineRule="auto"/>
        <w:jc w:val="both"/>
        <w:rPr>
          <w:rFonts w:ascii="David" w:hAnsi="David" w:cs="David" w:hint="default"/>
          <w:rtl/>
        </w:rPr>
      </w:pPr>
      <w:r w:rsidRPr="00C124FC">
        <w:rPr>
          <w:rFonts w:ascii="David" w:hAnsi="David" w:cs="David"/>
          <w:rtl/>
        </w:rPr>
        <w:t xml:space="preserve">יסוד נוסף בעוולת הרשלנות הוא </w:t>
      </w:r>
      <w:r w:rsidRPr="00837042">
        <w:rPr>
          <w:rFonts w:ascii="David" w:hAnsi="David" w:cs="David"/>
          <w:b/>
          <w:bCs/>
          <w:rtl/>
        </w:rPr>
        <w:t>יסוד ההתרשלות</w:t>
      </w:r>
      <w:r w:rsidRPr="00C124FC">
        <w:rPr>
          <w:rFonts w:ascii="David" w:hAnsi="David" w:cs="David"/>
          <w:rtl/>
        </w:rPr>
        <w:t xml:space="preserve"> שבוחן מהם אמצעי הזהירות שעל אדם סביר לנקוט ואשר כל סטייה מכך תוביל להתרשלות לפי ס</w:t>
      </w:r>
      <w:r w:rsidRPr="00C124FC">
        <w:rPr>
          <w:rFonts w:ascii="David" w:hAnsi="David" w:cs="David"/>
        </w:rPr>
        <w:t>'</w:t>
      </w:r>
      <w:r w:rsidRPr="00C124FC">
        <w:rPr>
          <w:rFonts w:ascii="David" w:hAnsi="David" w:cs="David"/>
          <w:rtl/>
        </w:rPr>
        <w:t>35 לחוק.</w:t>
      </w:r>
      <w:r>
        <w:rPr>
          <w:rStyle w:val="a7"/>
          <w:rFonts w:ascii="David" w:hAnsi="David" w:cs="David"/>
          <w:rtl/>
        </w:rPr>
        <w:footnoteReference w:id="127"/>
      </w:r>
      <w:r w:rsidRPr="00C124FC">
        <w:rPr>
          <w:rFonts w:ascii="David" w:hAnsi="David" w:cs="David"/>
          <w:rtl/>
        </w:rPr>
        <w:t xml:space="preserve"> במסגרת </w:t>
      </w:r>
      <w:r w:rsidR="00E506AE">
        <w:rPr>
          <w:rFonts w:ascii="David" w:hAnsi="David" w:cs="David"/>
          <w:rtl/>
        </w:rPr>
        <w:t>יסוד זה עולה</w:t>
      </w:r>
      <w:r w:rsidRPr="00C124FC">
        <w:rPr>
          <w:rFonts w:ascii="David" w:hAnsi="David" w:cs="David"/>
          <w:rtl/>
        </w:rPr>
        <w:t xml:space="preserve"> השאלה </w:t>
      </w:r>
      <w:r w:rsidRPr="00C124FC">
        <w:rPr>
          <w:rFonts w:ascii="David" w:hAnsi="David" w:cs="David"/>
          <w:rtl/>
        </w:rPr>
        <w:t>האם ההתנהגות של המזיק (</w:t>
      </w:r>
      <w:r w:rsidR="0023596F">
        <w:rPr>
          <w:rFonts w:ascii="David" w:hAnsi="David" w:cs="David"/>
          <w:rtl/>
        </w:rPr>
        <w:t>המדינה</w:t>
      </w:r>
      <w:r w:rsidRPr="00C124FC">
        <w:rPr>
          <w:rFonts w:ascii="David" w:hAnsi="David" w:cs="David"/>
          <w:rtl/>
        </w:rPr>
        <w:t xml:space="preserve">) היא רצויה או לא וזאת בהתאם לשיקולי מדיניות. לפי הגישה התועלתנית "נוסחת הנד" ביהמ"ש יקבע שיש למנוע את </w:t>
      </w:r>
      <w:r w:rsidR="0023596F">
        <w:rPr>
          <w:rFonts w:ascii="David" w:hAnsi="David" w:cs="David"/>
          <w:rtl/>
        </w:rPr>
        <w:t xml:space="preserve">הנזק </w:t>
      </w:r>
      <w:r w:rsidRPr="00C124FC">
        <w:rPr>
          <w:rFonts w:ascii="David" w:hAnsi="David" w:cs="David"/>
          <w:rtl/>
        </w:rPr>
        <w:t>כאשר הסיכונים והעלויות הנובעים מכך עולים על התועלת שהיא מייצרת.(</w:t>
      </w:r>
      <w:r w:rsidRPr="00C124FC">
        <w:rPr>
          <w:rFonts w:ascii="David" w:hAnsi="David" w:cs="David"/>
        </w:rPr>
        <w:t>L</w:t>
      </w:r>
      <w:r w:rsidRPr="00C124FC">
        <w:rPr>
          <w:rFonts w:ascii="David" w:hAnsi="David" w:cs="David"/>
          <w:rtl/>
        </w:rPr>
        <w:t>)</w:t>
      </w:r>
      <w:r w:rsidRPr="00C124FC">
        <w:rPr>
          <w:rFonts w:ascii="David" w:hAnsi="David" w:cs="David"/>
        </w:rPr>
        <w:t xml:space="preserve"> </w:t>
      </w:r>
      <w:r w:rsidRPr="00C124FC">
        <w:rPr>
          <w:rFonts w:ascii="David" w:hAnsi="David" w:cs="David"/>
          <w:rtl/>
        </w:rPr>
        <w:t xml:space="preserve">ביהמ"ש יבדוק אם </w:t>
      </w:r>
      <w:r w:rsidR="0023596F">
        <w:rPr>
          <w:rFonts w:ascii="David" w:hAnsi="David" w:cs="David"/>
          <w:rtl/>
        </w:rPr>
        <w:t>המדינה</w:t>
      </w:r>
      <w:r w:rsidRPr="00C124FC">
        <w:rPr>
          <w:rFonts w:ascii="David" w:hAnsi="David" w:cs="David"/>
          <w:rtl/>
        </w:rPr>
        <w:t xml:space="preserve"> התרשל</w:t>
      </w:r>
      <w:r w:rsidR="0023596F">
        <w:rPr>
          <w:rFonts w:ascii="David" w:hAnsi="David" w:cs="David"/>
          <w:rtl/>
        </w:rPr>
        <w:t>ה</w:t>
      </w:r>
      <w:r w:rsidRPr="00C124FC">
        <w:rPr>
          <w:rFonts w:ascii="David" w:hAnsi="David" w:cs="David"/>
          <w:rtl/>
        </w:rPr>
        <w:t xml:space="preserve"> לפי הנזק הצפוי באותה ע</w:t>
      </w:r>
      <w:r w:rsidRPr="00C124FC">
        <w:rPr>
          <w:rFonts w:ascii="David" w:hAnsi="David" w:cs="David"/>
          <w:rtl/>
        </w:rPr>
        <w:t xml:space="preserve">ת ולא הנזק שנגרם בפועל בעת תוחלת הנזק. כאמור, </w:t>
      </w:r>
      <w:r w:rsidR="0023596F">
        <w:rPr>
          <w:rFonts w:ascii="David" w:hAnsi="David" w:cs="David"/>
          <w:rtl/>
        </w:rPr>
        <w:t>המדינה תטען</w:t>
      </w:r>
      <w:r w:rsidRPr="00C124FC">
        <w:rPr>
          <w:rFonts w:ascii="David" w:hAnsi="David" w:cs="David"/>
          <w:rtl/>
        </w:rPr>
        <w:t xml:space="preserve"> שהנזק הצפוי להיגרם גם כאשר </w:t>
      </w:r>
      <w:r w:rsidR="0023596F">
        <w:rPr>
          <w:rFonts w:ascii="David" w:hAnsi="David" w:cs="David"/>
          <w:rtl/>
        </w:rPr>
        <w:t xml:space="preserve">היא לא הייתה מיידעת את האוכלוסייה המדוברת משום שבכל מקרה לא כולם ממהרים לפנות לערכאות השיפוט </w:t>
      </w:r>
      <w:r w:rsidRPr="00C124FC">
        <w:rPr>
          <w:rFonts w:ascii="David" w:hAnsi="David" w:cs="David"/>
          <w:rtl/>
        </w:rPr>
        <w:t xml:space="preserve">לכן אין בכך בחירה רשלנית. </w:t>
      </w:r>
      <w:r w:rsidR="0023596F">
        <w:rPr>
          <w:rFonts w:ascii="David" w:hAnsi="David" w:cs="David"/>
          <w:rtl/>
        </w:rPr>
        <w:t>ההורים</w:t>
      </w:r>
      <w:r w:rsidRPr="00C124FC">
        <w:rPr>
          <w:rFonts w:ascii="David" w:hAnsi="David" w:cs="David"/>
          <w:rtl/>
        </w:rPr>
        <w:t xml:space="preserve"> </w:t>
      </w:r>
      <w:r w:rsidR="0023596F">
        <w:rPr>
          <w:rFonts w:ascii="David" w:hAnsi="David" w:cs="David"/>
          <w:rtl/>
        </w:rPr>
        <w:t>יטענו</w:t>
      </w:r>
      <w:r w:rsidRPr="00C124FC">
        <w:rPr>
          <w:rFonts w:ascii="David" w:hAnsi="David" w:cs="David"/>
          <w:rtl/>
        </w:rPr>
        <w:t xml:space="preserve"> כי הנזק שנגרם לה איננו דבר חולף</w:t>
      </w:r>
      <w:r w:rsidR="0023596F">
        <w:rPr>
          <w:rFonts w:ascii="David" w:hAnsi="David" w:cs="David"/>
          <w:rtl/>
        </w:rPr>
        <w:t>, נהפוך הוא זהו דבר שילווה אותם למשך כל תוחלת חייו של היילוד וחייהם שלהם</w:t>
      </w:r>
      <w:r w:rsidRPr="00C124FC">
        <w:rPr>
          <w:rFonts w:ascii="David" w:hAnsi="David" w:cs="David"/>
          <w:rtl/>
        </w:rPr>
        <w:t>.(</w:t>
      </w:r>
      <w:r w:rsidRPr="00C124FC">
        <w:rPr>
          <w:rFonts w:ascii="David" w:hAnsi="David" w:cs="David"/>
        </w:rPr>
        <w:t>B</w:t>
      </w:r>
      <w:r w:rsidRPr="00C124FC">
        <w:rPr>
          <w:rFonts w:ascii="David" w:hAnsi="David" w:cs="David"/>
          <w:rtl/>
        </w:rPr>
        <w:t>) זאת ועוד, בהתחשב לנסיבות המקרה שאופפות אות</w:t>
      </w:r>
      <w:r w:rsidR="0023596F">
        <w:rPr>
          <w:rFonts w:ascii="David" w:hAnsi="David" w:cs="David"/>
          <w:rtl/>
        </w:rPr>
        <w:t>נ</w:t>
      </w:r>
      <w:r w:rsidRPr="00C124FC">
        <w:rPr>
          <w:rFonts w:ascii="David" w:hAnsi="David" w:cs="David"/>
          <w:rtl/>
        </w:rPr>
        <w:t xml:space="preserve">ו, ניתן לראות כי אכן </w:t>
      </w:r>
      <w:r w:rsidR="0023596F">
        <w:rPr>
          <w:rFonts w:ascii="David" w:hAnsi="David" w:cs="David"/>
          <w:rtl/>
        </w:rPr>
        <w:t>המדינה</w:t>
      </w:r>
      <w:r w:rsidRPr="00C124FC">
        <w:rPr>
          <w:rFonts w:ascii="David" w:hAnsi="David" w:cs="David"/>
          <w:rtl/>
        </w:rPr>
        <w:t xml:space="preserve"> קיימים אמצעי מניעה כמקובל </w:t>
      </w:r>
      <w:r w:rsidR="0023596F">
        <w:rPr>
          <w:rFonts w:ascii="David" w:hAnsi="David" w:cs="David"/>
          <w:rtl/>
        </w:rPr>
        <w:t xml:space="preserve">בענף המשפט כמו סיוע משפטי, ייעוץ משפטי, פנייה למשרדי עורכי דין והתעדכנות אודות המצב הקיים היום </w:t>
      </w:r>
      <w:r w:rsidRPr="00C124FC">
        <w:rPr>
          <w:rFonts w:ascii="David" w:hAnsi="David" w:cs="David"/>
          <w:rtl/>
        </w:rPr>
        <w:t>ואשר במרבית המקרים רף הסבירות מושפע ממנו.</w:t>
      </w:r>
      <w:r>
        <w:rPr>
          <w:rStyle w:val="a7"/>
          <w:rFonts w:ascii="David" w:hAnsi="David" w:cs="David"/>
          <w:rtl/>
        </w:rPr>
        <w:footnoteReference w:id="128"/>
      </w:r>
      <w:r w:rsidRPr="00C124FC">
        <w:rPr>
          <w:rFonts w:ascii="David" w:hAnsi="David" w:cs="David"/>
          <w:rtl/>
        </w:rPr>
        <w:t xml:space="preserve"> אולם, ביהמ"ש יקבע כי סבירות ההתנהגות היא פונקציה של המיומנות המיוחדות והחוזקות הסובייקטיביות של </w:t>
      </w:r>
      <w:r w:rsidR="0023596F">
        <w:rPr>
          <w:rFonts w:ascii="David" w:hAnsi="David" w:cs="David"/>
          <w:rtl/>
        </w:rPr>
        <w:t xml:space="preserve">המדינה </w:t>
      </w:r>
      <w:r w:rsidRPr="00C124FC">
        <w:rPr>
          <w:rFonts w:ascii="David" w:hAnsi="David" w:cs="David"/>
          <w:rtl/>
        </w:rPr>
        <w:t>בעת חישוב עלויו</w:t>
      </w:r>
      <w:r w:rsidRPr="00C124FC">
        <w:rPr>
          <w:rFonts w:ascii="David" w:hAnsi="David" w:cs="David"/>
          <w:rtl/>
        </w:rPr>
        <w:t xml:space="preserve">ת אמצעי </w:t>
      </w:r>
      <w:r w:rsidR="0023596F">
        <w:rPr>
          <w:rFonts w:ascii="David" w:hAnsi="David" w:cs="David"/>
          <w:rtl/>
        </w:rPr>
        <w:t>הפרסום</w:t>
      </w:r>
      <w:r w:rsidRPr="00C124FC">
        <w:rPr>
          <w:rFonts w:ascii="David" w:hAnsi="David" w:cs="David"/>
          <w:rtl/>
        </w:rPr>
        <w:t xml:space="preserve">. בעניינו, </w:t>
      </w:r>
      <w:r w:rsidR="0023596F">
        <w:rPr>
          <w:rFonts w:ascii="David" w:hAnsi="David" w:cs="David"/>
          <w:rtl/>
        </w:rPr>
        <w:t>המדינה בעלת</w:t>
      </w:r>
      <w:r w:rsidRPr="00C124FC">
        <w:rPr>
          <w:rFonts w:ascii="David" w:hAnsi="David" w:cs="David"/>
          <w:rtl/>
        </w:rPr>
        <w:t xml:space="preserve"> מומחיות </w:t>
      </w:r>
      <w:r w:rsidR="0023596F">
        <w:rPr>
          <w:rFonts w:ascii="David" w:hAnsi="David" w:cs="David"/>
          <w:rtl/>
        </w:rPr>
        <w:t xml:space="preserve">ולה האמצעים המרבים ביותר </w:t>
      </w:r>
      <w:r w:rsidRPr="00C124FC">
        <w:rPr>
          <w:rFonts w:ascii="David" w:hAnsi="David" w:cs="David"/>
          <w:rtl/>
        </w:rPr>
        <w:t xml:space="preserve">ולכן </w:t>
      </w:r>
      <w:r w:rsidR="0023596F">
        <w:rPr>
          <w:rFonts w:ascii="David" w:hAnsi="David" w:cs="David"/>
          <w:rtl/>
        </w:rPr>
        <w:t>ההורים</w:t>
      </w:r>
      <w:r w:rsidRPr="00C124FC">
        <w:rPr>
          <w:rFonts w:ascii="David" w:hAnsi="David" w:cs="David"/>
          <w:rtl/>
        </w:rPr>
        <w:t xml:space="preserve"> </w:t>
      </w:r>
      <w:r w:rsidR="0023596F">
        <w:rPr>
          <w:rFonts w:ascii="David" w:hAnsi="David" w:cs="David"/>
          <w:rtl/>
        </w:rPr>
        <w:t>יטענו</w:t>
      </w:r>
      <w:r w:rsidRPr="00C124FC">
        <w:rPr>
          <w:rFonts w:ascii="David" w:hAnsi="David" w:cs="David"/>
          <w:rtl/>
        </w:rPr>
        <w:t xml:space="preserve"> כי </w:t>
      </w:r>
      <w:r w:rsidR="0023596F">
        <w:rPr>
          <w:rFonts w:ascii="David" w:hAnsi="David" w:cs="David"/>
          <w:rtl/>
        </w:rPr>
        <w:t>הם</w:t>
      </w:r>
      <w:r w:rsidRPr="00C124FC">
        <w:rPr>
          <w:rFonts w:ascii="David" w:hAnsi="David" w:cs="David"/>
          <w:rtl/>
        </w:rPr>
        <w:t xml:space="preserve"> </w:t>
      </w:r>
      <w:r w:rsidR="0023596F">
        <w:rPr>
          <w:rFonts w:ascii="David" w:hAnsi="David" w:cs="David"/>
          <w:rtl/>
        </w:rPr>
        <w:t>הסתמכו</w:t>
      </w:r>
      <w:r w:rsidRPr="00C124FC">
        <w:rPr>
          <w:rFonts w:ascii="David" w:hAnsi="David" w:cs="David"/>
          <w:rtl/>
        </w:rPr>
        <w:t xml:space="preserve"> </w:t>
      </w:r>
      <w:r w:rsidR="0023596F">
        <w:rPr>
          <w:rFonts w:ascii="David" w:hAnsi="David" w:cs="David"/>
          <w:rtl/>
        </w:rPr>
        <w:t>וציפו</w:t>
      </w:r>
      <w:r w:rsidRPr="00C124FC">
        <w:rPr>
          <w:rFonts w:ascii="David" w:hAnsi="David" w:cs="David"/>
          <w:rtl/>
        </w:rPr>
        <w:t xml:space="preserve"> </w:t>
      </w:r>
      <w:r w:rsidR="0023596F">
        <w:rPr>
          <w:rFonts w:ascii="David" w:hAnsi="David" w:cs="David"/>
          <w:rtl/>
        </w:rPr>
        <w:t>שהמדינה תיידע אותם</w:t>
      </w:r>
      <w:r w:rsidR="000C7103">
        <w:rPr>
          <w:rFonts w:ascii="David" w:hAnsi="David" w:cs="David"/>
          <w:rtl/>
        </w:rPr>
        <w:t xml:space="preserve"> בשל ידיעותיה</w:t>
      </w:r>
      <w:r w:rsidR="0023596F">
        <w:rPr>
          <w:rFonts w:ascii="David" w:hAnsi="David" w:cs="David"/>
          <w:rtl/>
        </w:rPr>
        <w:t xml:space="preserve"> בתחומים שונים </w:t>
      </w:r>
      <w:r w:rsidR="00BB1366">
        <w:rPr>
          <w:rFonts w:ascii="David" w:hAnsi="David" w:cs="David"/>
          <w:rtl/>
        </w:rPr>
        <w:t>ראה דוגמא עניין איבי,</w:t>
      </w:r>
      <w:r>
        <w:rPr>
          <w:rStyle w:val="a7"/>
          <w:rFonts w:ascii="David" w:hAnsi="David" w:hint="default"/>
          <w:rtl/>
        </w:rPr>
        <w:footnoteReference w:id="129"/>
      </w:r>
      <w:r w:rsidRPr="00C124FC">
        <w:rPr>
          <w:rFonts w:ascii="David" w:hAnsi="David" w:cs="David"/>
          <w:rtl/>
        </w:rPr>
        <w:t xml:space="preserve"> </w:t>
      </w:r>
      <w:r w:rsidR="000F3A52">
        <w:rPr>
          <w:rFonts w:ascii="David" w:hAnsi="David" w:cs="David"/>
          <w:rtl/>
        </w:rPr>
        <w:t>בנוסף,</w:t>
      </w:r>
      <w:r w:rsidRPr="00C124FC">
        <w:rPr>
          <w:rFonts w:ascii="David" w:hAnsi="David" w:cs="David"/>
          <w:rtl/>
        </w:rPr>
        <w:t xml:space="preserve"> </w:t>
      </w:r>
      <w:r w:rsidR="00BB1366">
        <w:rPr>
          <w:rFonts w:ascii="David" w:hAnsi="David" w:cs="David"/>
          <w:rtl/>
        </w:rPr>
        <w:t>שהמדינה לא עמדה</w:t>
      </w:r>
      <w:r w:rsidRPr="00C124FC">
        <w:rPr>
          <w:rFonts w:ascii="David" w:hAnsi="David" w:cs="David"/>
          <w:rtl/>
        </w:rPr>
        <w:t xml:space="preserve"> </w:t>
      </w:r>
      <w:r w:rsidR="00BB1366">
        <w:rPr>
          <w:rFonts w:ascii="David" w:hAnsi="David" w:cs="David"/>
          <w:rtl/>
        </w:rPr>
        <w:t>בחובה זו</w:t>
      </w:r>
      <w:r w:rsidRPr="00C124FC">
        <w:rPr>
          <w:rFonts w:ascii="David" w:hAnsi="David" w:cs="David"/>
          <w:rtl/>
        </w:rPr>
        <w:t xml:space="preserve"> נוצר פגם מוסרי.</w:t>
      </w:r>
      <w:r>
        <w:rPr>
          <w:rStyle w:val="a7"/>
          <w:rFonts w:ascii="David" w:hAnsi="David" w:cs="David"/>
          <w:rtl/>
        </w:rPr>
        <w:footnoteReference w:id="130"/>
      </w:r>
      <w:r w:rsidRPr="00C124FC">
        <w:rPr>
          <w:rFonts w:ascii="David" w:hAnsi="David" w:cs="David"/>
          <w:rtl/>
        </w:rPr>
        <w:t xml:space="preserve"> מנגד, </w:t>
      </w:r>
      <w:r w:rsidR="0023596F">
        <w:rPr>
          <w:rFonts w:ascii="David" w:hAnsi="David" w:cs="David"/>
          <w:rtl/>
        </w:rPr>
        <w:t>ההורים</w:t>
      </w:r>
      <w:r w:rsidRPr="00C124FC">
        <w:rPr>
          <w:rFonts w:ascii="David" w:hAnsi="David" w:cs="David"/>
          <w:rtl/>
        </w:rPr>
        <w:t xml:space="preserve"> </w:t>
      </w:r>
      <w:r w:rsidR="0023596F">
        <w:rPr>
          <w:rFonts w:ascii="David" w:hAnsi="David" w:cs="David"/>
          <w:rtl/>
        </w:rPr>
        <w:t>יטענו</w:t>
      </w:r>
      <w:r w:rsidRPr="00C124FC">
        <w:rPr>
          <w:rFonts w:ascii="David" w:hAnsi="David" w:cs="David"/>
          <w:rtl/>
        </w:rPr>
        <w:t xml:space="preserve"> כי יש להכיר </w:t>
      </w:r>
      <w:r w:rsidRPr="00C124FC">
        <w:rPr>
          <w:rFonts w:ascii="David" w:hAnsi="David" w:cs="David"/>
          <w:rtl/>
        </w:rPr>
        <w:t xml:space="preserve">בקיומם של שיקולי הגינות וצדק מתקן באמצעות פיצוי. עוד נדרש לחלוקת משאבים נאותה לטובת </w:t>
      </w:r>
      <w:r w:rsidR="0023596F">
        <w:rPr>
          <w:rFonts w:ascii="David" w:hAnsi="David" w:cs="David"/>
          <w:rtl/>
        </w:rPr>
        <w:t>ההורים וילדיהם, משום שמדובר במדינה שהיא "כיס עמוק" לא תהיינה בעיה מבחינה כלכלית, אך הדבר יכול לצמצם ולגרוע ממשאבים אחרים שהמדינה הקצתה חשובים לא פחות, בכך המדינה תותיר את המשאב בסיכון</w:t>
      </w:r>
      <w:r w:rsidRPr="00C124FC">
        <w:rPr>
          <w:rFonts w:ascii="David" w:hAnsi="David" w:cs="David"/>
          <w:rtl/>
        </w:rPr>
        <w:t>.</w:t>
      </w:r>
      <w:r>
        <w:rPr>
          <w:rStyle w:val="a7"/>
          <w:rFonts w:ascii="David" w:hAnsi="David" w:cs="David"/>
          <w:rtl/>
        </w:rPr>
        <w:footnoteReference w:id="131"/>
      </w:r>
      <w:r w:rsidRPr="00C124FC">
        <w:rPr>
          <w:rFonts w:ascii="David" w:hAnsi="David" w:cs="David"/>
          <w:rtl/>
        </w:rPr>
        <w:t>(</w:t>
      </w:r>
      <w:r w:rsidRPr="00C124FC">
        <w:rPr>
          <w:rFonts w:ascii="David" w:hAnsi="David" w:cs="David"/>
        </w:rPr>
        <w:t>P</w:t>
      </w:r>
      <w:r w:rsidRPr="00C124FC">
        <w:rPr>
          <w:rFonts w:ascii="David" w:hAnsi="David" w:cs="David"/>
          <w:rtl/>
        </w:rPr>
        <w:t xml:space="preserve">) הסתברות </w:t>
      </w:r>
      <w:r>
        <w:rPr>
          <w:rFonts w:ascii="David" w:hAnsi="David" w:cs="David"/>
          <w:rtl/>
        </w:rPr>
        <w:t>קרות הנזק</w:t>
      </w:r>
      <w:r w:rsidR="00F22CC2">
        <w:rPr>
          <w:rFonts w:ascii="David" w:hAnsi="David" w:cs="David"/>
          <w:rtl/>
        </w:rPr>
        <w:t xml:space="preserve"> תהא גבוהה לאור הדברים שפורטו לעיל. יש לומר כי הנזק הכלכלי הממוני הוא וודאי, משום שאי פנייה לערכאות שיפוטיות וקבלת סעד של פיצויים מהווה נטל כלכלי כבד על ההורים ובעתיד על המדינה. גובה הנזק </w:t>
      </w:r>
      <w:r w:rsidR="00F22CC2">
        <w:rPr>
          <w:rFonts w:ascii="David" w:hAnsi="David" w:cs="David" w:hint="default"/>
          <w:rtl/>
        </w:rPr>
        <w:t>–</w:t>
      </w:r>
      <w:r w:rsidR="00F22CC2">
        <w:rPr>
          <w:rFonts w:ascii="David" w:hAnsi="David" w:cs="David"/>
          <w:rtl/>
        </w:rPr>
        <w:t xml:space="preserve"> נמוכה ואף אפסית, על</w:t>
      </w:r>
      <w:r w:rsidR="000F3A52">
        <w:rPr>
          <w:rFonts w:ascii="David" w:hAnsi="David" w:cs="David"/>
          <w:rtl/>
        </w:rPr>
        <w:t>ו</w:t>
      </w:r>
      <w:r w:rsidR="00F22CC2">
        <w:rPr>
          <w:rFonts w:ascii="David" w:hAnsi="David" w:cs="David"/>
          <w:rtl/>
        </w:rPr>
        <w:t xml:space="preserve">יות הפרסום מתאזנות אל מול ויתור </w:t>
      </w:r>
      <w:r w:rsidR="000F3A52">
        <w:rPr>
          <w:rFonts w:ascii="David" w:hAnsi="David" w:cs="David"/>
          <w:rtl/>
        </w:rPr>
        <w:t xml:space="preserve">על </w:t>
      </w:r>
      <w:r w:rsidR="00F22CC2">
        <w:rPr>
          <w:rFonts w:ascii="David" w:hAnsi="David" w:cs="David"/>
          <w:rtl/>
        </w:rPr>
        <w:t xml:space="preserve">זכות בסיסית של פנייה לערכאות. </w:t>
      </w:r>
    </w:p>
    <w:p w:rsidR="007034F1" w:rsidRDefault="00BE211D" w:rsidP="007034F1">
      <w:pPr>
        <w:spacing w:after="200" w:line="360" w:lineRule="auto"/>
        <w:contextualSpacing/>
        <w:jc w:val="both"/>
        <w:rPr>
          <w:rFonts w:ascii="David" w:hAnsi="David" w:cs="David" w:hint="default"/>
          <w:sz w:val="24"/>
          <w:szCs w:val="24"/>
          <w:shd w:val="clear" w:color="auto" w:fill="FFFFFF"/>
          <w:rtl/>
        </w:rPr>
      </w:pPr>
      <w:r w:rsidRPr="00177BD0">
        <w:rPr>
          <w:rFonts w:ascii="David" w:hAnsi="David" w:cs="David" w:hint="cs"/>
          <w:b/>
          <w:bCs/>
          <w:sz w:val="24"/>
          <w:szCs w:val="24"/>
          <w:shd w:val="clear" w:color="auto" w:fill="FFFFFF"/>
          <w:rtl/>
        </w:rPr>
        <w:t>לעניין ה</w:t>
      </w:r>
      <w:r w:rsidRPr="00177BD0">
        <w:rPr>
          <w:rFonts w:ascii="David" w:hAnsi="David" w:cs="David"/>
          <w:b/>
          <w:bCs/>
          <w:sz w:val="24"/>
          <w:szCs w:val="24"/>
          <w:shd w:val="clear" w:color="auto" w:fill="FFFFFF"/>
          <w:rtl/>
        </w:rPr>
        <w:t xml:space="preserve">קש"ס </w:t>
      </w:r>
      <w:r w:rsidRPr="00177BD0">
        <w:rPr>
          <w:rFonts w:ascii="David" w:hAnsi="David" w:cs="David"/>
          <w:sz w:val="24"/>
          <w:szCs w:val="24"/>
          <w:shd w:val="clear" w:color="auto" w:fill="FFFFFF"/>
          <w:rtl/>
        </w:rPr>
        <w:t>–</w:t>
      </w:r>
      <w:r w:rsidRPr="00177BD0">
        <w:rPr>
          <w:rFonts w:ascii="David" w:hAnsi="David" w:cs="David"/>
          <w:b/>
          <w:bCs/>
          <w:sz w:val="24"/>
          <w:szCs w:val="24"/>
          <w:shd w:val="clear" w:color="auto" w:fill="FFFFFF"/>
          <w:rtl/>
        </w:rPr>
        <w:t xml:space="preserve"> קשר סיבתי עובדתי</w:t>
      </w:r>
      <w:r w:rsidRPr="00177BD0">
        <w:rPr>
          <w:rFonts w:ascii="David" w:hAnsi="David" w:cs="David"/>
          <w:sz w:val="24"/>
          <w:szCs w:val="24"/>
          <w:shd w:val="clear" w:color="auto" w:fill="FFFFFF"/>
          <w:rtl/>
        </w:rPr>
        <w:t xml:space="preserve">: אילולא התנהגותה </w:t>
      </w:r>
      <w:r w:rsidR="003E1A88">
        <w:rPr>
          <w:rFonts w:ascii="David" w:hAnsi="David" w:cs="David" w:hint="cs"/>
          <w:sz w:val="24"/>
          <w:szCs w:val="24"/>
          <w:shd w:val="clear" w:color="auto" w:fill="FFFFFF"/>
          <w:rtl/>
        </w:rPr>
        <w:t>האדישה</w:t>
      </w:r>
      <w:r w:rsidRPr="00177BD0">
        <w:rPr>
          <w:rFonts w:ascii="David" w:hAnsi="David" w:cs="David"/>
          <w:sz w:val="24"/>
          <w:szCs w:val="24"/>
          <w:shd w:val="clear" w:color="auto" w:fill="FFFFFF"/>
          <w:rtl/>
        </w:rPr>
        <w:t xml:space="preserve"> של המדינה, לא היה נגרם הנזק האמור </w:t>
      </w:r>
      <w:r w:rsidR="003E1A88">
        <w:rPr>
          <w:rFonts w:ascii="David" w:hAnsi="David" w:cs="David" w:hint="cs"/>
          <w:sz w:val="24"/>
          <w:szCs w:val="24"/>
          <w:shd w:val="clear" w:color="auto" w:fill="FFFFFF"/>
          <w:rtl/>
        </w:rPr>
        <w:t>להורים ולילדים</w:t>
      </w:r>
      <w:r w:rsidR="003E1A88">
        <w:rPr>
          <w:rFonts w:ascii="David" w:hAnsi="David" w:cs="David"/>
          <w:sz w:val="24"/>
          <w:szCs w:val="24"/>
          <w:shd w:val="clear" w:color="auto" w:fill="FFFFFF"/>
          <w:rtl/>
        </w:rPr>
        <w:t>. מתקיים</w:t>
      </w:r>
      <w:r w:rsidR="003E1A88">
        <w:rPr>
          <w:rFonts w:ascii="David" w:hAnsi="David" w:cs="David" w:hint="cs"/>
          <w:sz w:val="24"/>
          <w:szCs w:val="24"/>
          <w:shd w:val="clear" w:color="auto" w:fill="FFFFFF"/>
          <w:rtl/>
        </w:rPr>
        <w:t xml:space="preserve">, </w:t>
      </w:r>
      <w:r w:rsidRPr="00177BD0">
        <w:rPr>
          <w:rFonts w:ascii="David" w:hAnsi="David" w:cs="David"/>
          <w:b/>
          <w:bCs/>
          <w:sz w:val="24"/>
          <w:szCs w:val="24"/>
          <w:shd w:val="clear" w:color="auto" w:fill="FFFFFF"/>
          <w:rtl/>
        </w:rPr>
        <w:t>קשר סיבתי משפטי</w:t>
      </w:r>
      <w:r w:rsidRPr="00177BD0">
        <w:rPr>
          <w:rFonts w:ascii="David" w:hAnsi="David" w:cs="David"/>
          <w:sz w:val="24"/>
          <w:szCs w:val="24"/>
          <w:shd w:val="clear" w:color="auto" w:fill="FFFFFF"/>
          <w:rtl/>
        </w:rPr>
        <w:t xml:space="preserve">: מבחן הצפיות – המדינה כמזיקה יכולה לצפות כי </w:t>
      </w:r>
      <w:r w:rsidR="0045715C">
        <w:rPr>
          <w:rFonts w:ascii="David" w:hAnsi="David" w:cs="David" w:hint="cs"/>
          <w:sz w:val="24"/>
          <w:szCs w:val="24"/>
          <w:shd w:val="clear" w:color="auto" w:fill="FFFFFF"/>
          <w:rtl/>
        </w:rPr>
        <w:t>"שתיקתה"</w:t>
      </w:r>
      <w:r w:rsidR="00061B78">
        <w:rPr>
          <w:rFonts w:ascii="David" w:hAnsi="David" w:cs="David" w:hint="cs"/>
          <w:sz w:val="24"/>
          <w:szCs w:val="24"/>
          <w:shd w:val="clear" w:color="auto" w:fill="FFFFFF"/>
          <w:rtl/>
        </w:rPr>
        <w:t xml:space="preserve"> בכך שלא יצאה בקריאה להורים יוב</w:t>
      </w:r>
      <w:r w:rsidR="0045715C">
        <w:rPr>
          <w:rFonts w:ascii="David" w:hAnsi="David" w:cs="David" w:hint="cs"/>
          <w:sz w:val="24"/>
          <w:szCs w:val="24"/>
          <w:shd w:val="clear" w:color="auto" w:fill="FFFFFF"/>
          <w:rtl/>
        </w:rPr>
        <w:t>ילו לנ</w:t>
      </w:r>
      <w:r w:rsidR="00AF4EDF">
        <w:rPr>
          <w:rFonts w:ascii="David" w:hAnsi="David" w:cs="David" w:hint="cs"/>
          <w:sz w:val="24"/>
          <w:szCs w:val="24"/>
          <w:shd w:val="clear" w:color="auto" w:fill="FFFFFF"/>
          <w:rtl/>
        </w:rPr>
        <w:t>ז</w:t>
      </w:r>
      <w:r w:rsidR="0045715C">
        <w:rPr>
          <w:rFonts w:ascii="David" w:hAnsi="David" w:cs="David" w:hint="cs"/>
          <w:sz w:val="24"/>
          <w:szCs w:val="24"/>
          <w:shd w:val="clear" w:color="auto" w:fill="FFFFFF"/>
          <w:rtl/>
        </w:rPr>
        <w:t>קים האמורים. קשר זה מתקיים.</w:t>
      </w:r>
      <w:r w:rsidRPr="00177BD0">
        <w:rPr>
          <w:rFonts w:ascii="David" w:hAnsi="David" w:cs="David"/>
          <w:sz w:val="24"/>
          <w:szCs w:val="24"/>
          <w:shd w:val="clear" w:color="auto" w:fill="FFFFFF"/>
          <w:rtl/>
        </w:rPr>
        <w:t xml:space="preserve"> </w:t>
      </w:r>
    </w:p>
    <w:p w:rsidR="00061B78" w:rsidRPr="007034F1" w:rsidRDefault="00BE211D" w:rsidP="007034F1">
      <w:pPr>
        <w:spacing w:after="200" w:line="360" w:lineRule="auto"/>
        <w:contextualSpacing/>
        <w:jc w:val="both"/>
        <w:rPr>
          <w:rFonts w:ascii="David" w:hAnsi="David" w:cs="David" w:hint="default"/>
          <w:sz w:val="28"/>
          <w:szCs w:val="28"/>
          <w:shd w:val="clear" w:color="auto" w:fill="FFFFFF"/>
          <w:rtl/>
        </w:rPr>
      </w:pPr>
      <w:r w:rsidRPr="007034F1">
        <w:rPr>
          <w:rFonts w:ascii="David" w:hAnsi="David" w:cs="David"/>
          <w:sz w:val="24"/>
          <w:szCs w:val="24"/>
          <w:shd w:val="clear" w:color="auto" w:fill="FFFFFF"/>
          <w:rtl/>
        </w:rPr>
        <w:lastRenderedPageBreak/>
        <w:t>מבחן הסיכון</w:t>
      </w:r>
      <w:r w:rsidRPr="007034F1">
        <w:rPr>
          <w:rFonts w:ascii="David" w:hAnsi="David" w:cs="David"/>
          <w:b/>
          <w:bCs/>
          <w:sz w:val="24"/>
          <w:szCs w:val="24"/>
          <w:shd w:val="clear" w:color="auto" w:fill="FFFFFF"/>
          <w:rtl/>
        </w:rPr>
        <w:t xml:space="preserve"> </w:t>
      </w:r>
      <w:r w:rsidRPr="007034F1">
        <w:rPr>
          <w:rFonts w:ascii="David" w:hAnsi="David" w:cs="David"/>
          <w:sz w:val="24"/>
          <w:szCs w:val="24"/>
          <w:shd w:val="clear" w:color="auto" w:fill="FFFFFF"/>
          <w:rtl/>
        </w:rPr>
        <w:t xml:space="preserve">- </w:t>
      </w:r>
      <w:r w:rsidRPr="007034F1">
        <w:rPr>
          <w:rFonts w:ascii="David" w:hAnsi="David" w:cs="David"/>
          <w:sz w:val="24"/>
          <w:szCs w:val="24"/>
          <w:rtl/>
          <w:lang w:eastAsia="he-IL"/>
        </w:rPr>
        <w:t xml:space="preserve">הנזק נמצא במתחם הסיכון של המדינה - המדינה היא האוטוריטה האחראית </w:t>
      </w:r>
      <w:r w:rsidRPr="007034F1">
        <w:rPr>
          <w:rFonts w:ascii="David" w:hAnsi="David" w:cs="David"/>
          <w:sz w:val="24"/>
          <w:szCs w:val="24"/>
          <w:shd w:val="clear" w:color="auto" w:fill="FFFFFF"/>
          <w:rtl/>
        </w:rPr>
        <w:t>על ההליכים האמורים. היא בעלת מספר זרועות, אשר יכולה לבדוק, לאשר ובסמכותה ויכולתה לקבוע את דרך פרסום ויידוע שינוי הדין, לכן ניתן לומר כי דרישותיה ומדיניותה בנושא נמצאות במתחם הסיכון של פעולותיה. עניין זה מתקיים. מבחן השכל הישר – מבחן המהווה שסתום בטיחות ובק</w:t>
      </w:r>
      <w:r w:rsidRPr="007034F1">
        <w:rPr>
          <w:rFonts w:ascii="David" w:hAnsi="David" w:cs="David"/>
          <w:sz w:val="24"/>
          <w:szCs w:val="24"/>
          <w:shd w:val="clear" w:color="auto" w:fill="FFFFFF"/>
          <w:rtl/>
        </w:rPr>
        <w:t xml:space="preserve">רה לבחינה מחודשת האם התוצאה הגיונית. על פי השכל הישר המדינה היא זו האחראית על חובת היידוע להורים, היא זו שיש לה את כלל האמצעים להגיע לכלל האוכלוסיות השונות בחברה הישראלי. </w:t>
      </w:r>
    </w:p>
    <w:p w:rsidR="00177BD0" w:rsidRDefault="00BE211D" w:rsidP="00061B78">
      <w:pPr>
        <w:pStyle w:val="ac"/>
        <w:bidi/>
        <w:spacing w:line="360" w:lineRule="auto"/>
        <w:jc w:val="both"/>
        <w:rPr>
          <w:rFonts w:ascii="David" w:hAnsi="David" w:cs="David" w:hint="default"/>
          <w:shd w:val="clear" w:color="auto" w:fill="FFFFFF"/>
          <w:rtl/>
        </w:rPr>
      </w:pPr>
      <w:r w:rsidRPr="00837042">
        <w:rPr>
          <w:rFonts w:ascii="David" w:hAnsi="David" w:cs="David"/>
          <w:b/>
          <w:bCs/>
          <w:rtl/>
        </w:rPr>
        <w:t>יסוד</w:t>
      </w:r>
      <w:r w:rsidRPr="00837042">
        <w:rPr>
          <w:rFonts w:ascii="David" w:hAnsi="David" w:cs="David"/>
          <w:b/>
          <w:bCs/>
          <w:rtl/>
          <w:lang w:bidi="ar-SA"/>
        </w:rPr>
        <w:t xml:space="preserve"> </w:t>
      </w:r>
      <w:r w:rsidRPr="00837042">
        <w:rPr>
          <w:rFonts w:ascii="David" w:hAnsi="David" w:cs="David"/>
          <w:b/>
          <w:bCs/>
          <w:rtl/>
        </w:rPr>
        <w:t>הנזק</w:t>
      </w:r>
      <w:r w:rsidRPr="00C124FC">
        <w:rPr>
          <w:rFonts w:ascii="David" w:hAnsi="David" w:cs="David"/>
          <w:rtl/>
        </w:rPr>
        <w:t xml:space="preserve"> בעל הגדרה רחבה בפס"ד גורדון לפי השופט ברק: נזק לרכוש, לגוף, לנפש.</w:t>
      </w:r>
      <w:r>
        <w:rPr>
          <w:rStyle w:val="a7"/>
          <w:rFonts w:ascii="David" w:hAnsi="David" w:cs="David"/>
          <w:rtl/>
        </w:rPr>
        <w:footnoteReference w:id="132"/>
      </w:r>
      <w:r w:rsidRPr="00C124FC">
        <w:rPr>
          <w:rFonts w:ascii="David" w:hAnsi="David" w:cs="David"/>
          <w:rtl/>
        </w:rPr>
        <w:t xml:space="preserve"> </w:t>
      </w:r>
      <w:r>
        <w:rPr>
          <w:rFonts w:ascii="David" w:hAnsi="David" w:cs="David"/>
          <w:shd w:val="clear" w:color="auto" w:fill="FFFFFF"/>
          <w:rtl/>
        </w:rPr>
        <w:t xml:space="preserve">כמו כן, קבע השופט ברק שכל סוגי הנזקים נופלים לגדר סעיף 2 לפקודת </w:t>
      </w:r>
      <w:r w:rsidRPr="00411133">
        <w:rPr>
          <w:rFonts w:ascii="David" w:hAnsi="David" w:cs="David"/>
          <w:shd w:val="clear" w:color="auto" w:fill="FFFFFF"/>
          <w:rtl/>
        </w:rPr>
        <w:t>הנזיקין</w:t>
      </w:r>
      <w:r w:rsidR="00EE2C85">
        <w:rPr>
          <w:rFonts w:ascii="David" w:hAnsi="David" w:cs="David"/>
          <w:shd w:val="clear" w:color="auto" w:fill="FFFFFF"/>
          <w:rtl/>
        </w:rPr>
        <w:t>, כך גם נזק כלכלי שנגרם בענייננו</w:t>
      </w:r>
      <w:r w:rsidRPr="00411133">
        <w:rPr>
          <w:rFonts w:ascii="David" w:hAnsi="David" w:cs="David"/>
          <w:shd w:val="clear" w:color="auto" w:fill="FFFFFF"/>
          <w:rtl/>
        </w:rPr>
        <w:t>.</w:t>
      </w:r>
      <w:r>
        <w:rPr>
          <w:rStyle w:val="a7"/>
          <w:rFonts w:ascii="David" w:hAnsi="David" w:cs="David"/>
          <w:shd w:val="clear" w:color="auto" w:fill="FFFFFF"/>
          <w:rtl/>
        </w:rPr>
        <w:footnoteReference w:id="133"/>
      </w:r>
      <w:r w:rsidRPr="00411133">
        <w:rPr>
          <w:rFonts w:ascii="David" w:hAnsi="David" w:cs="David"/>
          <w:shd w:val="clear" w:color="auto" w:fill="FFFFFF"/>
          <w:rtl/>
        </w:rPr>
        <w:t xml:space="preserve"> </w:t>
      </w:r>
      <w:r w:rsidR="00D24ED8">
        <w:rPr>
          <w:rFonts w:ascii="David" w:hAnsi="David" w:cs="David"/>
          <w:shd w:val="clear" w:color="auto" w:fill="FFFFFF"/>
          <w:rtl/>
        </w:rPr>
        <w:t xml:space="preserve">קרי במקרה דנן עולה כי מחדלה של המדינה ואי יידוע ההורים עולה לכדי נזק של אובדן עילת תביעה, מה שמגולם לנזק ממוני כבד. </w:t>
      </w:r>
    </w:p>
    <w:p w:rsidR="008908AC" w:rsidRDefault="00BE211D" w:rsidP="00AB01A6">
      <w:pPr>
        <w:pStyle w:val="ac"/>
        <w:bidi/>
        <w:spacing w:line="360" w:lineRule="auto"/>
        <w:jc w:val="both"/>
        <w:rPr>
          <w:rFonts w:ascii="David" w:hAnsi="David" w:cs="David" w:hint="default"/>
          <w:shd w:val="clear" w:color="auto" w:fill="FFFFFF"/>
          <w:rtl/>
        </w:rPr>
      </w:pPr>
      <w:r>
        <w:rPr>
          <w:rFonts w:ascii="David" w:hAnsi="David" w:cs="David"/>
          <w:shd w:val="clear" w:color="auto" w:fill="FFFFFF"/>
          <w:rtl/>
        </w:rPr>
        <w:t>לאור ניתוח מקיף זה, נראה כי המדינ</w:t>
      </w:r>
      <w:r>
        <w:rPr>
          <w:rFonts w:ascii="David" w:hAnsi="David" w:cs="David"/>
          <w:shd w:val="clear" w:color="auto" w:fill="FFFFFF"/>
          <w:rtl/>
        </w:rPr>
        <w:t>ה היא זו שאחראית בעוולת הרשלנות כלפי הורי הילדים, אדישותה לשינוי הדין וחוסר לקיחת אחריות ביידוע ההורים כי מעתה הדין שונה וכל שנותר הוא הגשת תביעת ההורים בגין הולדה בעוולה תוך 7 שנים בלבד מקרות האירוע. עולה כי מקרים "פרטיים" אלו ראוי שהמדינה תתערב ותיידע מש</w:t>
      </w:r>
      <w:r>
        <w:rPr>
          <w:rFonts w:ascii="David" w:hAnsi="David" w:cs="David"/>
          <w:shd w:val="clear" w:color="auto" w:fill="FFFFFF"/>
          <w:rtl/>
        </w:rPr>
        <w:t xml:space="preserve">ום שהנזק שעלול </w:t>
      </w:r>
      <w:r w:rsidR="00AB01A6">
        <w:rPr>
          <w:rFonts w:ascii="David" w:hAnsi="David" w:cs="David"/>
          <w:shd w:val="clear" w:color="auto" w:fill="FFFFFF"/>
          <w:rtl/>
        </w:rPr>
        <w:t>להיווצר</w:t>
      </w:r>
      <w:r>
        <w:rPr>
          <w:rFonts w:ascii="David" w:hAnsi="David" w:cs="David"/>
          <w:shd w:val="clear" w:color="auto" w:fill="FFFFFF"/>
          <w:rtl/>
        </w:rPr>
        <w:t xml:space="preserve"> מכך הוא גדול ויכול להוות נטל כבד על המדינה בעתיד. </w:t>
      </w:r>
    </w:p>
    <w:p w:rsidR="00FC03E1" w:rsidRDefault="00BE211D" w:rsidP="008F73E6">
      <w:pPr>
        <w:spacing w:after="0" w:line="360" w:lineRule="auto"/>
        <w:jc w:val="both"/>
        <w:rPr>
          <w:rFonts w:ascii="David" w:hAnsi="David" w:cs="David" w:hint="default"/>
          <w:sz w:val="24"/>
          <w:szCs w:val="24"/>
          <w:rtl/>
        </w:rPr>
      </w:pPr>
      <w:r>
        <w:rPr>
          <w:rFonts w:ascii="David" w:eastAsia="Times New Roman" w:hAnsi="David" w:cs="David" w:hint="cs"/>
          <w:sz w:val="24"/>
          <w:szCs w:val="24"/>
          <w:shd w:val="clear" w:color="auto" w:fill="FFFFFF"/>
          <w:rtl/>
        </w:rPr>
        <w:t xml:space="preserve">פס"ד המר לא קבע נחרצות את עניין הוראות המעבר ומכך ניתן לראות את הפסיקות השונות והלא אחידות </w:t>
      </w:r>
      <w:r w:rsidR="008F73E6">
        <w:rPr>
          <w:rFonts w:ascii="David" w:eastAsia="Times New Roman" w:hAnsi="David" w:cs="David" w:hint="cs"/>
          <w:sz w:val="24"/>
          <w:szCs w:val="24"/>
          <w:shd w:val="clear" w:color="auto" w:fill="FFFFFF"/>
          <w:rtl/>
        </w:rPr>
        <w:t>שביהמ"ש</w:t>
      </w:r>
      <w:r>
        <w:rPr>
          <w:rFonts w:ascii="David" w:eastAsia="Times New Roman" w:hAnsi="David" w:cs="David" w:hint="cs"/>
          <w:sz w:val="24"/>
          <w:szCs w:val="24"/>
          <w:shd w:val="clear" w:color="auto" w:fill="FFFFFF"/>
          <w:rtl/>
        </w:rPr>
        <w:t xml:space="preserve"> יצר</w:t>
      </w:r>
      <w:r w:rsidR="000D50F0">
        <w:rPr>
          <w:rFonts w:ascii="David" w:eastAsia="Times New Roman" w:hAnsi="David" w:cs="David" w:hint="cs"/>
          <w:sz w:val="24"/>
          <w:szCs w:val="24"/>
          <w:shd w:val="clear" w:color="auto" w:fill="FFFFFF"/>
          <w:rtl/>
        </w:rPr>
        <w:t>, צוינו לעיל בפרק הראשון</w:t>
      </w:r>
      <w:r>
        <w:rPr>
          <w:rFonts w:ascii="David" w:eastAsia="Times New Roman" w:hAnsi="David" w:cs="David" w:hint="cs"/>
          <w:sz w:val="24"/>
          <w:szCs w:val="24"/>
          <w:shd w:val="clear" w:color="auto" w:fill="FFFFFF"/>
          <w:rtl/>
        </w:rPr>
        <w:t xml:space="preserve">. </w:t>
      </w:r>
      <w:r w:rsidR="00D67191">
        <w:rPr>
          <w:rFonts w:ascii="David" w:hAnsi="David" w:cs="David" w:hint="cs"/>
          <w:sz w:val="24"/>
          <w:szCs w:val="24"/>
          <w:rtl/>
        </w:rPr>
        <w:t xml:space="preserve">השופטת בלהה בפס"ד מאוחדת </w:t>
      </w:r>
      <w:r>
        <w:rPr>
          <w:rFonts w:ascii="David" w:hAnsi="David" w:cs="David" w:hint="cs"/>
          <w:sz w:val="24"/>
          <w:szCs w:val="24"/>
          <w:rtl/>
        </w:rPr>
        <w:t xml:space="preserve">סתמה את הגולל וקבעה כי ניתן </w:t>
      </w:r>
      <w:r>
        <w:rPr>
          <w:rFonts w:ascii="David" w:hAnsi="David" w:cs="David" w:hint="cs"/>
          <w:sz w:val="24"/>
          <w:szCs w:val="24"/>
          <w:rtl/>
        </w:rPr>
        <w:t>להגיש תביעה עד תאריך 31.12.2017.</w:t>
      </w:r>
      <w:r>
        <w:rPr>
          <w:rStyle w:val="a7"/>
          <w:rFonts w:ascii="David" w:hAnsi="David" w:hint="default"/>
          <w:sz w:val="24"/>
          <w:szCs w:val="24"/>
          <w:rtl/>
        </w:rPr>
        <w:footnoteReference w:id="134"/>
      </w:r>
    </w:p>
    <w:p w:rsidR="00AB01A6" w:rsidRPr="008908AC" w:rsidRDefault="00AB01A6" w:rsidP="00AB01A6">
      <w:pPr>
        <w:spacing w:after="0" w:line="360" w:lineRule="auto"/>
        <w:jc w:val="both"/>
        <w:rPr>
          <w:rFonts w:ascii="David" w:hAnsi="David" w:cs="David" w:hint="default"/>
          <w:sz w:val="24"/>
          <w:szCs w:val="24"/>
          <w:rtl/>
        </w:rPr>
      </w:pPr>
    </w:p>
    <w:p w:rsidR="00AA043B" w:rsidRDefault="00BE211D" w:rsidP="00114FFA">
      <w:pPr>
        <w:spacing w:line="360" w:lineRule="auto"/>
        <w:jc w:val="both"/>
        <w:rPr>
          <w:rFonts w:ascii="David" w:eastAsia="Times New Roman" w:hAnsi="David" w:cs="David" w:hint="default"/>
          <w:b/>
          <w:bCs/>
          <w:sz w:val="24"/>
          <w:szCs w:val="24"/>
          <w:u w:val="single"/>
          <w:rtl/>
        </w:rPr>
      </w:pPr>
      <w:r>
        <w:rPr>
          <w:rFonts w:ascii="David" w:eastAsia="Times New Roman" w:hAnsi="David" w:cs="David" w:hint="cs"/>
          <w:b/>
          <w:bCs/>
          <w:sz w:val="24"/>
          <w:szCs w:val="24"/>
          <w:u w:val="single"/>
          <w:rtl/>
        </w:rPr>
        <w:t xml:space="preserve">ג4. משפט משווה </w:t>
      </w:r>
      <w:r>
        <w:rPr>
          <w:rFonts w:ascii="David" w:eastAsia="Times New Roman" w:hAnsi="David" w:cs="David" w:hint="default"/>
          <w:b/>
          <w:bCs/>
          <w:sz w:val="24"/>
          <w:szCs w:val="24"/>
          <w:u w:val="single"/>
          <w:rtl/>
        </w:rPr>
        <w:t>–</w:t>
      </w:r>
      <w:r>
        <w:rPr>
          <w:rFonts w:ascii="David" w:eastAsia="Times New Roman" w:hAnsi="David" w:cs="David" w:hint="cs"/>
          <w:b/>
          <w:bCs/>
          <w:sz w:val="24"/>
          <w:szCs w:val="24"/>
          <w:u w:val="single"/>
          <w:rtl/>
        </w:rPr>
        <w:t xml:space="preserve"> אחריות המדינה בנזיקין</w:t>
      </w:r>
    </w:p>
    <w:p w:rsidR="00FE3CF3" w:rsidRDefault="00BE211D" w:rsidP="00F528EA">
      <w:pPr>
        <w:spacing w:line="360" w:lineRule="auto"/>
        <w:jc w:val="both"/>
        <w:rPr>
          <w:rFonts w:ascii="David" w:hAnsi="David" w:cs="David" w:hint="default"/>
          <w:sz w:val="24"/>
          <w:szCs w:val="24"/>
          <w:rtl/>
        </w:rPr>
      </w:pPr>
      <w:r>
        <w:rPr>
          <w:rFonts w:ascii="David" w:hAnsi="David" w:cs="David" w:hint="cs"/>
          <w:sz w:val="24"/>
          <w:szCs w:val="24"/>
          <w:rtl/>
        </w:rPr>
        <w:t xml:space="preserve">המדינות שבהם </w:t>
      </w:r>
      <w:r w:rsidR="00F528EA">
        <w:rPr>
          <w:rFonts w:ascii="David" w:hAnsi="David" w:cs="David" w:hint="cs"/>
          <w:sz w:val="24"/>
          <w:szCs w:val="24"/>
          <w:rtl/>
        </w:rPr>
        <w:t>קיימים</w:t>
      </w:r>
      <w:r w:rsidR="007701A2">
        <w:rPr>
          <w:rFonts w:ascii="David" w:hAnsi="David" w:cs="David" w:hint="cs"/>
          <w:sz w:val="24"/>
          <w:szCs w:val="24"/>
          <w:rtl/>
        </w:rPr>
        <w:t xml:space="preserve"> דיני הנזיקין </w:t>
      </w:r>
      <w:r w:rsidR="00F528EA">
        <w:rPr>
          <w:rFonts w:ascii="David" w:hAnsi="David" w:cs="David" w:hint="cs"/>
          <w:sz w:val="24"/>
          <w:szCs w:val="24"/>
          <w:rtl/>
        </w:rPr>
        <w:t>הן מהמשפט המקובל האנגלי והן</w:t>
      </w:r>
      <w:r w:rsidR="007701A2">
        <w:rPr>
          <w:rFonts w:ascii="David" w:hAnsi="David" w:cs="David" w:hint="cs"/>
          <w:sz w:val="24"/>
          <w:szCs w:val="24"/>
          <w:rtl/>
        </w:rPr>
        <w:t xml:space="preserve"> עברו כברת דרך ארוכה. </w:t>
      </w:r>
      <w:r w:rsidR="003B6566">
        <w:rPr>
          <w:rFonts w:ascii="David" w:hAnsi="David" w:cs="David" w:hint="cs"/>
          <w:sz w:val="24"/>
          <w:szCs w:val="24"/>
          <w:rtl/>
        </w:rPr>
        <w:t>השיקולים שנהוגים במדינות קנדה, אוסטרליה, ניו זילנד, ארה"ב ואנגליה זהים לאלו הנהוגים במדינת ישראל.</w:t>
      </w:r>
      <w:r>
        <w:rPr>
          <w:rStyle w:val="a7"/>
          <w:rFonts w:ascii="David" w:hAnsi="David" w:hint="default"/>
          <w:sz w:val="24"/>
          <w:szCs w:val="24"/>
          <w:rtl/>
        </w:rPr>
        <w:footnoteReference w:id="135"/>
      </w:r>
      <w:r w:rsidR="008908AC">
        <w:rPr>
          <w:rFonts w:ascii="David" w:hAnsi="David" w:cs="David" w:hint="cs"/>
          <w:sz w:val="24"/>
          <w:szCs w:val="24"/>
          <w:rtl/>
        </w:rPr>
        <w:t xml:space="preserve"> כל שיטת משפט כפופה לפי </w:t>
      </w:r>
      <w:r>
        <w:rPr>
          <w:rFonts w:ascii="David" w:hAnsi="David" w:cs="David" w:hint="cs"/>
          <w:sz w:val="24"/>
          <w:szCs w:val="24"/>
          <w:rtl/>
        </w:rPr>
        <w:t>ה</w:t>
      </w:r>
      <w:r w:rsidR="008908AC">
        <w:rPr>
          <w:rFonts w:ascii="David" w:hAnsi="David" w:cs="David" w:hint="cs"/>
          <w:sz w:val="24"/>
          <w:szCs w:val="24"/>
          <w:rtl/>
        </w:rPr>
        <w:t xml:space="preserve">משטר </w:t>
      </w:r>
      <w:r>
        <w:rPr>
          <w:rFonts w:ascii="David" w:hAnsi="David" w:cs="David" w:hint="cs"/>
          <w:sz w:val="24"/>
          <w:szCs w:val="24"/>
          <w:rtl/>
        </w:rPr>
        <w:t>ה</w:t>
      </w:r>
      <w:r w:rsidR="008908AC">
        <w:rPr>
          <w:rFonts w:ascii="David" w:hAnsi="David" w:cs="David" w:hint="cs"/>
          <w:sz w:val="24"/>
          <w:szCs w:val="24"/>
          <w:rtl/>
        </w:rPr>
        <w:t>נזיקי שלה ולפי השיקולים והקשיים שהיא יוצרת לכן שאלת הרשלנות של רשויות ציבוריות משתנה בכל מדינה.</w:t>
      </w:r>
      <w:r>
        <w:rPr>
          <w:rFonts w:ascii="David" w:hAnsi="David" w:cs="David" w:hint="cs"/>
          <w:sz w:val="24"/>
          <w:szCs w:val="24"/>
          <w:rtl/>
        </w:rPr>
        <w:t xml:space="preserve"> ככל ששיטת משפט מחילה יותר הגבלות ועקרונות כך הטלת אחריות ברשלנות, כמו במקרים של נזק כלכלי טהור ונזק נפשי טהור.</w:t>
      </w:r>
      <w:r>
        <w:rPr>
          <w:rStyle w:val="a7"/>
          <w:rFonts w:ascii="David" w:hAnsi="David" w:hint="default"/>
          <w:sz w:val="24"/>
          <w:szCs w:val="24"/>
          <w:rtl/>
        </w:rPr>
        <w:footnoteReference w:id="136"/>
      </w:r>
      <w:r>
        <w:rPr>
          <w:rFonts w:ascii="David" w:hAnsi="David" w:cs="David" w:hint="cs"/>
          <w:sz w:val="24"/>
          <w:szCs w:val="24"/>
          <w:rtl/>
        </w:rPr>
        <w:t xml:space="preserve"> כך בעצם פוחת השימ</w:t>
      </w:r>
      <w:r>
        <w:rPr>
          <w:rFonts w:ascii="David" w:hAnsi="David" w:cs="David" w:hint="cs"/>
          <w:sz w:val="24"/>
          <w:szCs w:val="24"/>
          <w:rtl/>
        </w:rPr>
        <w:t xml:space="preserve">וש במקרים מיוחדים של מזיקים ונזקים. </w:t>
      </w:r>
      <w:r w:rsidR="00AE0336">
        <w:rPr>
          <w:rFonts w:ascii="David" w:hAnsi="David" w:cs="David" w:hint="cs"/>
          <w:sz w:val="24"/>
          <w:szCs w:val="24"/>
          <w:rtl/>
        </w:rPr>
        <w:t>אתרכז בתת פרק זה באחריות רשות ציבורית במשפט האנגלי.</w:t>
      </w:r>
    </w:p>
    <w:p w:rsidR="00C3793E" w:rsidRDefault="00BE211D" w:rsidP="001B340B">
      <w:pPr>
        <w:spacing w:line="360" w:lineRule="auto"/>
        <w:jc w:val="both"/>
        <w:rPr>
          <w:rFonts w:ascii="David" w:hAnsi="David" w:cs="David" w:hint="default"/>
          <w:sz w:val="24"/>
          <w:szCs w:val="24"/>
          <w:rtl/>
        </w:rPr>
      </w:pPr>
      <w:r>
        <w:rPr>
          <w:rFonts w:ascii="David" w:hAnsi="David" w:cs="David" w:hint="cs"/>
          <w:sz w:val="24"/>
          <w:szCs w:val="24"/>
          <w:rtl/>
        </w:rPr>
        <w:t>רשויות השלטון באנגליה נהנו מחסינות מפני תביעות נזיקין עד לשנת 1947, בין אם באחריות אישית ובאין אם באחריות שילוחית.</w:t>
      </w:r>
      <w:r>
        <w:rPr>
          <w:rStyle w:val="a7"/>
          <w:rFonts w:ascii="David" w:hAnsi="David" w:hint="default"/>
          <w:sz w:val="24"/>
          <w:szCs w:val="24"/>
          <w:rtl/>
        </w:rPr>
        <w:footnoteReference w:id="137"/>
      </w:r>
      <w:r>
        <w:rPr>
          <w:rFonts w:ascii="David" w:hAnsi="David" w:cs="David" w:hint="cs"/>
          <w:sz w:val="24"/>
          <w:szCs w:val="24"/>
          <w:rtl/>
        </w:rPr>
        <w:t xml:space="preserve"> </w:t>
      </w:r>
      <w:r w:rsidR="00422A25">
        <w:rPr>
          <w:rFonts w:ascii="David" w:hAnsi="David" w:cs="David" w:hint="cs"/>
          <w:sz w:val="24"/>
          <w:szCs w:val="24"/>
          <w:rtl/>
        </w:rPr>
        <w:t>תפיסתו</w:t>
      </w:r>
      <w:r w:rsidR="00ED0ED9">
        <w:rPr>
          <w:rFonts w:ascii="David" w:hAnsi="David" w:cs="David" w:hint="cs"/>
          <w:sz w:val="24"/>
          <w:szCs w:val="24"/>
          <w:rtl/>
        </w:rPr>
        <w:t xml:space="preserve"> של המשפט המקובל היא כי יש חסינות משום שסמכותו מעוגנת בחוק והוא לא </w:t>
      </w:r>
      <w:r w:rsidR="00ED0ED9">
        <w:rPr>
          <w:rFonts w:ascii="David" w:hAnsi="David" w:cs="David" w:hint="cs"/>
          <w:sz w:val="24"/>
          <w:szCs w:val="24"/>
          <w:rtl/>
        </w:rPr>
        <w:lastRenderedPageBreak/>
        <w:t xml:space="preserve">יכול להיתפס כמפר אותו. </w:t>
      </w:r>
      <w:r w:rsidR="00A7070D">
        <w:rPr>
          <w:rFonts w:ascii="David" w:hAnsi="David" w:cs="David" w:hint="cs"/>
          <w:sz w:val="24"/>
          <w:szCs w:val="24"/>
          <w:rtl/>
        </w:rPr>
        <w:t xml:space="preserve">קץ תפיסה זאת הגיעה לאחר מלחמת העולם השנייה בסעיף 2 של ה </w:t>
      </w:r>
      <w:r w:rsidR="00A7070D">
        <w:rPr>
          <w:rFonts w:ascii="David" w:hAnsi="David" w:cs="David" w:hint="default"/>
          <w:sz w:val="24"/>
          <w:szCs w:val="24"/>
          <w:rtl/>
        </w:rPr>
        <w:t>–</w:t>
      </w:r>
      <w:r w:rsidR="00A7070D">
        <w:rPr>
          <w:rFonts w:ascii="David" w:hAnsi="David" w:cs="David" w:hint="cs"/>
          <w:sz w:val="24"/>
          <w:szCs w:val="24"/>
          <w:rtl/>
        </w:rPr>
        <w:t xml:space="preserve"> </w:t>
      </w:r>
      <w:r w:rsidR="00A7070D">
        <w:rPr>
          <w:rFonts w:ascii="David" w:hAnsi="David" w:cs="David" w:hint="cs"/>
          <w:sz w:val="24"/>
          <w:szCs w:val="24"/>
        </w:rPr>
        <w:t>C</w:t>
      </w:r>
      <w:r w:rsidR="00A7070D">
        <w:rPr>
          <w:rFonts w:ascii="David" w:hAnsi="David" w:cs="David" w:hint="default"/>
          <w:sz w:val="24"/>
          <w:szCs w:val="24"/>
        </w:rPr>
        <w:t>rown Proceedings Act 1947</w:t>
      </w:r>
      <w:r w:rsidR="00A7070D">
        <w:rPr>
          <w:rFonts w:ascii="David" w:hAnsi="David" w:cs="David" w:hint="cs"/>
          <w:sz w:val="24"/>
          <w:szCs w:val="24"/>
          <w:rtl/>
        </w:rPr>
        <w:t>, שם נ</w:t>
      </w:r>
      <w:r w:rsidR="00150B34">
        <w:rPr>
          <w:rFonts w:ascii="David" w:hAnsi="David" w:cs="David" w:hint="cs"/>
          <w:sz w:val="24"/>
          <w:szCs w:val="24"/>
          <w:rtl/>
        </w:rPr>
        <w:t>קב</w:t>
      </w:r>
      <w:r w:rsidR="00A7070D">
        <w:rPr>
          <w:rFonts w:ascii="David" w:hAnsi="David" w:cs="David" w:hint="cs"/>
          <w:sz w:val="24"/>
          <w:szCs w:val="24"/>
          <w:rtl/>
        </w:rPr>
        <w:t>ע כי הכתר, קרי המלוכה</w:t>
      </w:r>
      <w:r w:rsidR="00282DFA">
        <w:rPr>
          <w:rFonts w:ascii="David" w:hAnsi="David" w:cs="David" w:hint="cs"/>
          <w:sz w:val="24"/>
          <w:szCs w:val="24"/>
          <w:rtl/>
        </w:rPr>
        <w:t>,</w:t>
      </w:r>
      <w:r w:rsidR="00A7070D">
        <w:rPr>
          <w:rFonts w:ascii="David" w:hAnsi="David" w:cs="David" w:hint="cs"/>
          <w:sz w:val="24"/>
          <w:szCs w:val="24"/>
          <w:rtl/>
        </w:rPr>
        <w:t xml:space="preserve"> כמו כל אדם פרטי עלול לחוב באחריות שילוחית לעוולות שלוחיו ועובדיו, וכן יישא באחריות אישית אם כמעביד, בעלים, מזיק, בעל שליטה או כמפר חובה חקוקה.</w:t>
      </w:r>
      <w:r>
        <w:rPr>
          <w:rStyle w:val="a7"/>
          <w:rFonts w:ascii="David" w:hAnsi="David" w:hint="default"/>
          <w:sz w:val="24"/>
          <w:szCs w:val="24"/>
          <w:rtl/>
        </w:rPr>
        <w:footnoteReference w:id="138"/>
      </w:r>
      <w:r w:rsidR="00A7070D">
        <w:rPr>
          <w:rFonts w:ascii="David" w:hAnsi="David" w:cs="David" w:hint="cs"/>
          <w:sz w:val="24"/>
          <w:szCs w:val="24"/>
          <w:rtl/>
        </w:rPr>
        <w:t xml:space="preserve"> </w:t>
      </w:r>
      <w:r w:rsidR="00302D46">
        <w:rPr>
          <w:rFonts w:ascii="David" w:hAnsi="David" w:cs="David" w:hint="cs"/>
          <w:sz w:val="24"/>
          <w:szCs w:val="24"/>
          <w:rtl/>
        </w:rPr>
        <w:t>המשפט האנגלי יצר מנגנונים וכללים מיוחדים להתפתחות דין אחריות לרשויות ציבור</w:t>
      </w:r>
      <w:r w:rsidR="009C2711">
        <w:rPr>
          <w:rFonts w:ascii="David" w:hAnsi="David" w:cs="David" w:hint="cs"/>
          <w:sz w:val="24"/>
          <w:szCs w:val="24"/>
          <w:rtl/>
        </w:rPr>
        <w:t xml:space="preserve">. </w:t>
      </w:r>
      <w:r w:rsidR="000F1CE1">
        <w:rPr>
          <w:rFonts w:ascii="David" w:hAnsi="David" w:cs="David" w:hint="cs"/>
          <w:sz w:val="24"/>
          <w:szCs w:val="24"/>
          <w:rtl/>
        </w:rPr>
        <w:t xml:space="preserve">המשפט האנגלי התמודד עם שאלת העוולה במהלך פעילותה השלטונית של הרשות הציבורית בכך שפעולה זו בוצעה במהלך קיום חובה שהוטל עלייה בחיקוק או במהלך הסמכויות שהחיקוק הקנה לה. בכך, ההגנה לרשות הציבורית </w:t>
      </w:r>
      <w:r w:rsidR="001B340B">
        <w:rPr>
          <w:rFonts w:ascii="David" w:hAnsi="David" w:cs="David" w:hint="cs"/>
          <w:sz w:val="24"/>
          <w:szCs w:val="24"/>
          <w:rtl/>
        </w:rPr>
        <w:t xml:space="preserve">תחול </w:t>
      </w:r>
      <w:r w:rsidR="000F1CE1">
        <w:rPr>
          <w:rFonts w:ascii="David" w:hAnsi="David" w:cs="David" w:hint="cs"/>
          <w:sz w:val="24"/>
          <w:szCs w:val="24"/>
          <w:rtl/>
        </w:rPr>
        <w:t xml:space="preserve">רק אם זה נופל במתחם הסבירות. זאת </w:t>
      </w:r>
      <w:r w:rsidR="001B340B">
        <w:rPr>
          <w:rFonts w:ascii="David" w:hAnsi="David" w:cs="David" w:hint="cs"/>
          <w:sz w:val="24"/>
          <w:szCs w:val="24"/>
          <w:rtl/>
        </w:rPr>
        <w:t>בהתאם להנחה</w:t>
      </w:r>
      <w:r w:rsidR="000F1CE1">
        <w:rPr>
          <w:rFonts w:ascii="David" w:hAnsi="David" w:cs="David" w:hint="cs"/>
          <w:sz w:val="24"/>
          <w:szCs w:val="24"/>
          <w:rtl/>
        </w:rPr>
        <w:t xml:space="preserve"> כי החיקוק לא מטיל על הרשות לפעול באי סבירות, אלא אם כן הדבר נקבע במפורש.</w:t>
      </w:r>
      <w:r>
        <w:rPr>
          <w:rStyle w:val="a7"/>
          <w:rFonts w:ascii="David" w:hAnsi="David" w:hint="default"/>
          <w:sz w:val="24"/>
          <w:szCs w:val="24"/>
          <w:rtl/>
        </w:rPr>
        <w:footnoteReference w:id="139"/>
      </w:r>
    </w:p>
    <w:p w:rsidR="00AE0336" w:rsidRDefault="00BE211D" w:rsidP="00646FE8">
      <w:pPr>
        <w:spacing w:line="360" w:lineRule="auto"/>
        <w:jc w:val="both"/>
        <w:rPr>
          <w:rFonts w:ascii="David" w:hAnsi="David" w:cs="David" w:hint="default"/>
          <w:sz w:val="24"/>
          <w:szCs w:val="24"/>
          <w:rtl/>
        </w:rPr>
      </w:pPr>
      <w:r>
        <w:rPr>
          <w:rFonts w:ascii="David" w:hAnsi="David" w:cs="David" w:hint="cs"/>
          <w:sz w:val="24"/>
          <w:szCs w:val="24"/>
          <w:rtl/>
        </w:rPr>
        <w:t xml:space="preserve"> </w:t>
      </w:r>
      <w:r w:rsidRPr="00C3793E">
        <w:rPr>
          <w:rFonts w:ascii="David" w:hAnsi="David" w:cs="David" w:hint="cs"/>
          <w:sz w:val="24"/>
          <w:szCs w:val="24"/>
          <w:u w:val="single"/>
          <w:rtl/>
        </w:rPr>
        <w:t>בעניין קיום חובה חוקית</w:t>
      </w:r>
      <w:r>
        <w:rPr>
          <w:rFonts w:ascii="David" w:hAnsi="David" w:cs="David" w:hint="cs"/>
          <w:sz w:val="24"/>
          <w:szCs w:val="24"/>
          <w:rtl/>
        </w:rPr>
        <w:t>, הגנת הפעולה תהא במקום בו בוצעה רשלנות בקיום החובה. ואילו בעניין הפעלת סמכות חוקית, הכלל קובע במקום בו ביצוע העוולה היה תוצאה בלתי נמנעת של הפעלת סמכות תהנה הרשות מהגנת החיקוק המסמיך.</w:t>
      </w:r>
      <w:r>
        <w:rPr>
          <w:rStyle w:val="a7"/>
          <w:rFonts w:ascii="David" w:hAnsi="David" w:hint="default"/>
          <w:sz w:val="24"/>
          <w:szCs w:val="24"/>
          <w:rtl/>
        </w:rPr>
        <w:footnoteReference w:id="140"/>
      </w:r>
      <w:r w:rsidRPr="000F1CE1">
        <w:rPr>
          <w:rStyle w:val="a7"/>
          <w:rFonts w:ascii="David" w:hAnsi="David" w:hint="default"/>
          <w:sz w:val="24"/>
          <w:szCs w:val="24"/>
          <w:rtl/>
        </w:rPr>
        <w:t xml:space="preserve"> </w:t>
      </w:r>
      <w:r w:rsidR="006A232F">
        <w:rPr>
          <w:rFonts w:ascii="David" w:hAnsi="David" w:cs="David" w:hint="cs"/>
          <w:sz w:val="24"/>
          <w:szCs w:val="24"/>
          <w:rtl/>
        </w:rPr>
        <w:t>מנגד ניתן לראות כי הכלל במשפט האנגלי</w:t>
      </w:r>
      <w:r w:rsidR="00DD297D">
        <w:rPr>
          <w:rFonts w:ascii="David" w:hAnsi="David" w:cs="David" w:hint="cs"/>
          <w:sz w:val="24"/>
          <w:szCs w:val="24"/>
          <w:rtl/>
        </w:rPr>
        <w:t xml:space="preserve"> הוא כי</w:t>
      </w:r>
      <w:r w:rsidR="006A232F">
        <w:rPr>
          <w:rFonts w:ascii="David" w:hAnsi="David" w:cs="David" w:hint="cs"/>
          <w:sz w:val="24"/>
          <w:szCs w:val="24"/>
          <w:rtl/>
        </w:rPr>
        <w:t xml:space="preserve"> ברגע שרשות ציבורית פועלת במתחם הסבירות בקיום חובותיה והפעלת סמכויותיה לא תוטל עליה אחריות חמורה. זאת מהטעם כי אין היגיון בהוצא</w:t>
      </w:r>
      <w:r w:rsidR="006A6339">
        <w:rPr>
          <w:rFonts w:ascii="David" w:hAnsi="David" w:cs="David" w:hint="cs"/>
          <w:sz w:val="24"/>
          <w:szCs w:val="24"/>
          <w:rtl/>
        </w:rPr>
        <w:t>ת צו מניעה נגד הרשות או לחילופין</w:t>
      </w:r>
      <w:r w:rsidR="006A232F">
        <w:rPr>
          <w:rFonts w:ascii="David" w:hAnsi="David" w:cs="David" w:hint="cs"/>
          <w:sz w:val="24"/>
          <w:szCs w:val="24"/>
          <w:rtl/>
        </w:rPr>
        <w:t xml:space="preserve"> חיובה בפיצויים כאשר היא פועלת באורח סביר להגשמת המטרות שלשמן הוקמה. </w:t>
      </w:r>
      <w:r w:rsidR="006A6339">
        <w:rPr>
          <w:rFonts w:ascii="David" w:hAnsi="David" w:cs="David" w:hint="cs"/>
          <w:sz w:val="24"/>
          <w:szCs w:val="24"/>
          <w:rtl/>
        </w:rPr>
        <w:t>בעניין זה נכנס לתמונה שלנו אופיין</w:t>
      </w:r>
      <w:r w:rsidR="006A232F">
        <w:rPr>
          <w:rFonts w:ascii="David" w:hAnsi="David" w:cs="David" w:hint="cs"/>
          <w:sz w:val="24"/>
          <w:szCs w:val="24"/>
          <w:rtl/>
        </w:rPr>
        <w:t xml:space="preserve"> הייחודי של העוולות הציבוריות, כי האינטרס הפרטי של הניזוק מפעילותה של הרשות הציבורית נדחה מפני שהערך החברתי של אותה פעילות </w:t>
      </w:r>
      <w:r w:rsidR="00646FE8">
        <w:rPr>
          <w:rFonts w:ascii="David" w:hAnsi="David" w:cs="David" w:hint="cs"/>
          <w:sz w:val="24"/>
          <w:szCs w:val="24"/>
          <w:rtl/>
        </w:rPr>
        <w:t xml:space="preserve">הוא </w:t>
      </w:r>
      <w:r w:rsidR="006A232F">
        <w:rPr>
          <w:rFonts w:ascii="David" w:hAnsi="David" w:cs="David" w:hint="cs"/>
          <w:sz w:val="24"/>
          <w:szCs w:val="24"/>
          <w:rtl/>
        </w:rPr>
        <w:t>מהסיבה שהוא בוצע בהסמכת המחוקק.</w:t>
      </w:r>
      <w:r>
        <w:rPr>
          <w:rStyle w:val="a7"/>
          <w:rFonts w:ascii="David" w:hAnsi="David" w:hint="default"/>
          <w:sz w:val="24"/>
          <w:szCs w:val="24"/>
          <w:rtl/>
        </w:rPr>
        <w:footnoteReference w:id="141"/>
      </w:r>
      <w:r w:rsidR="006A232F">
        <w:rPr>
          <w:rFonts w:ascii="David" w:hAnsi="David" w:cs="David" w:hint="cs"/>
          <w:sz w:val="24"/>
          <w:szCs w:val="24"/>
          <w:rtl/>
        </w:rPr>
        <w:t xml:space="preserve"> </w:t>
      </w:r>
      <w:r w:rsidR="006C2A8D">
        <w:rPr>
          <w:rFonts w:ascii="David" w:hAnsi="David" w:cs="David" w:hint="cs"/>
          <w:sz w:val="24"/>
          <w:szCs w:val="24"/>
          <w:rtl/>
        </w:rPr>
        <w:t>הגנה זאת לא נותנת מענה הולם לצורך לעצב את די</w:t>
      </w:r>
      <w:r w:rsidR="00D97E43">
        <w:rPr>
          <w:rFonts w:ascii="David" w:hAnsi="David" w:cs="David" w:hint="cs"/>
          <w:sz w:val="24"/>
          <w:szCs w:val="24"/>
          <w:rtl/>
        </w:rPr>
        <w:t>נ</w:t>
      </w:r>
      <w:r w:rsidR="006C2A8D">
        <w:rPr>
          <w:rFonts w:ascii="David" w:hAnsi="David" w:cs="David" w:hint="cs"/>
          <w:sz w:val="24"/>
          <w:szCs w:val="24"/>
          <w:rtl/>
        </w:rPr>
        <w:t xml:space="preserve">י הנזיקין לרשויות הציבוריות. </w:t>
      </w:r>
      <w:r w:rsidR="00EE335E">
        <w:rPr>
          <w:rFonts w:ascii="David" w:hAnsi="David" w:cs="David" w:hint="cs"/>
          <w:sz w:val="24"/>
          <w:szCs w:val="24"/>
          <w:rtl/>
        </w:rPr>
        <w:t xml:space="preserve">לכן, עיקר מלאכת העיצוב של דיני הנזיקין נעשה במשפט האנגלי באמצעות כלים אחרים. </w:t>
      </w:r>
    </w:p>
    <w:p w:rsidR="00C3793E" w:rsidRDefault="00BE211D" w:rsidP="008F73E6">
      <w:pPr>
        <w:spacing w:line="360" w:lineRule="auto"/>
        <w:jc w:val="both"/>
        <w:rPr>
          <w:rFonts w:ascii="David" w:hAnsi="David" w:cs="David" w:hint="default"/>
          <w:sz w:val="24"/>
          <w:szCs w:val="24"/>
          <w:rtl/>
        </w:rPr>
      </w:pPr>
      <w:r>
        <w:rPr>
          <w:rFonts w:ascii="David" w:hAnsi="David" w:cs="David" w:hint="cs"/>
          <w:sz w:val="24"/>
          <w:szCs w:val="24"/>
          <w:u w:val="single"/>
          <w:rtl/>
        </w:rPr>
        <w:t>בעניין הגבלת האחריות בגין מחדלים,</w:t>
      </w:r>
      <w:r>
        <w:rPr>
          <w:rFonts w:ascii="David" w:hAnsi="David" w:cs="David" w:hint="cs"/>
          <w:sz w:val="24"/>
          <w:szCs w:val="24"/>
          <w:rtl/>
        </w:rPr>
        <w:t xml:space="preserve"> </w:t>
      </w:r>
      <w:r w:rsidR="001C6304">
        <w:rPr>
          <w:rFonts w:ascii="David" w:hAnsi="David" w:cs="David" w:hint="cs"/>
          <w:sz w:val="24"/>
          <w:szCs w:val="24"/>
          <w:rtl/>
        </w:rPr>
        <w:t>נקבע בהלכת איסט ספולק כי רשות תהא אחראית ברשלנות בגין מחדל, במקום בו הופרה הפרת חובה שהחיקוק המסמיך מטיל עליה.</w:t>
      </w:r>
      <w:r w:rsidR="0042213A" w:rsidRPr="0042213A">
        <w:rPr>
          <w:rStyle w:val="a7"/>
          <w:rFonts w:ascii="David" w:hAnsi="David" w:hint="default"/>
          <w:sz w:val="24"/>
          <w:szCs w:val="24"/>
          <w:rtl/>
        </w:rPr>
        <w:t xml:space="preserve"> </w:t>
      </w:r>
      <w:r>
        <w:rPr>
          <w:rStyle w:val="a7"/>
          <w:rFonts w:ascii="David" w:hAnsi="David" w:hint="default"/>
          <w:sz w:val="24"/>
          <w:szCs w:val="24"/>
          <w:rtl/>
        </w:rPr>
        <w:footnoteReference w:id="142"/>
      </w:r>
      <w:r w:rsidR="001C6304">
        <w:rPr>
          <w:rFonts w:ascii="David" w:hAnsi="David" w:cs="David" w:hint="cs"/>
          <w:sz w:val="24"/>
          <w:szCs w:val="24"/>
          <w:rtl/>
        </w:rPr>
        <w:t xml:space="preserve"> </w:t>
      </w:r>
      <w:r w:rsidR="0042213A">
        <w:rPr>
          <w:rFonts w:ascii="David" w:hAnsi="David" w:cs="David" w:hint="cs"/>
          <w:sz w:val="24"/>
          <w:szCs w:val="24"/>
          <w:rtl/>
        </w:rPr>
        <w:t>מנגד, כאשר לרשות מוקנה שיקול דעת להפעיל את סמכותה, היא לא תהיה אחראית בנזיקין, זאת להבדיל מחובתה לעשות או לחדול.</w:t>
      </w:r>
      <w:r>
        <w:rPr>
          <w:rStyle w:val="a7"/>
          <w:rFonts w:ascii="David" w:hAnsi="David" w:hint="default"/>
          <w:sz w:val="24"/>
          <w:szCs w:val="24"/>
          <w:rtl/>
        </w:rPr>
        <w:footnoteReference w:id="143"/>
      </w:r>
      <w:r w:rsidR="0042213A">
        <w:rPr>
          <w:rFonts w:ascii="David" w:hAnsi="David" w:cs="David" w:hint="cs"/>
          <w:sz w:val="24"/>
          <w:szCs w:val="24"/>
          <w:rtl/>
        </w:rPr>
        <w:t xml:space="preserve"> </w:t>
      </w:r>
      <w:r w:rsidR="004115D3">
        <w:rPr>
          <w:rFonts w:ascii="David" w:hAnsi="David" w:cs="David" w:hint="cs"/>
          <w:sz w:val="24"/>
          <w:szCs w:val="24"/>
          <w:rtl/>
        </w:rPr>
        <w:t>כאמור לכלל זה חריג, רשות תישא באחריות בגין פגם בהפעלת סמכות רשות, רק אם מצבו של התובע הורע לעומת מצבו הקודם אלמלא הופעלה הסמכות. במילים אחרות, מקום בו נגרם לו נזק נוסף. הלכת איסט ספולק שניתנה בשנת 1941 שונתה בהחלטת בית הלורדים בשנת 1977 בעניין אן.</w:t>
      </w:r>
      <w:r>
        <w:rPr>
          <w:rStyle w:val="a7"/>
          <w:rFonts w:ascii="David" w:hAnsi="David" w:hint="default"/>
          <w:sz w:val="24"/>
          <w:szCs w:val="24"/>
          <w:rtl/>
        </w:rPr>
        <w:footnoteReference w:id="144"/>
      </w:r>
      <w:r w:rsidR="004115D3">
        <w:rPr>
          <w:rFonts w:ascii="David" w:hAnsi="David" w:cs="David" w:hint="cs"/>
          <w:sz w:val="24"/>
          <w:szCs w:val="24"/>
          <w:rtl/>
        </w:rPr>
        <w:t xml:space="preserve"> </w:t>
      </w:r>
      <w:r w:rsidR="002D2931">
        <w:rPr>
          <w:rFonts w:ascii="David" w:hAnsi="David" w:cs="David" w:hint="cs"/>
          <w:sz w:val="24"/>
          <w:szCs w:val="24"/>
          <w:rtl/>
        </w:rPr>
        <w:t xml:space="preserve">במקרה זה נקבע כי אחריות ברשלנות </w:t>
      </w:r>
      <w:r w:rsidR="004F33EB">
        <w:rPr>
          <w:rFonts w:ascii="David" w:hAnsi="David" w:cs="David" w:hint="cs"/>
          <w:sz w:val="24"/>
          <w:szCs w:val="24"/>
          <w:rtl/>
        </w:rPr>
        <w:t xml:space="preserve">יהא חשוף </w:t>
      </w:r>
      <w:r w:rsidR="002D2931">
        <w:rPr>
          <w:rFonts w:ascii="David" w:hAnsi="David" w:cs="David" w:hint="cs"/>
          <w:sz w:val="24"/>
          <w:szCs w:val="24"/>
          <w:rtl/>
        </w:rPr>
        <w:t xml:space="preserve">במקרים של מחדל טהור של אי מניעת סיכון שצד שלישי יצר. למרות שחלקים חשובים </w:t>
      </w:r>
      <w:r w:rsidR="004F33EB">
        <w:rPr>
          <w:rFonts w:ascii="David" w:hAnsi="David" w:cs="David" w:hint="cs"/>
          <w:sz w:val="24"/>
          <w:szCs w:val="24"/>
          <w:rtl/>
        </w:rPr>
        <w:t xml:space="preserve">של הלכת אן </w:t>
      </w:r>
      <w:r w:rsidR="002D2931">
        <w:rPr>
          <w:rFonts w:ascii="David" w:hAnsi="David" w:cs="David" w:hint="cs"/>
          <w:sz w:val="24"/>
          <w:szCs w:val="24"/>
          <w:rtl/>
        </w:rPr>
        <w:t xml:space="preserve">בוטלו, ההכרה העקרונית באחריות הרשות במקרה של מחדל טהור אשר מפעילה שיקול דעת עודנה ניצבת איתנה.  </w:t>
      </w:r>
      <w:r w:rsidR="00BC6C40">
        <w:rPr>
          <w:rFonts w:ascii="David" w:hAnsi="David" w:cs="David" w:hint="cs"/>
          <w:sz w:val="24"/>
          <w:szCs w:val="24"/>
          <w:rtl/>
        </w:rPr>
        <w:t xml:space="preserve">בהלכת אן, הושמו סייגים לאחריות הרשות. המשפט האנגלי פיתח סייגים שונים לאחריות באמצעות טכניקות משפטיות שניתן היה לשמר את האחריות בגבולות ראויים, זאת על אף החידוש שבעניין אן. </w:t>
      </w:r>
      <w:r w:rsidR="003174F5">
        <w:rPr>
          <w:rFonts w:ascii="David" w:hAnsi="David" w:cs="David" w:hint="cs"/>
          <w:sz w:val="24"/>
          <w:szCs w:val="24"/>
          <w:rtl/>
        </w:rPr>
        <w:t xml:space="preserve">ניתן לראות שעל אף שנוצר ריכוך כללי, ביטול ההבחנה בין מעשה לבין מחדל אינו מתיישב כאחד עם הצורך בצמצום אחריותה של הרשות. למרות שבפן הזה הלכת אן טרם בוטל, פסיקה מאוחרת באנגליה מתחה ביקורת </w:t>
      </w:r>
      <w:r w:rsidR="008F73E6">
        <w:rPr>
          <w:rFonts w:ascii="David" w:hAnsi="David" w:cs="David" w:hint="cs"/>
          <w:sz w:val="24"/>
          <w:szCs w:val="24"/>
          <w:rtl/>
        </w:rPr>
        <w:t>וביהמ"ש</w:t>
      </w:r>
      <w:r w:rsidR="003174F5">
        <w:rPr>
          <w:rFonts w:ascii="David" w:hAnsi="David" w:cs="David" w:hint="cs"/>
          <w:sz w:val="24"/>
          <w:szCs w:val="24"/>
          <w:rtl/>
        </w:rPr>
        <w:t xml:space="preserve"> באוסטריה </w:t>
      </w:r>
      <w:r w:rsidR="003174F5">
        <w:rPr>
          <w:rFonts w:ascii="David" w:hAnsi="David" w:cs="David" w:hint="cs"/>
          <w:sz w:val="24"/>
          <w:szCs w:val="24"/>
          <w:rtl/>
        </w:rPr>
        <w:lastRenderedPageBreak/>
        <w:t>לא אימץ זאת.</w:t>
      </w:r>
      <w:r>
        <w:rPr>
          <w:rStyle w:val="a7"/>
          <w:rFonts w:ascii="David" w:hAnsi="David" w:hint="default"/>
          <w:sz w:val="24"/>
          <w:szCs w:val="24"/>
          <w:rtl/>
        </w:rPr>
        <w:footnoteReference w:id="145"/>
      </w:r>
      <w:r w:rsidR="003174F5">
        <w:rPr>
          <w:rFonts w:ascii="David" w:hAnsi="David" w:cs="David" w:hint="cs"/>
          <w:sz w:val="24"/>
          <w:szCs w:val="24"/>
          <w:rtl/>
        </w:rPr>
        <w:t xml:space="preserve"> </w:t>
      </w:r>
      <w:r w:rsidR="00586F50">
        <w:rPr>
          <w:rFonts w:ascii="David" w:hAnsi="David" w:cs="David" w:hint="cs"/>
          <w:sz w:val="24"/>
          <w:szCs w:val="24"/>
          <w:rtl/>
        </w:rPr>
        <w:t>בהלכת אן הורחבה האחריות בגין מחדלים רשלניים והוא לוותה בניסיון לצמצם את תחומי האחריות באמצעות הבחנה מהמשפט האמריקאי.</w:t>
      </w:r>
      <w:r>
        <w:rPr>
          <w:rStyle w:val="a7"/>
          <w:rFonts w:ascii="David" w:hAnsi="David" w:hint="default"/>
          <w:sz w:val="24"/>
          <w:szCs w:val="24"/>
          <w:rtl/>
        </w:rPr>
        <w:footnoteReference w:id="146"/>
      </w:r>
      <w:r w:rsidR="008F73E6">
        <w:rPr>
          <w:rFonts w:ascii="David" w:hAnsi="David" w:cs="David" w:hint="cs"/>
          <w:sz w:val="24"/>
          <w:szCs w:val="24"/>
          <w:rtl/>
        </w:rPr>
        <w:t>ביהמ"ש</w:t>
      </w:r>
      <w:r w:rsidR="00FB2EF7">
        <w:rPr>
          <w:rFonts w:ascii="David" w:hAnsi="David" w:cs="David" w:hint="cs"/>
          <w:sz w:val="24"/>
          <w:szCs w:val="24"/>
          <w:rtl/>
        </w:rPr>
        <w:t xml:space="preserve"> בעניין אן פסק כי החלטות שבמדיניות אינן משמ</w:t>
      </w:r>
      <w:r w:rsidR="003511E1">
        <w:rPr>
          <w:rFonts w:ascii="David" w:hAnsi="David" w:cs="David" w:hint="cs"/>
          <w:sz w:val="24"/>
          <w:szCs w:val="24"/>
          <w:rtl/>
        </w:rPr>
        <w:t>ש</w:t>
      </w:r>
      <w:r w:rsidR="00FB2EF7">
        <w:rPr>
          <w:rFonts w:ascii="David" w:hAnsi="David" w:cs="David" w:hint="cs"/>
          <w:sz w:val="24"/>
          <w:szCs w:val="24"/>
          <w:rtl/>
        </w:rPr>
        <w:t>ות נושא לביקורת</w:t>
      </w:r>
      <w:r w:rsidR="005F3564">
        <w:rPr>
          <w:rFonts w:ascii="David" w:hAnsi="David" w:cs="David" w:hint="cs"/>
          <w:sz w:val="24"/>
          <w:szCs w:val="24"/>
          <w:rtl/>
        </w:rPr>
        <w:t xml:space="preserve"> שיפוטית באמצעות עוולת הרשלנות. ב</w:t>
      </w:r>
      <w:r w:rsidR="00CC7A73">
        <w:rPr>
          <w:rFonts w:ascii="David" w:hAnsi="David" w:cs="David" w:hint="cs"/>
          <w:sz w:val="24"/>
          <w:szCs w:val="24"/>
          <w:rtl/>
        </w:rPr>
        <w:t xml:space="preserve">אופן עקרוני הדין לא מכיר בקיומה של חובת זהירות שבין הרשות לבין מי שעלול להיפגע ממדיניותה, מכאן שתביעה כזאת תדחה על הסף. </w:t>
      </w:r>
      <w:r w:rsidR="00683E53">
        <w:rPr>
          <w:rFonts w:ascii="David" w:hAnsi="David" w:cs="David" w:hint="cs"/>
          <w:sz w:val="24"/>
          <w:szCs w:val="24"/>
          <w:rtl/>
        </w:rPr>
        <w:t>לעומת זאת, החלטות ביצוע משמשות נושא לביקורת שיפוטית, כאשר השאלה אם חלה חובת זהירות בקשר עם החלט</w:t>
      </w:r>
      <w:r w:rsidR="00142DDD">
        <w:rPr>
          <w:rFonts w:ascii="David" w:hAnsi="David" w:cs="David" w:hint="cs"/>
          <w:sz w:val="24"/>
          <w:szCs w:val="24"/>
          <w:rtl/>
        </w:rPr>
        <w:t>ה</w:t>
      </w:r>
      <w:r w:rsidR="00683E53">
        <w:rPr>
          <w:rFonts w:ascii="David" w:hAnsi="David" w:cs="David" w:hint="cs"/>
          <w:sz w:val="24"/>
          <w:szCs w:val="24"/>
          <w:rtl/>
        </w:rPr>
        <w:t xml:space="preserve"> ביצועית תוכרע לפי נסיבות המקרה וכל מקרה לגופו.</w:t>
      </w:r>
      <w:r>
        <w:rPr>
          <w:rStyle w:val="a7"/>
          <w:rFonts w:ascii="David" w:hAnsi="David" w:hint="default"/>
          <w:sz w:val="24"/>
          <w:szCs w:val="24"/>
          <w:rtl/>
        </w:rPr>
        <w:footnoteReference w:id="147"/>
      </w:r>
      <w:r w:rsidR="00683E53">
        <w:rPr>
          <w:rFonts w:ascii="David" w:hAnsi="David" w:cs="David" w:hint="cs"/>
          <w:sz w:val="24"/>
          <w:szCs w:val="24"/>
          <w:rtl/>
        </w:rPr>
        <w:t xml:space="preserve"> </w:t>
      </w:r>
      <w:r w:rsidR="00477115">
        <w:rPr>
          <w:rFonts w:ascii="David" w:hAnsi="David" w:cs="David" w:hint="cs"/>
          <w:sz w:val="24"/>
          <w:szCs w:val="24"/>
          <w:rtl/>
        </w:rPr>
        <w:t>ההבחנה בין מדיניות לבין ביצוע לא באה להרחיב או לבסס את האחריות המוטלת על החלטות ביצועיות. בהלכת אן הודגש כי הטלת אחריות על החלטות ביצוע כפופה לכל המגבלות והסייגים שבדין הרשלנות. על אף שהבחנה זאת הג</w:t>
      </w:r>
      <w:r w:rsidR="001144C6">
        <w:rPr>
          <w:rFonts w:ascii="David" w:hAnsi="David" w:cs="David" w:hint="cs"/>
          <w:sz w:val="24"/>
          <w:szCs w:val="24"/>
          <w:rtl/>
        </w:rPr>
        <w:t>י</w:t>
      </w:r>
      <w:r w:rsidR="00477115">
        <w:rPr>
          <w:rFonts w:ascii="David" w:hAnsi="David" w:cs="David" w:hint="cs"/>
          <w:sz w:val="24"/>
          <w:szCs w:val="24"/>
          <w:rtl/>
        </w:rPr>
        <w:t>עה מהמשפט האנגלי, בשביל שיהיה ניתן להגביל את אחריות הרשות בגין המחדלים, יהא זה גם בצמצום האחריות בגין יצירת סיכון אקטיבי.</w:t>
      </w:r>
      <w:r>
        <w:rPr>
          <w:rStyle w:val="a7"/>
          <w:rFonts w:ascii="David" w:hAnsi="David" w:hint="default"/>
          <w:sz w:val="24"/>
          <w:szCs w:val="24"/>
          <w:rtl/>
        </w:rPr>
        <w:footnoteReference w:id="148"/>
      </w:r>
      <w:r w:rsidR="00477115">
        <w:rPr>
          <w:rFonts w:ascii="David" w:hAnsi="David" w:cs="David" w:hint="cs"/>
          <w:sz w:val="24"/>
          <w:szCs w:val="24"/>
          <w:rtl/>
        </w:rPr>
        <w:t xml:space="preserve"> </w:t>
      </w:r>
      <w:r w:rsidR="008C2306">
        <w:rPr>
          <w:rFonts w:ascii="David" w:hAnsi="David" w:cs="David" w:hint="cs"/>
          <w:sz w:val="24"/>
          <w:szCs w:val="24"/>
          <w:rtl/>
        </w:rPr>
        <w:t xml:space="preserve">אולם, </w:t>
      </w:r>
      <w:r w:rsidR="00A25373">
        <w:rPr>
          <w:rFonts w:ascii="David" w:hAnsi="David" w:cs="David" w:hint="cs"/>
          <w:sz w:val="24"/>
          <w:szCs w:val="24"/>
          <w:rtl/>
        </w:rPr>
        <w:t xml:space="preserve">שיקול </w:t>
      </w:r>
      <w:r w:rsidR="008C2306">
        <w:rPr>
          <w:rFonts w:ascii="David" w:hAnsi="David" w:cs="David" w:hint="cs"/>
          <w:sz w:val="24"/>
          <w:szCs w:val="24"/>
          <w:rtl/>
        </w:rPr>
        <w:t>ה</w:t>
      </w:r>
      <w:r w:rsidR="00A25373">
        <w:rPr>
          <w:rFonts w:ascii="David" w:hAnsi="David" w:cs="David" w:hint="cs"/>
          <w:sz w:val="24"/>
          <w:szCs w:val="24"/>
          <w:rtl/>
        </w:rPr>
        <w:t>דעת שבמדיניות שנ</w:t>
      </w:r>
      <w:r w:rsidR="005B3221">
        <w:rPr>
          <w:rFonts w:ascii="David" w:hAnsi="David" w:cs="David" w:hint="cs"/>
          <w:sz w:val="24"/>
          <w:szCs w:val="24"/>
          <w:rtl/>
        </w:rPr>
        <w:t>יתן בהלכת אן לעניין החסינות אינו מוחלט</w:t>
      </w:r>
      <w:r w:rsidR="00A25373">
        <w:rPr>
          <w:rFonts w:ascii="David" w:hAnsi="David" w:cs="David" w:hint="cs"/>
          <w:sz w:val="24"/>
          <w:szCs w:val="24"/>
          <w:rtl/>
        </w:rPr>
        <w:t xml:space="preserve">. החלטת מדיניות הנעשית מחוץ לסמכות </w:t>
      </w:r>
      <w:r w:rsidR="00214987">
        <w:rPr>
          <w:rFonts w:ascii="David" w:hAnsi="David" w:cs="David" w:hint="cs"/>
          <w:sz w:val="24"/>
          <w:szCs w:val="24"/>
          <w:rtl/>
        </w:rPr>
        <w:t>לא</w:t>
      </w:r>
      <w:r w:rsidR="00A25373">
        <w:rPr>
          <w:rFonts w:ascii="David" w:hAnsi="David" w:cs="David" w:hint="cs"/>
          <w:sz w:val="24"/>
          <w:szCs w:val="24"/>
          <w:rtl/>
        </w:rPr>
        <w:t xml:space="preserve"> תהא מוגנת, אם יוכח </w:t>
      </w:r>
      <w:r w:rsidR="00CF39A5">
        <w:rPr>
          <w:rFonts w:ascii="David" w:hAnsi="David" w:cs="David" w:hint="cs"/>
          <w:sz w:val="24"/>
          <w:szCs w:val="24"/>
          <w:rtl/>
        </w:rPr>
        <w:t>אחד</w:t>
      </w:r>
      <w:r w:rsidR="00A25373">
        <w:rPr>
          <w:rFonts w:ascii="David" w:hAnsi="David" w:cs="David" w:hint="cs"/>
          <w:sz w:val="24"/>
          <w:szCs w:val="24"/>
          <w:rtl/>
        </w:rPr>
        <w:t xml:space="preserve"> מיסודותיה של עוולת הנזיקין </w:t>
      </w:r>
      <w:r w:rsidR="00CF39A5">
        <w:rPr>
          <w:rFonts w:ascii="David" w:hAnsi="David" w:cs="David" w:hint="cs"/>
          <w:sz w:val="24"/>
          <w:szCs w:val="24"/>
          <w:rtl/>
        </w:rPr>
        <w:t xml:space="preserve">ובמצב זה </w:t>
      </w:r>
      <w:r w:rsidR="00A25373">
        <w:rPr>
          <w:rFonts w:ascii="David" w:hAnsi="David" w:cs="David" w:hint="cs"/>
          <w:sz w:val="24"/>
          <w:szCs w:val="24"/>
          <w:rtl/>
        </w:rPr>
        <w:t>תוטל על הרשות אחריות בגין החלטת מדיניות</w:t>
      </w:r>
      <w:r w:rsidR="00DA7B26">
        <w:rPr>
          <w:rFonts w:ascii="David" w:hAnsi="David" w:cs="David" w:hint="cs"/>
          <w:sz w:val="24"/>
          <w:szCs w:val="24"/>
          <w:rtl/>
        </w:rPr>
        <w:t>.</w:t>
      </w:r>
      <w:r>
        <w:rPr>
          <w:rStyle w:val="a7"/>
          <w:rFonts w:ascii="David" w:hAnsi="David" w:hint="default"/>
          <w:sz w:val="24"/>
          <w:szCs w:val="24"/>
          <w:rtl/>
        </w:rPr>
        <w:footnoteReference w:id="149"/>
      </w:r>
      <w:r w:rsidR="00A25373">
        <w:rPr>
          <w:rFonts w:ascii="David" w:hAnsi="David" w:cs="David" w:hint="cs"/>
          <w:sz w:val="24"/>
          <w:szCs w:val="24"/>
          <w:rtl/>
        </w:rPr>
        <w:t xml:space="preserve"> אי התקינות המנהלית שוללת את החסינות גם כאשר הפגם הוא בהחלטה עצמה וגם כאשר הפגם נמצא בהליך המוביל אל ההחלטה.</w:t>
      </w:r>
      <w:r>
        <w:rPr>
          <w:rStyle w:val="a7"/>
          <w:rFonts w:ascii="David" w:hAnsi="David" w:hint="default"/>
          <w:sz w:val="24"/>
          <w:szCs w:val="24"/>
          <w:rtl/>
        </w:rPr>
        <w:footnoteReference w:id="150"/>
      </w:r>
      <w:r w:rsidR="00A25373">
        <w:rPr>
          <w:rFonts w:ascii="David" w:hAnsi="David" w:cs="David" w:hint="cs"/>
          <w:sz w:val="24"/>
          <w:szCs w:val="24"/>
          <w:rtl/>
        </w:rPr>
        <w:t xml:space="preserve"> </w:t>
      </w:r>
    </w:p>
    <w:p w:rsidR="002F1D79" w:rsidRDefault="00BE211D" w:rsidP="00546D22">
      <w:pPr>
        <w:spacing w:line="360" w:lineRule="auto"/>
        <w:jc w:val="both"/>
        <w:rPr>
          <w:rFonts w:ascii="David" w:hAnsi="David" w:cs="David" w:hint="default"/>
          <w:sz w:val="24"/>
          <w:szCs w:val="24"/>
          <w:rtl/>
        </w:rPr>
      </w:pPr>
      <w:r>
        <w:rPr>
          <w:rFonts w:ascii="David" w:hAnsi="David" w:cs="David" w:hint="cs"/>
          <w:sz w:val="24"/>
          <w:szCs w:val="24"/>
          <w:u w:val="single"/>
          <w:rtl/>
        </w:rPr>
        <w:t>בעניין היקף החובה ודרישת הזיקה המיוחד</w:t>
      </w:r>
      <w:r w:rsidR="00DA7B26">
        <w:rPr>
          <w:rFonts w:ascii="David" w:hAnsi="David" w:cs="David" w:hint="cs"/>
          <w:sz w:val="24"/>
          <w:szCs w:val="24"/>
          <w:u w:val="single"/>
          <w:rtl/>
        </w:rPr>
        <w:t>ת</w:t>
      </w:r>
      <w:r>
        <w:rPr>
          <w:rFonts w:ascii="David" w:hAnsi="David" w:cs="David" w:hint="cs"/>
          <w:sz w:val="24"/>
          <w:szCs w:val="24"/>
          <w:u w:val="single"/>
          <w:rtl/>
        </w:rPr>
        <w:t xml:space="preserve"> שבין המזיק לבין הניזוק,</w:t>
      </w:r>
      <w:r w:rsidR="004A2857">
        <w:rPr>
          <w:rFonts w:ascii="David" w:hAnsi="David" w:cs="David" w:hint="cs"/>
          <w:sz w:val="24"/>
          <w:szCs w:val="24"/>
          <w:rtl/>
        </w:rPr>
        <w:t xml:space="preserve"> הגבלת אחריות</w:t>
      </w:r>
      <w:r w:rsidR="00DA7B26">
        <w:rPr>
          <w:rFonts w:ascii="David" w:hAnsi="David" w:cs="David" w:hint="cs"/>
          <w:sz w:val="24"/>
          <w:szCs w:val="24"/>
          <w:rtl/>
        </w:rPr>
        <w:t>ן</w:t>
      </w:r>
      <w:r w:rsidR="004A2857">
        <w:rPr>
          <w:rFonts w:ascii="David" w:hAnsi="David" w:cs="David" w:hint="cs"/>
          <w:sz w:val="24"/>
          <w:szCs w:val="24"/>
          <w:rtl/>
        </w:rPr>
        <w:t xml:space="preserve"> של רשויות הציבור ועובדיהן נעוץ בכלל משפטי. כלל זה שולל את האחריות בנזיקין במקרים של חובה כללית, אך מכיר </w:t>
      </w:r>
      <w:r w:rsidR="00EF5383">
        <w:rPr>
          <w:rFonts w:ascii="David" w:hAnsi="David" w:cs="David" w:hint="cs"/>
          <w:sz w:val="24"/>
          <w:szCs w:val="24"/>
          <w:rtl/>
        </w:rPr>
        <w:t xml:space="preserve">בה </w:t>
      </w:r>
      <w:r w:rsidR="004A2857">
        <w:rPr>
          <w:rFonts w:ascii="David" w:hAnsi="David" w:cs="David" w:hint="cs"/>
          <w:sz w:val="24"/>
          <w:szCs w:val="24"/>
          <w:rtl/>
        </w:rPr>
        <w:t xml:space="preserve">כאשר החובה היא מוגבלת ומיוחדת. כמו כן, כלל זה נועד לצמצם </w:t>
      </w:r>
      <w:r w:rsidR="00EF5383">
        <w:rPr>
          <w:rFonts w:ascii="David" w:hAnsi="David" w:cs="David" w:hint="cs"/>
          <w:sz w:val="24"/>
          <w:szCs w:val="24"/>
          <w:rtl/>
        </w:rPr>
        <w:t xml:space="preserve">את האחריות בנזיקין </w:t>
      </w:r>
      <w:r w:rsidR="004A2857">
        <w:rPr>
          <w:rFonts w:ascii="David" w:hAnsi="David" w:cs="David" w:hint="cs"/>
          <w:sz w:val="24"/>
          <w:szCs w:val="24"/>
          <w:rtl/>
        </w:rPr>
        <w:t>במקרים של מחדלים ויצירת סיכון אקטיבי, הן על החובות והן על סמכויות.</w:t>
      </w:r>
      <w:r>
        <w:rPr>
          <w:rStyle w:val="a7"/>
          <w:rFonts w:ascii="David" w:hAnsi="David" w:hint="default"/>
          <w:sz w:val="24"/>
          <w:szCs w:val="24"/>
          <w:rtl/>
        </w:rPr>
        <w:footnoteReference w:id="151"/>
      </w:r>
      <w:r w:rsidR="00CF1FE7">
        <w:rPr>
          <w:rFonts w:ascii="David" w:hAnsi="David" w:cs="David" w:hint="cs"/>
          <w:sz w:val="24"/>
          <w:szCs w:val="24"/>
          <w:rtl/>
        </w:rPr>
        <w:t xml:space="preserve"> </w:t>
      </w:r>
      <w:r w:rsidR="00627710">
        <w:rPr>
          <w:rFonts w:ascii="David" w:hAnsi="David" w:cs="David" w:hint="cs"/>
          <w:sz w:val="24"/>
          <w:szCs w:val="24"/>
          <w:rtl/>
        </w:rPr>
        <w:t>דרישה מרכזית ב</w:t>
      </w:r>
      <w:r w:rsidR="00CF1FE7">
        <w:rPr>
          <w:rFonts w:ascii="David" w:hAnsi="David" w:cs="David" w:hint="cs"/>
          <w:sz w:val="24"/>
          <w:szCs w:val="24"/>
          <w:rtl/>
        </w:rPr>
        <w:t xml:space="preserve">עוולת הרשלנות באנגליה היא </w:t>
      </w:r>
      <w:r w:rsidR="00627710">
        <w:rPr>
          <w:rFonts w:ascii="David" w:hAnsi="David" w:cs="David" w:hint="cs"/>
          <w:sz w:val="24"/>
          <w:szCs w:val="24"/>
          <w:rtl/>
        </w:rPr>
        <w:t>קיומה של</w:t>
      </w:r>
      <w:r w:rsidR="00CF1FE7">
        <w:rPr>
          <w:rFonts w:ascii="David" w:hAnsi="David" w:cs="David" w:hint="cs"/>
          <w:sz w:val="24"/>
          <w:szCs w:val="24"/>
          <w:rtl/>
        </w:rPr>
        <w:t xml:space="preserve"> זיקה המיוחדת בין המזיק לניזוק. </w:t>
      </w:r>
      <w:r w:rsidR="00771EB7">
        <w:rPr>
          <w:rFonts w:ascii="David" w:hAnsi="David" w:cs="David" w:hint="cs"/>
          <w:sz w:val="24"/>
          <w:szCs w:val="24"/>
          <w:rtl/>
        </w:rPr>
        <w:t>זיקה זו</w:t>
      </w:r>
      <w:r w:rsidR="00CF1FE7">
        <w:rPr>
          <w:rFonts w:ascii="David" w:hAnsi="David" w:cs="David" w:hint="cs"/>
          <w:sz w:val="24"/>
          <w:szCs w:val="24"/>
          <w:rtl/>
        </w:rPr>
        <w:t xml:space="preserve"> היא חלק מיסוד הקרבה אשר מקים את חובת הזהירות ברשלנות. הרעיון המרכזי סובב סביב הקשר המיוחד בין המזיק לניזוק, זאת בשונה מהקשר בין מזיק לציבור רחב.</w:t>
      </w:r>
      <w:r>
        <w:rPr>
          <w:rStyle w:val="a7"/>
          <w:rFonts w:ascii="David" w:hAnsi="David" w:hint="default"/>
          <w:sz w:val="24"/>
          <w:szCs w:val="24"/>
          <w:rtl/>
        </w:rPr>
        <w:footnoteReference w:id="152"/>
      </w:r>
      <w:r w:rsidR="00CF1FE7">
        <w:rPr>
          <w:rFonts w:ascii="David" w:hAnsi="David" w:cs="David" w:hint="cs"/>
          <w:sz w:val="24"/>
          <w:szCs w:val="24"/>
          <w:rtl/>
        </w:rPr>
        <w:t xml:space="preserve"> כאשר מדובר בחובה כללית, גורם זה אינו מתקיים. ברגע שכלליות החובה שוללת את גורם הקרבה, בסיסה של האחריות ברשלנות נשמט. בעת הזאת, כלליות החובה שוללת גם כן את האחריות בגין הפרת חובה חקוקה.</w:t>
      </w:r>
      <w:r w:rsidR="0056454B">
        <w:rPr>
          <w:rFonts w:ascii="David" w:hAnsi="David" w:cs="David" w:hint="cs"/>
          <w:sz w:val="24"/>
          <w:szCs w:val="24"/>
          <w:rtl/>
        </w:rPr>
        <w:t xml:space="preserve"> כדי להקים זכות אזרחית לסעד, התנאי הבסיסי שעומד בראשו זה שהחיקוק יוצר חובה והוא נועד לטובתו או להגנתו של הניזוק. </w:t>
      </w:r>
      <w:r w:rsidR="00960543">
        <w:rPr>
          <w:rFonts w:ascii="David" w:hAnsi="David" w:cs="David" w:hint="cs"/>
          <w:sz w:val="24"/>
          <w:szCs w:val="24"/>
          <w:rtl/>
        </w:rPr>
        <w:t xml:space="preserve">במשפט האנגלי נוצרה הלכה מושרשת זו כי חובות </w:t>
      </w:r>
      <w:r w:rsidR="00EE0685">
        <w:rPr>
          <w:rFonts w:ascii="David" w:hAnsi="David" w:cs="David" w:hint="cs"/>
          <w:sz w:val="24"/>
          <w:szCs w:val="24"/>
          <w:rtl/>
        </w:rPr>
        <w:t>המיועדים</w:t>
      </w:r>
      <w:r w:rsidR="00960543">
        <w:rPr>
          <w:rFonts w:ascii="David" w:hAnsi="David" w:cs="David" w:hint="cs"/>
          <w:sz w:val="24"/>
          <w:szCs w:val="24"/>
          <w:rtl/>
        </w:rPr>
        <w:t xml:space="preserve"> להגנת הציבור בכללותו </w:t>
      </w:r>
      <w:r w:rsidR="00EE0685">
        <w:rPr>
          <w:rFonts w:ascii="David" w:hAnsi="David" w:cs="David" w:hint="cs"/>
          <w:sz w:val="24"/>
          <w:szCs w:val="24"/>
          <w:rtl/>
        </w:rPr>
        <w:t>אינם עונים</w:t>
      </w:r>
      <w:r w:rsidR="00960543">
        <w:rPr>
          <w:rFonts w:ascii="David" w:hAnsi="David" w:cs="David" w:hint="cs"/>
          <w:sz w:val="24"/>
          <w:szCs w:val="24"/>
          <w:rtl/>
        </w:rPr>
        <w:t xml:space="preserve"> על תנאי זה. כאמור, חובות כלליות נתפסות כציבוריות והן אינן מכוונות להעניק סעד אזרחי לפרטים בחברה.</w:t>
      </w:r>
      <w:r>
        <w:rPr>
          <w:rStyle w:val="a7"/>
          <w:rFonts w:ascii="David" w:hAnsi="David" w:hint="default"/>
          <w:sz w:val="24"/>
          <w:szCs w:val="24"/>
          <w:rtl/>
        </w:rPr>
        <w:footnoteReference w:id="153"/>
      </w:r>
      <w:r w:rsidR="00BF40A5">
        <w:rPr>
          <w:rFonts w:ascii="David" w:hAnsi="David" w:cs="David" w:hint="cs"/>
          <w:sz w:val="24"/>
          <w:szCs w:val="24"/>
          <w:rtl/>
        </w:rPr>
        <w:t xml:space="preserve"> הוצאת החובות </w:t>
      </w:r>
      <w:r w:rsidR="00546D22">
        <w:rPr>
          <w:rFonts w:ascii="David" w:hAnsi="David" w:cs="David" w:hint="cs"/>
          <w:sz w:val="24"/>
          <w:szCs w:val="24"/>
          <w:rtl/>
        </w:rPr>
        <w:t>הכלליים</w:t>
      </w:r>
      <w:r w:rsidR="00BF40A5">
        <w:rPr>
          <w:rFonts w:ascii="David" w:hAnsi="David" w:cs="David" w:hint="cs"/>
          <w:sz w:val="24"/>
          <w:szCs w:val="24"/>
          <w:rtl/>
        </w:rPr>
        <w:t xml:space="preserve"> מתחום האחריות מצמצמת נתח גדול מתחום אחריותן של רשויות הציבור, בעצם כך נוצרת עמימות בעניין של שיקולי עומס יתר, הרתעת יתר, הצפה ושיבוש המערכות.</w:t>
      </w:r>
      <w:r>
        <w:rPr>
          <w:rStyle w:val="a7"/>
          <w:rFonts w:ascii="David" w:hAnsi="David" w:hint="default"/>
          <w:sz w:val="24"/>
          <w:szCs w:val="24"/>
          <w:rtl/>
        </w:rPr>
        <w:footnoteReference w:id="154"/>
      </w:r>
      <w:r w:rsidR="00BF40A5">
        <w:rPr>
          <w:rFonts w:ascii="David" w:hAnsi="David" w:cs="David" w:hint="cs"/>
          <w:sz w:val="24"/>
          <w:szCs w:val="24"/>
          <w:rtl/>
        </w:rPr>
        <w:t xml:space="preserve"> </w:t>
      </w:r>
    </w:p>
    <w:p w:rsidR="00B65873" w:rsidRDefault="00BE211D" w:rsidP="00B65873">
      <w:pPr>
        <w:rPr>
          <w:rFonts w:ascii="David" w:hAnsi="David" w:cs="David" w:hint="default"/>
          <w:b/>
          <w:bCs/>
          <w:sz w:val="24"/>
          <w:szCs w:val="24"/>
          <w:u w:val="single"/>
          <w:rtl/>
        </w:rPr>
      </w:pPr>
      <w:r>
        <w:rPr>
          <w:rFonts w:ascii="David" w:hAnsi="David" w:cs="David" w:hint="cs"/>
          <w:b/>
          <w:bCs/>
          <w:sz w:val="24"/>
          <w:szCs w:val="24"/>
          <w:u w:val="single"/>
          <w:rtl/>
        </w:rPr>
        <w:lastRenderedPageBreak/>
        <w:t xml:space="preserve">פרק ד' </w:t>
      </w:r>
      <w:r>
        <w:rPr>
          <w:rFonts w:ascii="David" w:hAnsi="David" w:cs="David" w:hint="default"/>
          <w:b/>
          <w:bCs/>
          <w:sz w:val="24"/>
          <w:szCs w:val="24"/>
          <w:u w:val="single"/>
          <w:rtl/>
        </w:rPr>
        <w:t>–</w:t>
      </w:r>
      <w:r>
        <w:rPr>
          <w:rFonts w:ascii="David" w:hAnsi="David" w:cs="David" w:hint="cs"/>
          <w:b/>
          <w:bCs/>
          <w:sz w:val="24"/>
          <w:szCs w:val="24"/>
          <w:u w:val="single"/>
          <w:rtl/>
        </w:rPr>
        <w:t xml:space="preserve"> סעד </w:t>
      </w:r>
      <w:r w:rsidR="00EA5BF8">
        <w:rPr>
          <w:rFonts w:ascii="David" w:hAnsi="David" w:cs="David" w:hint="cs"/>
          <w:b/>
          <w:bCs/>
          <w:sz w:val="24"/>
          <w:szCs w:val="24"/>
          <w:u w:val="single"/>
          <w:rtl/>
        </w:rPr>
        <w:t>ה</w:t>
      </w:r>
      <w:r>
        <w:rPr>
          <w:rFonts w:ascii="David" w:hAnsi="David" w:cs="David" w:hint="cs"/>
          <w:b/>
          <w:bCs/>
          <w:sz w:val="24"/>
          <w:szCs w:val="24"/>
          <w:u w:val="single"/>
          <w:rtl/>
        </w:rPr>
        <w:t>פיצויים</w:t>
      </w:r>
    </w:p>
    <w:p w:rsidR="00783BC8" w:rsidRPr="00783BC8" w:rsidRDefault="00BE211D" w:rsidP="00783BC8">
      <w:pPr>
        <w:pStyle w:val="p00"/>
        <w:bidi/>
        <w:spacing w:before="72" w:beforeAutospacing="0" w:after="0" w:afterAutospacing="0" w:line="360" w:lineRule="auto"/>
        <w:ind w:right="1134"/>
        <w:jc w:val="both"/>
        <w:rPr>
          <w:rFonts w:ascii="David" w:hAnsi="David" w:cs="David"/>
          <w:color w:val="000000"/>
          <w:sz w:val="18"/>
          <w:szCs w:val="18"/>
        </w:rPr>
      </w:pPr>
      <w:r>
        <w:rPr>
          <w:rFonts w:ascii="David" w:hAnsi="David" w:cs="David" w:hint="cs"/>
          <w:rtl/>
        </w:rPr>
        <w:t>סעיף 76 לפקודת הנזיקין קובע: "</w:t>
      </w:r>
      <w:r w:rsidRPr="00783BC8">
        <w:rPr>
          <w:rStyle w:val="default"/>
          <w:rFonts w:ascii="David" w:hAnsi="David" w:cs="David"/>
          <w:color w:val="000000"/>
          <w:rtl/>
        </w:rPr>
        <w:t>פיצויים אפשר שיינתנו הם בל</w:t>
      </w:r>
      <w:r>
        <w:rPr>
          <w:rStyle w:val="default"/>
          <w:rFonts w:ascii="David" w:hAnsi="David" w:cs="David"/>
          <w:color w:val="000000"/>
          <w:rtl/>
        </w:rPr>
        <w:t>בד או בנוסף על ציווי או במקומו;</w:t>
      </w:r>
      <w:r>
        <w:rPr>
          <w:rStyle w:val="default"/>
          <w:rFonts w:ascii="David" w:hAnsi="David" w:cs="David" w:hint="cs"/>
          <w:color w:val="000000"/>
          <w:rtl/>
        </w:rPr>
        <w:t xml:space="preserve"> </w:t>
      </w:r>
      <w:r w:rsidRPr="00783BC8">
        <w:rPr>
          <w:rStyle w:val="default"/>
          <w:rFonts w:ascii="David" w:hAnsi="David" w:cs="David"/>
          <w:color w:val="000000"/>
          <w:rtl/>
        </w:rPr>
        <w:t>אלא שאם -</w:t>
      </w:r>
    </w:p>
    <w:p w:rsidR="00783BC8" w:rsidRPr="00783BC8" w:rsidRDefault="00BE211D" w:rsidP="00783BC8">
      <w:pPr>
        <w:pStyle w:val="p22"/>
        <w:bidi/>
        <w:spacing w:before="72" w:beforeAutospacing="0" w:after="0" w:afterAutospacing="0" w:line="360" w:lineRule="auto"/>
        <w:ind w:left="624" w:right="1134"/>
        <w:jc w:val="both"/>
        <w:rPr>
          <w:rFonts w:ascii="David" w:hAnsi="David" w:cs="David"/>
          <w:color w:val="000000"/>
          <w:sz w:val="18"/>
          <w:szCs w:val="18"/>
          <w:rtl/>
        </w:rPr>
      </w:pPr>
      <w:r w:rsidRPr="00783BC8">
        <w:rPr>
          <w:rStyle w:val="default"/>
          <w:rFonts w:ascii="David" w:hAnsi="David" w:cs="David"/>
          <w:color w:val="000000"/>
          <w:rtl/>
        </w:rPr>
        <w:t>(1)  סבל התובע נזק, יינתנו פיצויים רק בשל אותו נזק שעלול לבוא באורח טבעי במהלכם הרגיל של הדברים ושבא במישרין מעוולת הנתבע;</w:t>
      </w:r>
    </w:p>
    <w:p w:rsidR="00783BC8" w:rsidRDefault="00BE211D" w:rsidP="00783BC8">
      <w:pPr>
        <w:pStyle w:val="p22"/>
        <w:bidi/>
        <w:spacing w:before="72" w:beforeAutospacing="0" w:after="0" w:afterAutospacing="0" w:line="360" w:lineRule="auto"/>
        <w:ind w:left="624" w:right="1134"/>
        <w:jc w:val="both"/>
        <w:rPr>
          <w:rFonts w:ascii="David" w:hAnsi="David" w:cs="David"/>
          <w:color w:val="000000"/>
          <w:sz w:val="18"/>
          <w:szCs w:val="18"/>
          <w:rtl/>
        </w:rPr>
      </w:pPr>
      <w:r w:rsidRPr="00783BC8">
        <w:rPr>
          <w:rStyle w:val="default"/>
          <w:rFonts w:ascii="David" w:hAnsi="David" w:cs="David"/>
          <w:color w:val="000000"/>
          <w:rtl/>
        </w:rPr>
        <w:t>(2)  סבל התוב</w:t>
      </w:r>
      <w:r w:rsidRPr="00783BC8">
        <w:rPr>
          <w:rStyle w:val="default"/>
          <w:rFonts w:ascii="David" w:hAnsi="David" w:cs="David"/>
          <w:color w:val="000000"/>
          <w:rtl/>
        </w:rPr>
        <w:t>ע נזק ממון, לא יינתנו לו פיצויים בשל הנזק אלא אם מסר פרטים עליו בכתב התביעה או בצירוף לו.</w:t>
      </w:r>
      <w:r w:rsidRPr="00783BC8">
        <w:rPr>
          <w:rFonts w:ascii="David" w:hAnsi="David" w:cs="David" w:hint="cs"/>
          <w:color w:val="000000"/>
          <w:rtl/>
        </w:rPr>
        <w:t>"</w:t>
      </w:r>
      <w:r>
        <w:rPr>
          <w:rStyle w:val="a7"/>
          <w:rFonts w:ascii="David" w:hAnsi="David" w:hint="default"/>
          <w:color w:val="000000"/>
          <w:rtl/>
        </w:rPr>
        <w:footnoteReference w:id="155"/>
      </w:r>
    </w:p>
    <w:p w:rsidR="00955BC0" w:rsidRDefault="00BE211D" w:rsidP="008F73E6">
      <w:pPr>
        <w:pStyle w:val="ae"/>
        <w:spacing w:line="360" w:lineRule="auto"/>
        <w:jc w:val="both"/>
        <w:rPr>
          <w:rFonts w:ascii="David" w:hAnsi="David" w:cs="David"/>
          <w:sz w:val="24"/>
          <w:szCs w:val="24"/>
          <w:rtl/>
        </w:rPr>
      </w:pPr>
      <w:r w:rsidRPr="00376D06">
        <w:rPr>
          <w:rFonts w:ascii="David" w:hAnsi="David" w:cs="David"/>
          <w:sz w:val="24"/>
          <w:szCs w:val="24"/>
          <w:rtl/>
        </w:rPr>
        <w:t>פיצוי מוצג בפסיקה ובספרות כאחת המטרות המרכזיות של דיני הנזיקין</w:t>
      </w:r>
      <w:r w:rsidR="00C90F41">
        <w:rPr>
          <w:rFonts w:ascii="David" w:hAnsi="David" w:cs="David"/>
          <w:sz w:val="24"/>
          <w:szCs w:val="24"/>
          <w:rtl/>
        </w:rPr>
        <w:t xml:space="preserve"> על מנת להשיב את המצב לקדמותו. </w:t>
      </w:r>
      <w:r w:rsidRPr="00376D06">
        <w:rPr>
          <w:rFonts w:ascii="David" w:hAnsi="David" w:cs="David"/>
          <w:sz w:val="24"/>
          <w:szCs w:val="24"/>
          <w:rtl/>
        </w:rPr>
        <w:t xml:space="preserve">טיעון </w:t>
      </w:r>
      <w:r>
        <w:rPr>
          <w:rFonts w:ascii="David" w:hAnsi="David" w:cs="David" w:hint="cs"/>
          <w:sz w:val="24"/>
          <w:szCs w:val="24"/>
          <w:rtl/>
        </w:rPr>
        <w:t>זה</w:t>
      </w:r>
      <w:r w:rsidRPr="00376D06">
        <w:rPr>
          <w:rFonts w:ascii="David" w:hAnsi="David" w:cs="David"/>
          <w:sz w:val="24"/>
          <w:szCs w:val="24"/>
          <w:rtl/>
        </w:rPr>
        <w:t xml:space="preserve"> מתקבל על הדעת, משום </w:t>
      </w:r>
      <w:r>
        <w:rPr>
          <w:rFonts w:ascii="David" w:hAnsi="David" w:cs="David" w:hint="cs"/>
          <w:sz w:val="24"/>
          <w:szCs w:val="24"/>
          <w:rtl/>
        </w:rPr>
        <w:t>שעומד צדק בחשיבה כי אם אדם לא הסכים שיטילו</w:t>
      </w:r>
      <w:r>
        <w:rPr>
          <w:rFonts w:ascii="David" w:hAnsi="David" w:cs="David" w:hint="cs"/>
          <w:sz w:val="24"/>
          <w:szCs w:val="24"/>
          <w:rtl/>
        </w:rPr>
        <w:t xml:space="preserve"> עליו נזק הוא זכאי לפיצוי.</w:t>
      </w:r>
      <w:r w:rsidRPr="00376D06">
        <w:rPr>
          <w:rFonts w:ascii="David" w:hAnsi="David" w:cs="David"/>
          <w:sz w:val="24"/>
          <w:szCs w:val="24"/>
          <w:rtl/>
        </w:rPr>
        <w:t xml:space="preserve"> אחת הסיבות כי פיצוי </w:t>
      </w:r>
      <w:r w:rsidR="001B37AC">
        <w:rPr>
          <w:rFonts w:ascii="David" w:hAnsi="David" w:cs="David" w:hint="cs"/>
          <w:sz w:val="24"/>
          <w:szCs w:val="24"/>
          <w:rtl/>
        </w:rPr>
        <w:t xml:space="preserve">הוא </w:t>
      </w:r>
      <w:r w:rsidRPr="00376D06">
        <w:rPr>
          <w:rFonts w:ascii="David" w:hAnsi="David" w:cs="David"/>
          <w:sz w:val="24"/>
          <w:szCs w:val="24"/>
          <w:rtl/>
        </w:rPr>
        <w:t xml:space="preserve">מטרה </w:t>
      </w:r>
      <w:r w:rsidR="001B37AC">
        <w:rPr>
          <w:rFonts w:ascii="David" w:hAnsi="David" w:cs="David" w:hint="cs"/>
          <w:sz w:val="24"/>
          <w:szCs w:val="24"/>
          <w:rtl/>
        </w:rPr>
        <w:t>שיש לתמוך ב</w:t>
      </w:r>
      <w:r>
        <w:rPr>
          <w:rFonts w:ascii="David" w:hAnsi="David" w:cs="David" w:hint="cs"/>
          <w:sz w:val="24"/>
          <w:szCs w:val="24"/>
          <w:rtl/>
        </w:rPr>
        <w:t>ה</w:t>
      </w:r>
      <w:r w:rsidR="00B313CA">
        <w:rPr>
          <w:rFonts w:ascii="David" w:hAnsi="David" w:cs="David" w:hint="cs"/>
          <w:sz w:val="24"/>
          <w:szCs w:val="24"/>
          <w:rtl/>
        </w:rPr>
        <w:t>,</w:t>
      </w:r>
      <w:r>
        <w:rPr>
          <w:rFonts w:ascii="David" w:hAnsi="David" w:cs="David" w:hint="cs"/>
          <w:sz w:val="24"/>
          <w:szCs w:val="24"/>
          <w:rtl/>
        </w:rPr>
        <w:t xml:space="preserve"> מעבר לשיקולי הצדק</w:t>
      </w:r>
      <w:r w:rsidRPr="00376D06">
        <w:rPr>
          <w:rFonts w:ascii="David" w:hAnsi="David" w:cs="David"/>
          <w:sz w:val="24"/>
          <w:szCs w:val="24"/>
          <w:rtl/>
        </w:rPr>
        <w:t xml:space="preserve">, </w:t>
      </w:r>
      <w:r>
        <w:rPr>
          <w:rFonts w:ascii="David" w:hAnsi="David" w:cs="David" w:hint="cs"/>
          <w:sz w:val="24"/>
          <w:szCs w:val="24"/>
          <w:rtl/>
        </w:rPr>
        <w:t>היא העובדה ש</w:t>
      </w:r>
      <w:r>
        <w:rPr>
          <w:rFonts w:ascii="David" w:hAnsi="David" w:cs="David"/>
          <w:sz w:val="24"/>
          <w:szCs w:val="24"/>
          <w:rtl/>
        </w:rPr>
        <w:t>יש</w:t>
      </w:r>
      <w:r>
        <w:rPr>
          <w:rFonts w:ascii="David" w:hAnsi="David" w:cs="David" w:hint="cs"/>
          <w:sz w:val="24"/>
          <w:szCs w:val="24"/>
          <w:rtl/>
        </w:rPr>
        <w:t xml:space="preserve"> לה </w:t>
      </w:r>
      <w:r w:rsidRPr="00376D06">
        <w:rPr>
          <w:rFonts w:ascii="David" w:hAnsi="David" w:cs="David"/>
          <w:sz w:val="24"/>
          <w:szCs w:val="24"/>
          <w:rtl/>
        </w:rPr>
        <w:t xml:space="preserve">חשיבות אישית וחברתית עצומה. אדם שנפגע </w:t>
      </w:r>
      <w:r w:rsidR="00B313CA">
        <w:rPr>
          <w:rFonts w:ascii="David" w:hAnsi="David" w:cs="David" w:hint="cs"/>
          <w:sz w:val="24"/>
          <w:szCs w:val="24"/>
          <w:rtl/>
        </w:rPr>
        <w:t>באירוע</w:t>
      </w:r>
      <w:r w:rsidRPr="00376D06">
        <w:rPr>
          <w:rFonts w:ascii="David" w:hAnsi="David" w:cs="David"/>
          <w:sz w:val="24"/>
          <w:szCs w:val="24"/>
          <w:rtl/>
        </w:rPr>
        <w:t xml:space="preserve"> נזיקי </w:t>
      </w:r>
      <w:r w:rsidR="00C90F41">
        <w:rPr>
          <w:rFonts w:ascii="David" w:hAnsi="David" w:cs="David" w:hint="cs"/>
          <w:sz w:val="24"/>
          <w:szCs w:val="24"/>
          <w:rtl/>
        </w:rPr>
        <w:t>וחווה</w:t>
      </w:r>
      <w:r w:rsidRPr="00376D06">
        <w:rPr>
          <w:rFonts w:ascii="David" w:hAnsi="David" w:cs="David"/>
          <w:sz w:val="24"/>
          <w:szCs w:val="24"/>
          <w:rtl/>
        </w:rPr>
        <w:t xml:space="preserve"> פגיעה בגופו או ברכושו עלול ליפול נטל על החברה ולכן ישנה חשיבות מאוד גדולה לפיצוי </w:t>
      </w:r>
      <w:r w:rsidR="00884B4C">
        <w:rPr>
          <w:rFonts w:ascii="David" w:hAnsi="David" w:cs="David" w:hint="cs"/>
          <w:sz w:val="24"/>
          <w:szCs w:val="24"/>
          <w:rtl/>
        </w:rPr>
        <w:t>על מנת</w:t>
      </w:r>
      <w:r w:rsidR="00884B4C">
        <w:rPr>
          <w:rFonts w:ascii="David" w:hAnsi="David" w:cs="David"/>
          <w:sz w:val="24"/>
          <w:szCs w:val="24"/>
          <w:rtl/>
        </w:rPr>
        <w:t xml:space="preserve"> </w:t>
      </w:r>
      <w:r w:rsidRPr="00376D06">
        <w:rPr>
          <w:rFonts w:ascii="David" w:hAnsi="David" w:cs="David"/>
          <w:sz w:val="24"/>
          <w:szCs w:val="24"/>
          <w:rtl/>
        </w:rPr>
        <w:t xml:space="preserve">לאפשר לו </w:t>
      </w:r>
      <w:r w:rsidR="00E37DDB">
        <w:rPr>
          <w:rFonts w:ascii="David" w:hAnsi="David" w:cs="David"/>
          <w:sz w:val="24"/>
          <w:szCs w:val="24"/>
          <w:rtl/>
        </w:rPr>
        <w:t xml:space="preserve">להמשיך בחייו הרגילים. </w:t>
      </w:r>
      <w:r w:rsidRPr="00376D06">
        <w:rPr>
          <w:rFonts w:ascii="David" w:hAnsi="David" w:cs="David"/>
          <w:sz w:val="24"/>
          <w:szCs w:val="24"/>
          <w:rtl/>
        </w:rPr>
        <w:t xml:space="preserve">המטרה של הפיצוי מתמקדת בניזוק. ישנם </w:t>
      </w:r>
      <w:r w:rsidR="00E37DDB">
        <w:rPr>
          <w:rFonts w:ascii="David" w:hAnsi="David" w:cs="David" w:hint="cs"/>
          <w:sz w:val="24"/>
          <w:szCs w:val="24"/>
          <w:rtl/>
        </w:rPr>
        <w:t xml:space="preserve">לא מעט פסקי דין בהם </w:t>
      </w:r>
      <w:r w:rsidR="008F73E6">
        <w:rPr>
          <w:rFonts w:ascii="David" w:hAnsi="David" w:cs="David" w:hint="cs"/>
          <w:sz w:val="24"/>
          <w:szCs w:val="24"/>
          <w:rtl/>
        </w:rPr>
        <w:t>ביהמ"ש</w:t>
      </w:r>
      <w:r w:rsidR="00E37DDB">
        <w:rPr>
          <w:rFonts w:ascii="David" w:hAnsi="David" w:cs="David" w:hint="cs"/>
          <w:sz w:val="24"/>
          <w:szCs w:val="24"/>
          <w:rtl/>
        </w:rPr>
        <w:t xml:space="preserve"> מגיע למסקנה כי הוא ראה לנגד עיניו את הרצון לפצות, קרי להשיב את המצב לקדמותו.</w:t>
      </w:r>
      <w:r>
        <w:rPr>
          <w:rStyle w:val="a7"/>
          <w:rFonts w:ascii="David" w:hAnsi="David" w:hint="default"/>
          <w:sz w:val="24"/>
          <w:szCs w:val="24"/>
          <w:rtl/>
        </w:rPr>
        <w:footnoteReference w:id="156"/>
      </w:r>
      <w:r w:rsidR="00E37DDB">
        <w:rPr>
          <w:rFonts w:ascii="David" w:hAnsi="David" w:cs="David" w:hint="cs"/>
          <w:sz w:val="24"/>
          <w:szCs w:val="24"/>
          <w:rtl/>
        </w:rPr>
        <w:t xml:space="preserve"> </w:t>
      </w:r>
      <w:r w:rsidR="004C7119">
        <w:rPr>
          <w:rFonts w:ascii="David" w:hAnsi="David" w:cs="David" w:hint="cs"/>
          <w:sz w:val="24"/>
          <w:szCs w:val="24"/>
          <w:rtl/>
        </w:rPr>
        <w:t xml:space="preserve">חשוב להדגיש כי השבת המצב לקדמותו </w:t>
      </w:r>
      <w:r w:rsidR="00CF7C66">
        <w:rPr>
          <w:rFonts w:ascii="David" w:hAnsi="David" w:cs="David" w:hint="cs"/>
          <w:sz w:val="24"/>
          <w:szCs w:val="24"/>
          <w:rtl/>
        </w:rPr>
        <w:t xml:space="preserve">לא בהכרח תשיב אותו פיזית, אלא בעזרת סעד הפיצוי תסייע לניזוק להתקיים ולחיות בצורה הראויה והטובה ביותר ככל שאפשר לפני קרות הנזק. </w:t>
      </w:r>
    </w:p>
    <w:p w:rsidR="00080C1B" w:rsidRDefault="00BE211D" w:rsidP="00FC03E1">
      <w:pPr>
        <w:pStyle w:val="ae"/>
        <w:spacing w:line="360" w:lineRule="auto"/>
        <w:jc w:val="both"/>
        <w:rPr>
          <w:rFonts w:ascii="David" w:hAnsi="David" w:cs="David"/>
          <w:sz w:val="24"/>
          <w:szCs w:val="24"/>
          <w:rtl/>
        </w:rPr>
      </w:pPr>
      <w:r>
        <w:rPr>
          <w:rFonts w:ascii="David" w:hAnsi="David" w:cs="David" w:hint="cs"/>
          <w:sz w:val="24"/>
          <w:szCs w:val="24"/>
          <w:rtl/>
        </w:rPr>
        <w:t>בפרק זה ניצבת בפנינו השאלה על מה מפצים את ההורים, האם על אובדן עילת תביעה? אתחיל בסקירה קצרה של פס"ד חננשוילי.</w:t>
      </w:r>
    </w:p>
    <w:p w:rsidR="004573FE" w:rsidRDefault="00BE211D" w:rsidP="00D85BB2">
      <w:pPr>
        <w:pStyle w:val="ae"/>
        <w:spacing w:line="360" w:lineRule="auto"/>
        <w:jc w:val="both"/>
        <w:rPr>
          <w:rFonts w:ascii="David" w:hAnsi="David" w:cs="David"/>
          <w:b/>
          <w:bCs/>
          <w:sz w:val="24"/>
          <w:szCs w:val="24"/>
          <w:u w:val="single"/>
          <w:rtl/>
        </w:rPr>
      </w:pPr>
      <w:r>
        <w:rPr>
          <w:rFonts w:ascii="David" w:hAnsi="David" w:cs="David" w:hint="cs"/>
          <w:b/>
          <w:bCs/>
          <w:sz w:val="24"/>
          <w:szCs w:val="24"/>
          <w:u w:val="single"/>
          <w:rtl/>
        </w:rPr>
        <w:t xml:space="preserve">ד1. פרשת חננשוילי </w:t>
      </w:r>
      <w:r w:rsidR="00AC6218">
        <w:rPr>
          <w:rFonts w:ascii="David" w:hAnsi="David" w:cs="David"/>
          <w:b/>
          <w:bCs/>
          <w:sz w:val="24"/>
          <w:szCs w:val="24"/>
          <w:u w:val="single"/>
          <w:rtl/>
        </w:rPr>
        <w:t>–</w:t>
      </w:r>
      <w:r w:rsidR="00AC6218">
        <w:rPr>
          <w:rFonts w:ascii="David" w:hAnsi="David" w:cs="David" w:hint="cs"/>
          <w:b/>
          <w:bCs/>
          <w:sz w:val="24"/>
          <w:szCs w:val="24"/>
          <w:u w:val="single"/>
          <w:rtl/>
        </w:rPr>
        <w:t xml:space="preserve"> ראש נזק חדש</w:t>
      </w:r>
    </w:p>
    <w:p w:rsidR="00113C26" w:rsidRDefault="00BE211D" w:rsidP="008F73E6">
      <w:pPr>
        <w:pStyle w:val="ae"/>
        <w:spacing w:line="360" w:lineRule="auto"/>
        <w:jc w:val="both"/>
        <w:rPr>
          <w:rFonts w:ascii="David" w:hAnsi="David" w:cs="David"/>
          <w:sz w:val="24"/>
          <w:szCs w:val="24"/>
          <w:rtl/>
        </w:rPr>
      </w:pPr>
      <w:r>
        <w:rPr>
          <w:rFonts w:ascii="David" w:hAnsi="David" w:cs="David" w:hint="cs"/>
          <w:sz w:val="24"/>
          <w:szCs w:val="24"/>
          <w:rtl/>
        </w:rPr>
        <w:t xml:space="preserve">בפרשה זו חננשוילי נפצע בתאונת דרכים עצמית. כעבור שנה, עוד </w:t>
      </w:r>
      <w:r w:rsidR="00937E86">
        <w:rPr>
          <w:rFonts w:ascii="David" w:hAnsi="David" w:cs="David" w:hint="cs"/>
          <w:sz w:val="24"/>
          <w:szCs w:val="24"/>
          <w:rtl/>
        </w:rPr>
        <w:t>בטרם הספיק להגיש תביעה נזיקית בג</w:t>
      </w:r>
      <w:r>
        <w:rPr>
          <w:rFonts w:ascii="David" w:hAnsi="David" w:cs="David" w:hint="cs"/>
          <w:sz w:val="24"/>
          <w:szCs w:val="24"/>
          <w:rtl/>
        </w:rPr>
        <w:t>ין הנזקים שנגרמו לו נהרג בתאונת דרכים נוספת.</w:t>
      </w:r>
      <w:r>
        <w:rPr>
          <w:rStyle w:val="a7"/>
          <w:rFonts w:ascii="David" w:hAnsi="David" w:hint="default"/>
          <w:sz w:val="24"/>
          <w:szCs w:val="24"/>
          <w:rtl/>
        </w:rPr>
        <w:footnoteReference w:id="157"/>
      </w:r>
      <w:r>
        <w:rPr>
          <w:rFonts w:ascii="David" w:hAnsi="David" w:cs="David" w:hint="cs"/>
          <w:sz w:val="24"/>
          <w:szCs w:val="24"/>
          <w:rtl/>
        </w:rPr>
        <w:t xml:space="preserve"> </w:t>
      </w:r>
      <w:r w:rsidR="007B320F">
        <w:rPr>
          <w:rFonts w:ascii="David" w:hAnsi="David" w:cs="David" w:hint="cs"/>
          <w:sz w:val="24"/>
          <w:szCs w:val="24"/>
          <w:rtl/>
        </w:rPr>
        <w:t xml:space="preserve">השאלה המרכזית שנדונה עוד </w:t>
      </w:r>
      <w:r w:rsidR="008F73E6">
        <w:rPr>
          <w:rFonts w:ascii="David" w:hAnsi="David" w:cs="David" w:hint="cs"/>
          <w:sz w:val="24"/>
          <w:szCs w:val="24"/>
          <w:rtl/>
        </w:rPr>
        <w:t>בביהמ"ש</w:t>
      </w:r>
      <w:r w:rsidR="007B320F">
        <w:rPr>
          <w:rFonts w:ascii="David" w:hAnsi="David" w:cs="David" w:hint="cs"/>
          <w:sz w:val="24"/>
          <w:szCs w:val="24"/>
          <w:rtl/>
        </w:rPr>
        <w:t xml:space="preserve"> המחוזי הייתי היא מי מבין שתי המשיבות אחראית לאובדן כושר השתכרותו של חננשוילי. האם </w:t>
      </w:r>
      <w:r w:rsidR="00F479C0">
        <w:rPr>
          <w:rFonts w:ascii="David" w:hAnsi="David" w:cs="David" w:hint="cs"/>
          <w:sz w:val="24"/>
          <w:szCs w:val="24"/>
          <w:rtl/>
        </w:rPr>
        <w:t xml:space="preserve">תהיה זו המשיבה הראשונה הנתבעת בגין </w:t>
      </w:r>
      <w:r w:rsidR="007B320F">
        <w:rPr>
          <w:rFonts w:ascii="David" w:hAnsi="David" w:cs="David" w:hint="cs"/>
          <w:sz w:val="24"/>
          <w:szCs w:val="24"/>
          <w:rtl/>
        </w:rPr>
        <w:t>התאונה הראשונה,</w:t>
      </w:r>
      <w:r w:rsidR="00F479C0">
        <w:rPr>
          <w:rFonts w:ascii="David" w:hAnsi="David" w:cs="David" w:hint="cs"/>
          <w:sz w:val="24"/>
          <w:szCs w:val="24"/>
          <w:rtl/>
        </w:rPr>
        <w:t xml:space="preserve"> או המשיבה השנייה הנתבעת בגין התאונה השנייה, בה הוא נהרג כאמור.</w:t>
      </w:r>
      <w:r w:rsidR="007B320F">
        <w:rPr>
          <w:rFonts w:ascii="David" w:hAnsi="David" w:cs="David" w:hint="cs"/>
          <w:sz w:val="24"/>
          <w:szCs w:val="24"/>
          <w:rtl/>
        </w:rPr>
        <w:t xml:space="preserve"> בעניין זה קבע </w:t>
      </w:r>
      <w:r w:rsidR="00DC2410">
        <w:rPr>
          <w:rFonts w:ascii="David" w:hAnsi="David" w:cs="David" w:hint="cs"/>
          <w:sz w:val="24"/>
          <w:szCs w:val="24"/>
          <w:rtl/>
        </w:rPr>
        <w:t>ביהמ"ש</w:t>
      </w:r>
      <w:r w:rsidR="007B320F">
        <w:rPr>
          <w:rFonts w:ascii="David" w:hAnsi="David" w:cs="David" w:hint="cs"/>
          <w:sz w:val="24"/>
          <w:szCs w:val="24"/>
          <w:rtl/>
        </w:rPr>
        <w:t xml:space="preserve"> המחוזי כי כל משיבה חייבת בנזקים שנבעו מהתאונה </w:t>
      </w:r>
      <w:r w:rsidR="00DC2410">
        <w:rPr>
          <w:rFonts w:ascii="David" w:hAnsi="David" w:cs="David" w:hint="cs"/>
          <w:sz w:val="24"/>
          <w:szCs w:val="24"/>
          <w:rtl/>
        </w:rPr>
        <w:t>בגינה</w:t>
      </w:r>
      <w:r w:rsidR="007B320F">
        <w:rPr>
          <w:rFonts w:ascii="David" w:hAnsi="David" w:cs="David" w:hint="cs"/>
          <w:sz w:val="24"/>
          <w:szCs w:val="24"/>
          <w:rtl/>
        </w:rPr>
        <w:t xml:space="preserve"> הייתה אחראית. מאחר שבענייננו בזמן קרות התאונה השנייה חננשוילי היה בעל כושר השתכרות נמ</w:t>
      </w:r>
      <w:r w:rsidR="00937E86">
        <w:rPr>
          <w:rFonts w:ascii="David" w:hAnsi="David" w:cs="David" w:hint="cs"/>
          <w:sz w:val="24"/>
          <w:szCs w:val="24"/>
          <w:rtl/>
        </w:rPr>
        <w:t>וכה</w:t>
      </w:r>
      <w:r w:rsidR="007B320F">
        <w:rPr>
          <w:rFonts w:ascii="David" w:hAnsi="David" w:cs="David" w:hint="cs"/>
          <w:sz w:val="24"/>
          <w:szCs w:val="24"/>
          <w:rtl/>
        </w:rPr>
        <w:t xml:space="preserve">, כתוצאה מהתאונה הראשונה, </w:t>
      </w:r>
      <w:r w:rsidR="0076528B">
        <w:rPr>
          <w:rFonts w:ascii="David" w:hAnsi="David" w:cs="David" w:hint="cs"/>
          <w:sz w:val="24"/>
          <w:szCs w:val="24"/>
          <w:rtl/>
        </w:rPr>
        <w:t>יש</w:t>
      </w:r>
      <w:r w:rsidR="00376524">
        <w:rPr>
          <w:rFonts w:ascii="David" w:hAnsi="David" w:cs="David" w:hint="cs"/>
          <w:sz w:val="24"/>
          <w:szCs w:val="24"/>
          <w:rtl/>
        </w:rPr>
        <w:t xml:space="preserve"> לחייב את המשיבה השנייה </w:t>
      </w:r>
      <w:r w:rsidR="007B320F">
        <w:rPr>
          <w:rFonts w:ascii="David" w:hAnsi="David" w:cs="David" w:hint="cs"/>
          <w:sz w:val="24"/>
          <w:szCs w:val="24"/>
          <w:rtl/>
        </w:rPr>
        <w:t xml:space="preserve">רק בנזק </w:t>
      </w:r>
      <w:r w:rsidR="00376524">
        <w:rPr>
          <w:rFonts w:ascii="David" w:hAnsi="David" w:cs="David" w:hint="cs"/>
          <w:sz w:val="24"/>
          <w:szCs w:val="24"/>
          <w:rtl/>
        </w:rPr>
        <w:t>עליו</w:t>
      </w:r>
      <w:r w:rsidR="007B320F">
        <w:rPr>
          <w:rFonts w:ascii="David" w:hAnsi="David" w:cs="David" w:hint="cs"/>
          <w:sz w:val="24"/>
          <w:szCs w:val="24"/>
          <w:rtl/>
        </w:rPr>
        <w:t xml:space="preserve"> היא אחראית, במילים אחרות רק בעניין שלילת כושר ההשתכרות המופחת.</w:t>
      </w:r>
      <w:r>
        <w:rPr>
          <w:rStyle w:val="a7"/>
          <w:rFonts w:ascii="David" w:hAnsi="David" w:hint="default"/>
          <w:sz w:val="24"/>
          <w:szCs w:val="24"/>
          <w:rtl/>
        </w:rPr>
        <w:footnoteReference w:id="158"/>
      </w:r>
      <w:r w:rsidR="007B320F">
        <w:rPr>
          <w:rFonts w:ascii="David" w:hAnsi="David" w:cs="David" w:hint="cs"/>
          <w:sz w:val="24"/>
          <w:szCs w:val="24"/>
          <w:rtl/>
        </w:rPr>
        <w:t xml:space="preserve">  המשיבה הראשונה חייבת בפיצויים בגין תוצאות התאונה לאורך כל חיי העבודה </w:t>
      </w:r>
      <w:r w:rsidR="000D3839">
        <w:rPr>
          <w:rFonts w:ascii="David" w:hAnsi="David" w:cs="David" w:hint="cs"/>
          <w:sz w:val="24"/>
          <w:szCs w:val="24"/>
          <w:rtl/>
        </w:rPr>
        <w:t>הצפויים</w:t>
      </w:r>
      <w:r w:rsidR="007B320F">
        <w:rPr>
          <w:rFonts w:ascii="David" w:hAnsi="David" w:cs="David" w:hint="cs"/>
          <w:sz w:val="24"/>
          <w:szCs w:val="24"/>
          <w:rtl/>
        </w:rPr>
        <w:t xml:space="preserve"> שלו </w:t>
      </w:r>
      <w:r w:rsidR="000D3839">
        <w:rPr>
          <w:rFonts w:ascii="David" w:hAnsi="David" w:cs="David" w:hint="cs"/>
          <w:sz w:val="24"/>
          <w:szCs w:val="24"/>
          <w:rtl/>
        </w:rPr>
        <w:t>אשר נפסקו</w:t>
      </w:r>
      <w:r w:rsidR="007B320F">
        <w:rPr>
          <w:rFonts w:ascii="David" w:hAnsi="David" w:cs="David" w:hint="cs"/>
          <w:sz w:val="24"/>
          <w:szCs w:val="24"/>
          <w:rtl/>
        </w:rPr>
        <w:t xml:space="preserve"> עם מותו בתאונה השנייה. </w:t>
      </w:r>
      <w:r w:rsidR="000D3839">
        <w:rPr>
          <w:rFonts w:ascii="David" w:hAnsi="David" w:cs="David" w:hint="cs"/>
          <w:sz w:val="24"/>
          <w:szCs w:val="24"/>
          <w:rtl/>
        </w:rPr>
        <w:t>בהתאם לכך ביהמ"ש</w:t>
      </w:r>
      <w:r w:rsidR="007B320F">
        <w:rPr>
          <w:rFonts w:ascii="David" w:hAnsi="David" w:cs="David" w:hint="cs"/>
          <w:sz w:val="24"/>
          <w:szCs w:val="24"/>
          <w:rtl/>
        </w:rPr>
        <w:t xml:space="preserve"> המחוזי פסק פיצויים </w:t>
      </w:r>
      <w:r w:rsidR="000D3839">
        <w:rPr>
          <w:rFonts w:ascii="David" w:hAnsi="David" w:cs="David" w:hint="cs"/>
          <w:sz w:val="24"/>
          <w:szCs w:val="24"/>
          <w:rtl/>
        </w:rPr>
        <w:t xml:space="preserve">ועל כך הוגש ערעור לביהמ"ש העליון. </w:t>
      </w:r>
    </w:p>
    <w:p w:rsidR="00AC652C" w:rsidRDefault="00BE211D" w:rsidP="00E629DA">
      <w:pPr>
        <w:pStyle w:val="ae"/>
        <w:spacing w:line="360" w:lineRule="auto"/>
        <w:jc w:val="both"/>
        <w:rPr>
          <w:rFonts w:ascii="David" w:hAnsi="David" w:cs="David"/>
          <w:sz w:val="24"/>
          <w:szCs w:val="24"/>
          <w:rtl/>
        </w:rPr>
      </w:pPr>
      <w:r>
        <w:rPr>
          <w:rFonts w:ascii="David" w:hAnsi="David" w:cs="David" w:hint="cs"/>
          <w:sz w:val="24"/>
          <w:szCs w:val="24"/>
          <w:rtl/>
        </w:rPr>
        <w:lastRenderedPageBreak/>
        <w:t xml:space="preserve">ביהמ"ש העליון קבע בפסק דינו עקרונות מנחים בנושא </w:t>
      </w:r>
      <w:r w:rsidR="00937E86" w:rsidRPr="00937E86">
        <w:rPr>
          <w:rFonts w:ascii="David" w:hAnsi="David" w:cs="David" w:hint="cs"/>
          <w:sz w:val="24"/>
          <w:szCs w:val="24"/>
          <w:u w:val="single"/>
          <w:rtl/>
        </w:rPr>
        <w:t>ייחוס האחריות והנזק במצב של ריבוי מזיקים</w:t>
      </w:r>
      <w:r w:rsidR="00937E86">
        <w:rPr>
          <w:rFonts w:ascii="David" w:hAnsi="David" w:cs="David" w:hint="cs"/>
          <w:sz w:val="24"/>
          <w:szCs w:val="24"/>
          <w:u w:val="single"/>
          <w:rtl/>
        </w:rPr>
        <w:t xml:space="preserve"> מנחים</w:t>
      </w:r>
      <w:r w:rsidR="00937E86">
        <w:rPr>
          <w:rFonts w:ascii="David" w:hAnsi="David" w:cs="David" w:hint="cs"/>
          <w:sz w:val="24"/>
          <w:szCs w:val="24"/>
          <w:rtl/>
        </w:rPr>
        <w:t>: 1. הניזוק זכאי לפיצוי על מלוא נזקיו. 2. המזיק אחראי רק הנזק שהוא גרם. 3. המזיק מוצא את הניזוק כמות שהוא. 4. בשביל לאמוד את הנזק העתידי יש להתחשב באירועים והתפתחויות עתידיות שעשויות לקרות לניזוק במהלך חייו ובאירועים עד למתן פסק הדין.</w:t>
      </w:r>
      <w:r>
        <w:rPr>
          <w:rStyle w:val="a7"/>
          <w:rFonts w:ascii="David" w:hAnsi="David" w:hint="default"/>
          <w:sz w:val="24"/>
          <w:szCs w:val="24"/>
          <w:rtl/>
        </w:rPr>
        <w:footnoteReference w:id="159"/>
      </w:r>
      <w:r w:rsidR="00937E86">
        <w:rPr>
          <w:rFonts w:ascii="David" w:hAnsi="David" w:cs="David" w:hint="cs"/>
          <w:sz w:val="24"/>
          <w:szCs w:val="24"/>
          <w:rtl/>
        </w:rPr>
        <w:t xml:space="preserve"> </w:t>
      </w:r>
      <w:r w:rsidR="00937E86">
        <w:rPr>
          <w:rFonts w:ascii="David" w:hAnsi="David" w:cs="David" w:hint="cs"/>
          <w:sz w:val="24"/>
          <w:szCs w:val="24"/>
          <w:u w:val="single"/>
          <w:rtl/>
        </w:rPr>
        <w:t xml:space="preserve">בעניין </w:t>
      </w:r>
      <w:r w:rsidR="00974AF2">
        <w:rPr>
          <w:rFonts w:ascii="David" w:hAnsi="David" w:cs="David" w:hint="cs"/>
          <w:sz w:val="24"/>
          <w:szCs w:val="24"/>
          <w:u w:val="single"/>
          <w:rtl/>
        </w:rPr>
        <w:t>מזיקים במשותף</w:t>
      </w:r>
      <w:r w:rsidR="00937E86">
        <w:rPr>
          <w:rFonts w:ascii="David" w:hAnsi="David" w:cs="David" w:hint="cs"/>
          <w:sz w:val="24"/>
          <w:szCs w:val="24"/>
          <w:u w:val="single"/>
          <w:rtl/>
        </w:rPr>
        <w:t xml:space="preserve"> או בנפרד</w:t>
      </w:r>
      <w:r w:rsidR="00937E86">
        <w:rPr>
          <w:rFonts w:ascii="David" w:hAnsi="David" w:cs="David" w:hint="cs"/>
          <w:sz w:val="24"/>
          <w:szCs w:val="24"/>
          <w:rtl/>
        </w:rPr>
        <w:t xml:space="preserve"> נקבע כי יש לחייב כל אחד מהמזיקים באופן מלא, כאשר שאלת חלוקת האחריות ביניכם נותרת להתדיינות בינם.</w:t>
      </w:r>
      <w:r>
        <w:rPr>
          <w:rStyle w:val="a7"/>
          <w:rFonts w:ascii="David" w:hAnsi="David" w:hint="default"/>
          <w:sz w:val="24"/>
          <w:szCs w:val="24"/>
          <w:rtl/>
        </w:rPr>
        <w:footnoteReference w:id="160"/>
      </w:r>
      <w:r w:rsidR="00937E86">
        <w:rPr>
          <w:rFonts w:ascii="David" w:hAnsi="David" w:cs="David" w:hint="cs"/>
          <w:sz w:val="24"/>
          <w:szCs w:val="24"/>
          <w:rtl/>
        </w:rPr>
        <w:t xml:space="preserve"> </w:t>
      </w:r>
      <w:r w:rsidR="00974AF2" w:rsidRPr="00974AF2">
        <w:rPr>
          <w:rFonts w:ascii="David" w:hAnsi="David" w:cs="David" w:hint="cs"/>
          <w:sz w:val="24"/>
          <w:szCs w:val="24"/>
          <w:u w:val="single"/>
          <w:rtl/>
        </w:rPr>
        <w:t>בעניין נזקים לאחר קרות האירוע הראשוני</w:t>
      </w:r>
      <w:r w:rsidR="00974AF2">
        <w:rPr>
          <w:rFonts w:ascii="David" w:hAnsi="David" w:cs="David" w:hint="cs"/>
          <w:sz w:val="24"/>
          <w:szCs w:val="24"/>
          <w:rtl/>
        </w:rPr>
        <w:t xml:space="preserve"> שהינה פגיעה "בידי שמיים", המזיק הראשון לא צריך לשאת בנזקים של הפגיעה השנייה.</w:t>
      </w:r>
      <w:r>
        <w:rPr>
          <w:rStyle w:val="a7"/>
          <w:rFonts w:ascii="David" w:hAnsi="David" w:hint="default"/>
          <w:sz w:val="24"/>
          <w:szCs w:val="24"/>
          <w:rtl/>
        </w:rPr>
        <w:footnoteReference w:id="161"/>
      </w:r>
      <w:r w:rsidR="00170A45">
        <w:rPr>
          <w:rFonts w:ascii="David" w:hAnsi="David" w:cs="David" w:hint="cs"/>
          <w:sz w:val="24"/>
          <w:szCs w:val="24"/>
          <w:u w:val="single"/>
          <w:rtl/>
        </w:rPr>
        <w:t>בעניין הפסקת התביעה</w:t>
      </w:r>
      <w:r w:rsidR="00170A45">
        <w:rPr>
          <w:rFonts w:ascii="David" w:hAnsi="David" w:cs="David" w:hint="cs"/>
          <w:sz w:val="24"/>
          <w:szCs w:val="24"/>
          <w:rtl/>
        </w:rPr>
        <w:t xml:space="preserve"> נגד המזיק הראשוני בגין נזקיו הראשונים, זאת מהסיבה כי כעת אין תביעה בגין הפסד כושר השתכרותו משום שהניזוק נפטר.</w:t>
      </w:r>
      <w:r>
        <w:rPr>
          <w:rStyle w:val="a7"/>
          <w:rFonts w:ascii="David" w:hAnsi="David" w:hint="default"/>
          <w:sz w:val="24"/>
          <w:szCs w:val="24"/>
          <w:rtl/>
        </w:rPr>
        <w:footnoteReference w:id="162"/>
      </w:r>
      <w:r w:rsidR="00170A45">
        <w:rPr>
          <w:rFonts w:ascii="David" w:hAnsi="David" w:cs="David" w:hint="cs"/>
          <w:sz w:val="24"/>
          <w:szCs w:val="24"/>
          <w:rtl/>
        </w:rPr>
        <w:t xml:space="preserve"> אם הניזוק טרם מימש את זכאותו לפיצויים כנגד המזיק הראשוני וזאת בשל התאונה השנייה, עיזבונו זכאי לתבוע את המזיק של התאונה השנייה בגין ההפסד שנגרם לנפטר </w:t>
      </w:r>
      <w:r w:rsidR="00E629DA">
        <w:rPr>
          <w:rFonts w:ascii="David" w:hAnsi="David" w:cs="David" w:hint="cs"/>
          <w:sz w:val="24"/>
          <w:szCs w:val="24"/>
          <w:rtl/>
        </w:rPr>
        <w:t>מכיוון ש</w:t>
      </w:r>
      <w:r w:rsidR="00170A45">
        <w:rPr>
          <w:rFonts w:ascii="David" w:hAnsi="David" w:cs="David" w:hint="cs"/>
          <w:sz w:val="24"/>
          <w:szCs w:val="24"/>
          <w:rtl/>
        </w:rPr>
        <w:t>נשללה ממנו האפשרות להיפרע מהאחראי לפיצוי בגין התאונה הראשונה.</w:t>
      </w:r>
      <w:r>
        <w:rPr>
          <w:rStyle w:val="a7"/>
          <w:rFonts w:ascii="David" w:hAnsi="David" w:hint="default"/>
          <w:sz w:val="24"/>
          <w:szCs w:val="24"/>
          <w:rtl/>
        </w:rPr>
        <w:footnoteReference w:id="163"/>
      </w:r>
      <w:r w:rsidR="00170A45">
        <w:rPr>
          <w:rFonts w:ascii="David" w:hAnsi="David" w:cs="David" w:hint="cs"/>
          <w:sz w:val="24"/>
          <w:szCs w:val="24"/>
          <w:rtl/>
        </w:rPr>
        <w:t xml:space="preserve"> </w:t>
      </w:r>
    </w:p>
    <w:p w:rsidR="00453769" w:rsidRDefault="00BE211D" w:rsidP="008F73E6">
      <w:pPr>
        <w:pStyle w:val="ae"/>
        <w:spacing w:line="360" w:lineRule="auto"/>
        <w:jc w:val="both"/>
        <w:rPr>
          <w:rFonts w:ascii="David" w:hAnsi="David" w:cs="David"/>
          <w:sz w:val="24"/>
          <w:szCs w:val="24"/>
          <w:rtl/>
        </w:rPr>
      </w:pPr>
      <w:r>
        <w:rPr>
          <w:rFonts w:ascii="David" w:hAnsi="David" w:cs="David" w:hint="cs"/>
          <w:sz w:val="24"/>
          <w:szCs w:val="24"/>
          <w:rtl/>
        </w:rPr>
        <w:t xml:space="preserve">יש לראות כי במקרה דנן, </w:t>
      </w:r>
      <w:r w:rsidR="008F73E6">
        <w:rPr>
          <w:rFonts w:ascii="David" w:hAnsi="David" w:cs="David" w:hint="cs"/>
          <w:sz w:val="24"/>
          <w:szCs w:val="24"/>
          <w:rtl/>
        </w:rPr>
        <w:t>ביהמ"ש</w:t>
      </w:r>
      <w:r>
        <w:rPr>
          <w:rFonts w:ascii="David" w:hAnsi="David" w:cs="David" w:hint="cs"/>
          <w:sz w:val="24"/>
          <w:szCs w:val="24"/>
          <w:rtl/>
        </w:rPr>
        <w:t xml:space="preserve"> ראה לנכון כי אלמלא מות הניזוק בתאונה השנייה, הוא היה משתמש לתמיכה במשפחתו באמצעות כספי הפיצויים בגין הפסד כושר השתכרותו לתקופה מיום התאונה השנייה ועד</w:t>
      </w:r>
      <w:r>
        <w:rPr>
          <w:rFonts w:ascii="David" w:hAnsi="David" w:cs="David" w:hint="cs"/>
          <w:sz w:val="24"/>
          <w:szCs w:val="24"/>
          <w:rtl/>
        </w:rPr>
        <w:t xml:space="preserve"> לתום תוחלת חייו. מה שאומר במצב דברים זה היו היורשים "נהנים" מהפיצויים בכל מקרה, גם אלמלא הניזוק נהרג בתאונה השנייה.</w:t>
      </w:r>
      <w:r>
        <w:rPr>
          <w:rStyle w:val="a7"/>
          <w:rFonts w:ascii="David" w:hAnsi="David" w:hint="default"/>
          <w:sz w:val="24"/>
          <w:szCs w:val="24"/>
          <w:rtl/>
        </w:rPr>
        <w:footnoteReference w:id="164"/>
      </w:r>
      <w:r w:rsidR="001E7543">
        <w:rPr>
          <w:rFonts w:ascii="David" w:hAnsi="David" w:cs="David" w:hint="cs"/>
          <w:sz w:val="24"/>
          <w:szCs w:val="24"/>
          <w:rtl/>
        </w:rPr>
        <w:t xml:space="preserve"> בעניין זה, עלתה השאלה האם הפיצויים הם טובת הנאה שצמחה ליורשים בעקבות פטירת הניזוק כאשר </w:t>
      </w:r>
      <w:r w:rsidR="00D130D8">
        <w:rPr>
          <w:rFonts w:ascii="David" w:hAnsi="David" w:cs="David" w:hint="cs"/>
          <w:sz w:val="24"/>
          <w:szCs w:val="24"/>
          <w:rtl/>
        </w:rPr>
        <w:t>ביהמ"ש</w:t>
      </w:r>
      <w:r w:rsidR="001E7543">
        <w:rPr>
          <w:rFonts w:ascii="David" w:hAnsi="David" w:cs="David" w:hint="cs"/>
          <w:sz w:val="24"/>
          <w:szCs w:val="24"/>
          <w:rtl/>
        </w:rPr>
        <w:t xml:space="preserve"> השיב על כך בשלילה. </w:t>
      </w:r>
      <w:r w:rsidR="00FC6B13">
        <w:rPr>
          <w:rFonts w:ascii="David" w:hAnsi="David" w:cs="David" w:hint="cs"/>
          <w:sz w:val="24"/>
          <w:szCs w:val="24"/>
          <w:rtl/>
        </w:rPr>
        <w:t xml:space="preserve">יחד עם זאת ביהמ"ש קבע כי מכספי הפיצויים יש לנכות את כל הכספים בהם היה משתמש הניזוק, לצורך הטיפול במצבו, לו היה נותר בחיים, מכיוון שהמערערים לא היו נהנים מכספים אלו. אולם, את </w:t>
      </w:r>
      <w:r w:rsidR="001E7543">
        <w:rPr>
          <w:rFonts w:ascii="David" w:hAnsi="David" w:cs="David" w:hint="cs"/>
          <w:sz w:val="24"/>
          <w:szCs w:val="24"/>
          <w:rtl/>
        </w:rPr>
        <w:t xml:space="preserve">הערך המואץ של הפיצויים הללו אין לנכות. </w:t>
      </w:r>
      <w:r w:rsidR="00FC6B13">
        <w:rPr>
          <w:rFonts w:ascii="David" w:hAnsi="David" w:cs="David" w:hint="cs"/>
          <w:sz w:val="24"/>
          <w:szCs w:val="24"/>
          <w:rtl/>
        </w:rPr>
        <w:t xml:space="preserve">שכן </w:t>
      </w:r>
      <w:r w:rsidR="001E7543">
        <w:rPr>
          <w:rFonts w:ascii="David" w:hAnsi="David" w:cs="David" w:hint="cs"/>
          <w:sz w:val="24"/>
          <w:szCs w:val="24"/>
          <w:rtl/>
        </w:rPr>
        <w:t xml:space="preserve">הפיצוי מבטא נכונה את שווי ההפסד החודשי, כשהוא לאורך משמש </w:t>
      </w:r>
      <w:r w:rsidR="00AD41DC">
        <w:rPr>
          <w:rFonts w:ascii="David" w:hAnsi="David" w:cs="David" w:hint="cs"/>
          <w:sz w:val="24"/>
          <w:szCs w:val="24"/>
          <w:rtl/>
        </w:rPr>
        <w:t>לאורך</w:t>
      </w:r>
      <w:r w:rsidR="001E7543">
        <w:rPr>
          <w:rFonts w:ascii="David" w:hAnsi="David" w:cs="David" w:hint="cs"/>
          <w:sz w:val="24"/>
          <w:szCs w:val="24"/>
          <w:rtl/>
        </w:rPr>
        <w:t xml:space="preserve"> התקופה ובכך ניתן ביטוי להאצה ואין לעשות זאת פעמיים.</w:t>
      </w:r>
      <w:r>
        <w:rPr>
          <w:rStyle w:val="a7"/>
          <w:rFonts w:ascii="David" w:hAnsi="David" w:hint="default"/>
          <w:sz w:val="24"/>
          <w:szCs w:val="24"/>
          <w:rtl/>
        </w:rPr>
        <w:footnoteReference w:id="165"/>
      </w:r>
      <w:r w:rsidR="001E7543">
        <w:rPr>
          <w:rFonts w:ascii="David" w:hAnsi="David" w:cs="David" w:hint="cs"/>
          <w:sz w:val="24"/>
          <w:szCs w:val="24"/>
          <w:rtl/>
        </w:rPr>
        <w:t xml:space="preserve"> </w:t>
      </w:r>
      <w:r w:rsidR="008465B1">
        <w:rPr>
          <w:rFonts w:ascii="David" w:hAnsi="David" w:cs="David" w:hint="cs"/>
          <w:sz w:val="24"/>
          <w:szCs w:val="24"/>
          <w:rtl/>
        </w:rPr>
        <w:t>בנוסף, יש לנכות את מלוא</w:t>
      </w:r>
      <w:r w:rsidR="000E31E8">
        <w:rPr>
          <w:rFonts w:ascii="David" w:hAnsi="David" w:cs="David" w:hint="cs"/>
          <w:sz w:val="24"/>
          <w:szCs w:val="24"/>
          <w:rtl/>
        </w:rPr>
        <w:t xml:space="preserve"> הפיצוי בגין הנזק שאינו ממוני, פיצוי זה מגיע לתלויים מהסיבה שהניזוק נפטר, אם לא היה נפטר זה לא היה מגיע להם כלל.</w:t>
      </w:r>
      <w:r>
        <w:rPr>
          <w:rStyle w:val="a7"/>
          <w:rFonts w:ascii="David" w:hAnsi="David" w:hint="default"/>
          <w:sz w:val="24"/>
          <w:szCs w:val="24"/>
          <w:rtl/>
        </w:rPr>
        <w:footnoteReference w:id="166"/>
      </w:r>
      <w:r w:rsidR="000E31E8">
        <w:rPr>
          <w:rFonts w:ascii="David" w:hAnsi="David" w:cs="David" w:hint="cs"/>
          <w:sz w:val="24"/>
          <w:szCs w:val="24"/>
          <w:rtl/>
        </w:rPr>
        <w:t xml:space="preserve"> </w:t>
      </w:r>
    </w:p>
    <w:p w:rsidR="00152FAB" w:rsidRDefault="00BE211D" w:rsidP="00AE449E">
      <w:pPr>
        <w:pStyle w:val="ae"/>
        <w:spacing w:line="360" w:lineRule="auto"/>
        <w:jc w:val="both"/>
        <w:rPr>
          <w:rFonts w:ascii="David" w:hAnsi="David" w:cs="David"/>
          <w:sz w:val="24"/>
          <w:szCs w:val="24"/>
          <w:rtl/>
        </w:rPr>
      </w:pPr>
      <w:r>
        <w:rPr>
          <w:rFonts w:ascii="David" w:hAnsi="David" w:cs="David" w:hint="cs"/>
          <w:sz w:val="24"/>
          <w:szCs w:val="24"/>
          <w:rtl/>
        </w:rPr>
        <w:t xml:space="preserve">בפסק דין </w:t>
      </w:r>
      <w:r w:rsidR="00AE449E">
        <w:rPr>
          <w:rFonts w:ascii="David" w:hAnsi="David" w:cs="David" w:hint="cs"/>
          <w:sz w:val="24"/>
          <w:szCs w:val="24"/>
          <w:rtl/>
        </w:rPr>
        <w:t xml:space="preserve">זה </w:t>
      </w:r>
      <w:r>
        <w:rPr>
          <w:rFonts w:ascii="David" w:hAnsi="David" w:cs="David" w:hint="cs"/>
          <w:sz w:val="24"/>
          <w:szCs w:val="24"/>
          <w:rtl/>
        </w:rPr>
        <w:t xml:space="preserve">יוצרת השופטת </w:t>
      </w:r>
      <w:r w:rsidR="000660A9">
        <w:rPr>
          <w:rFonts w:ascii="David" w:hAnsi="David" w:cs="David" w:hint="cs"/>
          <w:sz w:val="24"/>
          <w:szCs w:val="24"/>
          <w:rtl/>
        </w:rPr>
        <w:t xml:space="preserve">נתניהו שאליה מצטרפים הנשיא שמגר והשופט ברק </w:t>
      </w:r>
      <w:r>
        <w:rPr>
          <w:rFonts w:ascii="David" w:hAnsi="David" w:cs="David" w:hint="cs"/>
          <w:sz w:val="24"/>
          <w:szCs w:val="24"/>
          <w:rtl/>
        </w:rPr>
        <w:t xml:space="preserve">ראש נזק חדש </w:t>
      </w:r>
      <w:r>
        <w:rPr>
          <w:rFonts w:ascii="David" w:hAnsi="David" w:cs="David"/>
          <w:sz w:val="24"/>
          <w:szCs w:val="24"/>
          <w:rtl/>
        </w:rPr>
        <w:t>–</w:t>
      </w:r>
      <w:r>
        <w:rPr>
          <w:rFonts w:ascii="David" w:hAnsi="David" w:cs="David" w:hint="cs"/>
          <w:sz w:val="24"/>
          <w:szCs w:val="24"/>
          <w:rtl/>
        </w:rPr>
        <w:t xml:space="preserve"> אובדן זכות תביעה. ראש נזק זה נשאר צמוד למבחן האילמלא. מבחן האילמלא </w:t>
      </w:r>
      <w:r>
        <w:rPr>
          <w:rFonts w:ascii="David" w:hAnsi="David" w:cs="David"/>
          <w:sz w:val="24"/>
          <w:szCs w:val="24"/>
          <w:rtl/>
        </w:rPr>
        <w:t>–</w:t>
      </w:r>
      <w:r>
        <w:rPr>
          <w:rFonts w:ascii="David" w:hAnsi="David" w:cs="David" w:hint="cs"/>
          <w:sz w:val="24"/>
          <w:szCs w:val="24"/>
          <w:rtl/>
        </w:rPr>
        <w:t xml:space="preserve"> מבחן הגורם בלעדיו אין </w:t>
      </w:r>
      <w:r w:rsidR="005D3E19">
        <w:rPr>
          <w:rFonts w:ascii="David" w:hAnsi="David" w:cs="David" w:hint="cs"/>
          <w:sz w:val="24"/>
          <w:szCs w:val="24"/>
          <w:rtl/>
        </w:rPr>
        <w:t xml:space="preserve">- </w:t>
      </w:r>
      <w:r>
        <w:rPr>
          <w:rFonts w:ascii="David" w:hAnsi="David" w:cs="David" w:hint="cs"/>
          <w:sz w:val="24"/>
          <w:szCs w:val="24"/>
          <w:rtl/>
        </w:rPr>
        <w:t>צריך לתת את התשובה לשאלה האם אילמלא הפעילות המזיקה, לא היה נגרם הנזק. מבחן זה בעל משמעות במקרים בהם יותר מ</w:t>
      </w:r>
      <w:r>
        <w:rPr>
          <w:rFonts w:ascii="David" w:hAnsi="David" w:cs="David" w:hint="cs"/>
          <w:sz w:val="24"/>
          <w:szCs w:val="24"/>
          <w:rtl/>
        </w:rPr>
        <w:t xml:space="preserve">גורם אחד הביא לתוצאה נזיקית, בצורה שאם המעשה בו מדובר הוא הסיבה היחידה לנזק, למבחן זה אין מקום להחילו. </w:t>
      </w:r>
      <w:r w:rsidR="00FA01EF">
        <w:rPr>
          <w:rFonts w:ascii="David" w:hAnsi="David" w:cs="David" w:hint="cs"/>
          <w:sz w:val="24"/>
          <w:szCs w:val="24"/>
          <w:rtl/>
        </w:rPr>
        <w:t>זהו מבחן רחב שבו כל גורם ייחשב סיבה עובדתית לתוצאה נזיקית, אם הדבר היה הכרחי להתרחשותה.</w:t>
      </w:r>
      <w:r>
        <w:rPr>
          <w:rStyle w:val="a7"/>
          <w:rFonts w:ascii="David" w:hAnsi="David" w:hint="default"/>
          <w:sz w:val="24"/>
          <w:szCs w:val="24"/>
          <w:rtl/>
        </w:rPr>
        <w:footnoteReference w:id="167"/>
      </w:r>
    </w:p>
    <w:p w:rsidR="00AB5FA6" w:rsidRPr="00453769" w:rsidRDefault="00BE211D" w:rsidP="00666CAE">
      <w:pPr>
        <w:pStyle w:val="ae"/>
        <w:spacing w:line="360" w:lineRule="auto"/>
        <w:jc w:val="both"/>
        <w:rPr>
          <w:rFonts w:ascii="David" w:hAnsi="David" w:cs="David"/>
          <w:sz w:val="24"/>
          <w:szCs w:val="24"/>
          <w:rtl/>
        </w:rPr>
      </w:pPr>
      <w:r>
        <w:rPr>
          <w:rFonts w:ascii="David" w:hAnsi="David" w:cs="David" w:hint="cs"/>
          <w:sz w:val="24"/>
          <w:szCs w:val="24"/>
          <w:rtl/>
        </w:rPr>
        <w:lastRenderedPageBreak/>
        <w:t>ניתן לנתח את פרשת חננשוילי כבליעה והחמרת הנזק. לעניין החמרת הנזק - מתרחש כאשר ישנו נזק ראשון ונזק השני המזיק השני החמיר את הנזק הראשון. בעניין זה החמרה באה לידי ביטוי כבליעה של נזק משום שהיא כוללת בתוכה את אחוזי הנכות שכבר היו לניזוק כתוצאה מהנזק הראשון. ל</w:t>
      </w:r>
      <w:r>
        <w:rPr>
          <w:rFonts w:ascii="David" w:hAnsi="David" w:cs="David" w:hint="cs"/>
          <w:sz w:val="24"/>
          <w:szCs w:val="24"/>
          <w:rtl/>
        </w:rPr>
        <w:t xml:space="preserve">עניין הבליעה </w:t>
      </w:r>
      <w:r>
        <w:rPr>
          <w:rFonts w:ascii="David" w:hAnsi="David" w:cs="David"/>
          <w:sz w:val="24"/>
          <w:szCs w:val="24"/>
          <w:rtl/>
        </w:rPr>
        <w:t>–</w:t>
      </w:r>
      <w:r>
        <w:rPr>
          <w:rFonts w:ascii="David" w:hAnsi="David" w:cs="David" w:hint="cs"/>
          <w:sz w:val="24"/>
          <w:szCs w:val="24"/>
          <w:rtl/>
        </w:rPr>
        <w:t xml:space="preserve"> כאשר לניזוק נגרם נזק ראשון וטרם ניתן פיצוי לגביו, לאחר מכן מתרחש נזק שני שנבלע בתוך הנזק השני המאוחר יותר. במצב דברים זה, הנזק השני הופך את הנזק הראשון ללא רלוונטי מהסיבה שמתנתק הקשר הסיבתי לגביו. במילים אחרות, אם הנזק השני לא נגרם כתוצאה מה</w:t>
      </w:r>
      <w:r>
        <w:rPr>
          <w:rFonts w:ascii="David" w:hAnsi="David" w:cs="David" w:hint="cs"/>
          <w:sz w:val="24"/>
          <w:szCs w:val="24"/>
          <w:rtl/>
        </w:rPr>
        <w:t xml:space="preserve">נזק הראשון, והוא כולל בתוכו את הנזק הראשון וגם נזקים נוספים, הקשר הסיבתי מתנתק בין המזיק הראשון לבין הנזק הראשון והניזוק יפרע רק מהמזיק השני. מכאן כי הלכת חננשוילי היא שהמזיק השני יישא במלוא הנזק מכיוון שמדובר בבליעת הנזק. </w:t>
      </w:r>
      <w:r w:rsidR="00685241">
        <w:rPr>
          <w:rFonts w:ascii="David" w:hAnsi="David" w:cs="David" w:hint="cs"/>
          <w:sz w:val="24"/>
          <w:szCs w:val="24"/>
          <w:rtl/>
        </w:rPr>
        <w:t>בנוסף וכפי שצוין לעיל, תקום עילה של אובדן זכות התביעה כלפי המז</w:t>
      </w:r>
      <w:r w:rsidR="001E7727">
        <w:rPr>
          <w:rFonts w:ascii="David" w:hAnsi="David" w:cs="David" w:hint="cs"/>
          <w:sz w:val="24"/>
          <w:szCs w:val="24"/>
          <w:rtl/>
        </w:rPr>
        <w:t>יק הראשון כיוון שהמזיק השני ניתק</w:t>
      </w:r>
      <w:r w:rsidR="00685241">
        <w:rPr>
          <w:rFonts w:ascii="David" w:hAnsi="David" w:cs="David" w:hint="cs"/>
          <w:sz w:val="24"/>
          <w:szCs w:val="24"/>
          <w:rtl/>
        </w:rPr>
        <w:t xml:space="preserve"> את הקשר הסיבתי למזיק הראשון. </w:t>
      </w:r>
    </w:p>
    <w:p w:rsidR="00453769" w:rsidRDefault="00BE211D" w:rsidP="00937E86">
      <w:pPr>
        <w:pStyle w:val="ae"/>
        <w:spacing w:line="360" w:lineRule="auto"/>
        <w:jc w:val="both"/>
        <w:rPr>
          <w:rFonts w:ascii="David" w:hAnsi="David" w:cs="David"/>
          <w:b/>
          <w:bCs/>
          <w:sz w:val="24"/>
          <w:szCs w:val="24"/>
          <w:u w:val="single"/>
          <w:rtl/>
        </w:rPr>
      </w:pPr>
      <w:r>
        <w:rPr>
          <w:rFonts w:ascii="David" w:hAnsi="David" w:cs="David" w:hint="cs"/>
          <w:b/>
          <w:bCs/>
          <w:sz w:val="24"/>
          <w:szCs w:val="24"/>
          <w:u w:val="single"/>
          <w:rtl/>
        </w:rPr>
        <w:t xml:space="preserve">ד2. </w:t>
      </w:r>
      <w:r w:rsidR="0097247B">
        <w:rPr>
          <w:rFonts w:ascii="David" w:hAnsi="David" w:cs="David" w:hint="cs"/>
          <w:b/>
          <w:bCs/>
          <w:sz w:val="24"/>
          <w:szCs w:val="24"/>
          <w:u w:val="single"/>
          <w:rtl/>
        </w:rPr>
        <w:t>נזק כלכלי טהור</w:t>
      </w:r>
    </w:p>
    <w:p w:rsidR="0097247B" w:rsidRDefault="00BE211D" w:rsidP="008F73E6">
      <w:pPr>
        <w:pStyle w:val="ae"/>
        <w:spacing w:line="360" w:lineRule="auto"/>
        <w:jc w:val="both"/>
        <w:rPr>
          <w:rFonts w:ascii="David" w:hAnsi="David" w:cs="David"/>
          <w:sz w:val="24"/>
          <w:szCs w:val="24"/>
          <w:rtl/>
        </w:rPr>
      </w:pPr>
      <w:r>
        <w:rPr>
          <w:rFonts w:ascii="David" w:hAnsi="David" w:cs="David" w:hint="cs"/>
          <w:sz w:val="24"/>
          <w:szCs w:val="24"/>
          <w:rtl/>
        </w:rPr>
        <w:t>נזק כלכלי טהור הוא נזק המתבטא בהפסד ממון בלא שנלווה אליו נזק גוף או רכוש, ושלגביו מיושם כלל שלילה הקובע כי אין חובת זהירות של יוצר סיכון למי שניז</w:t>
      </w:r>
      <w:r>
        <w:rPr>
          <w:rFonts w:ascii="David" w:hAnsi="David" w:cs="David" w:hint="cs"/>
          <w:sz w:val="24"/>
          <w:szCs w:val="24"/>
          <w:rtl/>
        </w:rPr>
        <w:t>וק נזק כלכלי טהור כתוצאה מהתממשות הסיכון. קרי, כאשר מדובר בנזק כלכלי בלבד לא קמה חבות בנזיקין. דיני הנזיקין הקלאסיים הגנו בעיקר על אינטרסים של גוף ורכוש לעומת זאת, על אינטרסים כלכליים טהורים הגנו פחות.</w:t>
      </w:r>
      <w:r>
        <w:rPr>
          <w:rStyle w:val="a7"/>
          <w:rFonts w:ascii="David" w:hAnsi="David" w:hint="default"/>
          <w:sz w:val="24"/>
          <w:szCs w:val="24"/>
          <w:rtl/>
        </w:rPr>
        <w:footnoteReference w:id="168"/>
      </w:r>
      <w:r w:rsidR="00082B1D">
        <w:rPr>
          <w:rFonts w:ascii="David" w:hAnsi="David" w:cs="David" w:hint="cs"/>
          <w:sz w:val="24"/>
          <w:szCs w:val="24"/>
          <w:rtl/>
        </w:rPr>
        <w:t xml:space="preserve"> החתירה של המשפט </w:t>
      </w:r>
      <w:r w:rsidR="00156278">
        <w:rPr>
          <w:rFonts w:ascii="David" w:hAnsi="David" w:cs="David" w:hint="cs"/>
          <w:sz w:val="24"/>
          <w:szCs w:val="24"/>
          <w:rtl/>
        </w:rPr>
        <w:t xml:space="preserve">היא </w:t>
      </w:r>
      <w:r w:rsidR="00082B1D">
        <w:rPr>
          <w:rFonts w:ascii="David" w:hAnsi="David" w:cs="David" w:hint="cs"/>
          <w:sz w:val="24"/>
          <w:szCs w:val="24"/>
          <w:rtl/>
        </w:rPr>
        <w:t xml:space="preserve">לתעל את הצדדים להקצות סיכונים באמצעות חוזה, זאת אומרת לחלק את הסיכונים בעצמם על ידי משא ומתן ובאמצעות הסכמים. בשיטת המשפט האנגלו-אמריקאית ניכרת זהירות בעניין הטלת אחריות בגין גרימה רשלנית של נזק כלכלי טהור. מנגד שיטת המשפט הישראלית </w:t>
      </w:r>
      <w:r w:rsidR="00C44E52">
        <w:rPr>
          <w:rFonts w:ascii="David" w:hAnsi="David" w:cs="David" w:hint="cs"/>
          <w:sz w:val="24"/>
          <w:szCs w:val="24"/>
          <w:rtl/>
        </w:rPr>
        <w:t>שונה</w:t>
      </w:r>
      <w:r w:rsidR="00082B1D">
        <w:rPr>
          <w:rFonts w:ascii="David" w:hAnsi="David" w:cs="David" w:hint="cs"/>
          <w:sz w:val="24"/>
          <w:szCs w:val="24"/>
          <w:rtl/>
        </w:rPr>
        <w:t xml:space="preserve"> ולעיתים נדמה כי לא מבחינים בין נזק כלכלי טהור לבין נזק פיזי.</w:t>
      </w:r>
      <w:r>
        <w:rPr>
          <w:rStyle w:val="a7"/>
          <w:rFonts w:ascii="David" w:hAnsi="David" w:hint="default"/>
          <w:sz w:val="24"/>
          <w:szCs w:val="24"/>
          <w:rtl/>
        </w:rPr>
        <w:footnoteReference w:id="169"/>
      </w:r>
      <w:r w:rsidR="00B52929">
        <w:rPr>
          <w:rFonts w:ascii="David" w:hAnsi="David" w:cs="David" w:hint="cs"/>
          <w:sz w:val="24"/>
          <w:szCs w:val="24"/>
          <w:rtl/>
        </w:rPr>
        <w:t>לכאורה</w:t>
      </w:r>
      <w:r w:rsidR="00C44E52">
        <w:rPr>
          <w:rFonts w:ascii="David" w:hAnsi="David" w:cs="David" w:hint="cs"/>
          <w:sz w:val="24"/>
          <w:szCs w:val="24"/>
          <w:rtl/>
        </w:rPr>
        <w:t>,</w:t>
      </w:r>
      <w:r w:rsidR="00B52929">
        <w:rPr>
          <w:rFonts w:ascii="David" w:hAnsi="David" w:cs="David" w:hint="cs"/>
          <w:sz w:val="24"/>
          <w:szCs w:val="24"/>
          <w:rtl/>
        </w:rPr>
        <w:t xml:space="preserve"> במבט ראשוני</w:t>
      </w:r>
      <w:r w:rsidR="00CB79D7">
        <w:rPr>
          <w:rFonts w:ascii="David" w:hAnsi="David" w:cs="David" w:hint="cs"/>
          <w:sz w:val="24"/>
          <w:szCs w:val="24"/>
          <w:rtl/>
        </w:rPr>
        <w:t>,</w:t>
      </w:r>
      <w:r w:rsidR="00B52929">
        <w:rPr>
          <w:rFonts w:ascii="David" w:hAnsi="David" w:cs="David" w:hint="cs"/>
          <w:sz w:val="24"/>
          <w:szCs w:val="24"/>
          <w:rtl/>
        </w:rPr>
        <w:t xml:space="preserve"> נזק כלכלי טהור </w:t>
      </w:r>
      <w:r w:rsidR="00CB79D7">
        <w:rPr>
          <w:rFonts w:ascii="David" w:hAnsi="David" w:cs="David" w:hint="cs"/>
          <w:sz w:val="24"/>
          <w:szCs w:val="24"/>
          <w:rtl/>
        </w:rPr>
        <w:t xml:space="preserve">עלול </w:t>
      </w:r>
      <w:r w:rsidR="00B52929">
        <w:rPr>
          <w:rFonts w:ascii="David" w:hAnsi="David" w:cs="David" w:hint="cs"/>
          <w:sz w:val="24"/>
          <w:szCs w:val="24"/>
          <w:rtl/>
        </w:rPr>
        <w:t xml:space="preserve">לפגוע ברווחתו של הניזוק לא פחות מנזק של רכוש או גוף. נזק גוף יכול להתבטא גם הוא בנזקים כלכליים, כמו למשל הפסד השתכרות. </w:t>
      </w:r>
      <w:r w:rsidR="00CE7723">
        <w:rPr>
          <w:rFonts w:ascii="David" w:hAnsi="David" w:cs="David" w:hint="cs"/>
          <w:sz w:val="24"/>
          <w:szCs w:val="24"/>
          <w:rtl/>
        </w:rPr>
        <w:t>בפסיקה נראים מספר חריגים, לדוגמא כאשר מדובר באחריות המדינה או באחריות של רשות ציבורית נרצה להניח כי דווקא קיימת צפיות נורמטיבית של המדינה כלפי הנזקים הכלכליים הטהורים.</w:t>
      </w:r>
      <w:r>
        <w:rPr>
          <w:rStyle w:val="a7"/>
          <w:rFonts w:ascii="David" w:hAnsi="David" w:hint="default"/>
          <w:sz w:val="24"/>
          <w:szCs w:val="24"/>
          <w:rtl/>
        </w:rPr>
        <w:footnoteReference w:id="170"/>
      </w:r>
      <w:r w:rsidR="00461401">
        <w:rPr>
          <w:rFonts w:ascii="David" w:hAnsi="David" w:cs="David" w:hint="cs"/>
          <w:sz w:val="24"/>
          <w:szCs w:val="24"/>
          <w:rtl/>
        </w:rPr>
        <w:t xml:space="preserve"> חריג נוסף מאופיין במצב של מצג שווא רשלני. כאמור, </w:t>
      </w:r>
      <w:r w:rsidR="008F73E6">
        <w:rPr>
          <w:rFonts w:ascii="David" w:hAnsi="David" w:cs="David" w:hint="cs"/>
          <w:sz w:val="24"/>
          <w:szCs w:val="24"/>
          <w:rtl/>
        </w:rPr>
        <w:t>ביהמ"ש</w:t>
      </w:r>
      <w:r w:rsidR="00461401">
        <w:rPr>
          <w:rFonts w:ascii="David" w:hAnsi="David" w:cs="David" w:hint="cs"/>
          <w:sz w:val="24"/>
          <w:szCs w:val="24"/>
          <w:rtl/>
        </w:rPr>
        <w:t xml:space="preserve"> מנסה לתעל את הצדדים להקצות סיכונים לפי ההסכמים שמתקיימים ביניהם ובעצמם. אך, חריג זה קובע כי כאשר אותם ההסכמים נכרתו בהתאם למצב עובדתי שגוי, חריג זה לא יתקיים.</w:t>
      </w:r>
      <w:r>
        <w:rPr>
          <w:rStyle w:val="a7"/>
          <w:rFonts w:ascii="David" w:hAnsi="David" w:hint="default"/>
          <w:sz w:val="24"/>
          <w:szCs w:val="24"/>
          <w:rtl/>
        </w:rPr>
        <w:footnoteReference w:id="171"/>
      </w:r>
      <w:r w:rsidR="00461401">
        <w:rPr>
          <w:rFonts w:ascii="David" w:hAnsi="David" w:cs="David" w:hint="cs"/>
          <w:sz w:val="24"/>
          <w:szCs w:val="24"/>
          <w:rtl/>
        </w:rPr>
        <w:t xml:space="preserve"> </w:t>
      </w:r>
      <w:r w:rsidR="00B07033">
        <w:rPr>
          <w:rFonts w:ascii="David" w:hAnsi="David" w:cs="David" w:hint="cs"/>
          <w:sz w:val="24"/>
          <w:szCs w:val="24"/>
          <w:rtl/>
        </w:rPr>
        <w:t xml:space="preserve">חריג חשוב אחר הוא </w:t>
      </w:r>
      <w:r w:rsidR="00B07033">
        <w:rPr>
          <w:rFonts w:ascii="David" w:hAnsi="David" w:cs="David" w:hint="cs"/>
          <w:sz w:val="24"/>
          <w:szCs w:val="24"/>
        </w:rPr>
        <w:t>U</w:t>
      </w:r>
      <w:r w:rsidR="00B07033">
        <w:rPr>
          <w:rFonts w:ascii="David" w:hAnsi="David" w:cs="David"/>
          <w:sz w:val="24"/>
          <w:szCs w:val="24"/>
        </w:rPr>
        <w:t>ndertake</w:t>
      </w:r>
      <w:r w:rsidR="00B07033">
        <w:rPr>
          <w:rFonts w:ascii="David" w:hAnsi="David" w:cs="David" w:hint="cs"/>
          <w:sz w:val="24"/>
          <w:szCs w:val="24"/>
          <w:rtl/>
        </w:rPr>
        <w:t xml:space="preserve"> אשר עוסק במצבים בהם יוצר הסיכון ביצע פעילות שנלווית לה סיכון, זאת מתוך מטרה או ידיעה שניזוק משני, או לחילופין צד שלישי יסתמך על </w:t>
      </w:r>
      <w:r w:rsidR="007D5B09">
        <w:rPr>
          <w:rFonts w:ascii="David" w:hAnsi="David" w:cs="David" w:hint="cs"/>
          <w:sz w:val="24"/>
          <w:szCs w:val="24"/>
          <w:rtl/>
        </w:rPr>
        <w:t>פעולותיו</w:t>
      </w:r>
      <w:r w:rsidR="00B07033">
        <w:rPr>
          <w:rFonts w:ascii="David" w:hAnsi="David" w:cs="David" w:hint="cs"/>
          <w:sz w:val="24"/>
          <w:szCs w:val="24"/>
          <w:rtl/>
        </w:rPr>
        <w:t>. לבסוף, ניתן לומר כי גם בשיטות משפט בהם לא נהוג לפסוק פיצוי בגין גרימה רשלנית של נזק כלכלי טהור לא יימנעו בתי המשפט מפסוק פיצויים בגין נזק כלכלי אשר נלווה לנזק פיזי.</w:t>
      </w:r>
      <w:r>
        <w:rPr>
          <w:rStyle w:val="a7"/>
          <w:rFonts w:ascii="David" w:hAnsi="David" w:hint="default"/>
          <w:sz w:val="24"/>
          <w:szCs w:val="24"/>
          <w:rtl/>
        </w:rPr>
        <w:footnoteReference w:id="172"/>
      </w:r>
    </w:p>
    <w:p w:rsidR="0029242C" w:rsidRDefault="0029242C" w:rsidP="008F73E6">
      <w:pPr>
        <w:pStyle w:val="ae"/>
        <w:spacing w:line="360" w:lineRule="auto"/>
        <w:jc w:val="both"/>
        <w:rPr>
          <w:rFonts w:ascii="David" w:hAnsi="David" w:cs="David"/>
          <w:sz w:val="24"/>
          <w:szCs w:val="24"/>
          <w:rtl/>
        </w:rPr>
      </w:pPr>
    </w:p>
    <w:p w:rsidR="0029242C" w:rsidRDefault="0029242C" w:rsidP="008F73E6">
      <w:pPr>
        <w:pStyle w:val="ae"/>
        <w:spacing w:line="360" w:lineRule="auto"/>
        <w:jc w:val="both"/>
        <w:rPr>
          <w:rFonts w:ascii="David" w:hAnsi="David" w:cs="David"/>
          <w:sz w:val="24"/>
          <w:szCs w:val="24"/>
          <w:rtl/>
        </w:rPr>
      </w:pPr>
    </w:p>
    <w:p w:rsidR="00195766" w:rsidRDefault="00BE211D" w:rsidP="00082B1D">
      <w:pPr>
        <w:pStyle w:val="ae"/>
        <w:spacing w:line="360" w:lineRule="auto"/>
        <w:jc w:val="both"/>
        <w:rPr>
          <w:rFonts w:ascii="David" w:hAnsi="David" w:cs="David"/>
          <w:b/>
          <w:bCs/>
          <w:sz w:val="24"/>
          <w:szCs w:val="24"/>
          <w:u w:val="single"/>
          <w:rtl/>
        </w:rPr>
      </w:pPr>
      <w:r>
        <w:rPr>
          <w:rFonts w:ascii="David" w:hAnsi="David" w:cs="David" w:hint="cs"/>
          <w:b/>
          <w:bCs/>
          <w:sz w:val="24"/>
          <w:szCs w:val="24"/>
          <w:u w:val="single"/>
          <w:rtl/>
        </w:rPr>
        <w:lastRenderedPageBreak/>
        <w:t>ד3. שיקולי מדיניות</w:t>
      </w:r>
      <w:r w:rsidR="00482DBA">
        <w:rPr>
          <w:rFonts w:ascii="David" w:hAnsi="David" w:cs="David" w:hint="cs"/>
          <w:b/>
          <w:bCs/>
          <w:sz w:val="24"/>
          <w:szCs w:val="24"/>
          <w:u w:val="single"/>
          <w:rtl/>
        </w:rPr>
        <w:t xml:space="preserve"> בעד צמצום אחריות</w:t>
      </w:r>
    </w:p>
    <w:p w:rsidR="00195766" w:rsidRDefault="00BE211D" w:rsidP="008F73E6">
      <w:pPr>
        <w:pStyle w:val="ae"/>
        <w:spacing w:line="360" w:lineRule="auto"/>
        <w:jc w:val="both"/>
        <w:rPr>
          <w:rFonts w:ascii="David" w:hAnsi="David" w:cs="David"/>
          <w:sz w:val="24"/>
          <w:szCs w:val="24"/>
          <w:rtl/>
        </w:rPr>
      </w:pPr>
      <w:r>
        <w:rPr>
          <w:rFonts w:ascii="David" w:hAnsi="David" w:cs="David" w:hint="cs"/>
          <w:sz w:val="24"/>
          <w:szCs w:val="24"/>
          <w:rtl/>
        </w:rPr>
        <w:t>החשש מהרחבת חוג התובעים הוא טיעון מרכזי בעד צמצום הא</w:t>
      </w:r>
      <w:r>
        <w:rPr>
          <w:rFonts w:ascii="David" w:hAnsi="David" w:cs="David" w:hint="cs"/>
          <w:sz w:val="24"/>
          <w:szCs w:val="24"/>
          <w:rtl/>
        </w:rPr>
        <w:t>חריות הנזיקית בגין גרימה רשלנית של נזק כלכלי טהור.</w:t>
      </w:r>
      <w:r>
        <w:rPr>
          <w:rStyle w:val="a7"/>
          <w:rFonts w:ascii="David" w:hAnsi="David" w:hint="default"/>
          <w:sz w:val="24"/>
          <w:szCs w:val="24"/>
          <w:rtl/>
        </w:rPr>
        <w:footnoteReference w:id="173"/>
      </w:r>
      <w:r w:rsidR="00F85DA5">
        <w:rPr>
          <w:rFonts w:ascii="David" w:hAnsi="David" w:cs="David" w:hint="cs"/>
          <w:sz w:val="24"/>
          <w:szCs w:val="24"/>
          <w:rtl/>
        </w:rPr>
        <w:t xml:space="preserve"> אם בגין כל תאונה כל ניזוק שנגרם לו נזק כלכלי טהור</w:t>
      </w:r>
      <w:r w:rsidR="00CB5265">
        <w:rPr>
          <w:rFonts w:ascii="David" w:hAnsi="David" w:cs="David" w:hint="cs"/>
          <w:sz w:val="24"/>
          <w:szCs w:val="24"/>
          <w:rtl/>
        </w:rPr>
        <w:t xml:space="preserve"> יוכל</w:t>
      </w:r>
      <w:r w:rsidR="00F85DA5">
        <w:rPr>
          <w:rFonts w:ascii="David" w:hAnsi="David" w:cs="David" w:hint="cs"/>
          <w:sz w:val="24"/>
          <w:szCs w:val="24"/>
          <w:rtl/>
        </w:rPr>
        <w:t xml:space="preserve"> לתבוע את המזיק, תאונה זו עלולה לגרור מספר לא מבוטל של תביעות, הדבר ייצור עומס בבתי המשפט ופעילותו של המזיק תוכבד.</w:t>
      </w:r>
      <w:r>
        <w:rPr>
          <w:rStyle w:val="a7"/>
          <w:rFonts w:ascii="David" w:hAnsi="David" w:hint="default"/>
          <w:sz w:val="24"/>
          <w:szCs w:val="24"/>
          <w:rtl/>
        </w:rPr>
        <w:footnoteReference w:id="174"/>
      </w:r>
      <w:r w:rsidR="00922E17">
        <w:rPr>
          <w:rFonts w:ascii="David" w:hAnsi="David" w:cs="David" w:hint="cs"/>
          <w:sz w:val="24"/>
          <w:szCs w:val="24"/>
          <w:rtl/>
        </w:rPr>
        <w:t xml:space="preserve"> כהמחשה לכך ניתן בפסיקה בארה"ב בעניין </w:t>
      </w:r>
      <w:r w:rsidR="00922E17">
        <w:rPr>
          <w:rFonts w:ascii="David" w:hAnsi="David" w:cs="David"/>
          <w:sz w:val="24"/>
          <w:szCs w:val="24"/>
        </w:rPr>
        <w:t>Prui</w:t>
      </w:r>
      <w:r w:rsidR="00F44A92">
        <w:rPr>
          <w:rFonts w:ascii="David" w:hAnsi="David" w:cs="David"/>
          <w:sz w:val="24"/>
          <w:szCs w:val="24"/>
        </w:rPr>
        <w:t>t</w:t>
      </w:r>
      <w:r w:rsidR="00922E17">
        <w:rPr>
          <w:rFonts w:ascii="David" w:hAnsi="David" w:cs="David"/>
          <w:sz w:val="24"/>
          <w:szCs w:val="24"/>
        </w:rPr>
        <w:t>t</w:t>
      </w:r>
      <w:r w:rsidR="00922E17">
        <w:rPr>
          <w:rFonts w:ascii="David" w:hAnsi="David" w:cs="David" w:hint="cs"/>
          <w:sz w:val="24"/>
          <w:szCs w:val="24"/>
          <w:rtl/>
        </w:rPr>
        <w:t>,</w:t>
      </w:r>
      <w:r>
        <w:rPr>
          <w:rStyle w:val="a7"/>
          <w:rFonts w:ascii="David" w:hAnsi="David" w:hint="default"/>
          <w:sz w:val="24"/>
          <w:szCs w:val="24"/>
          <w:rtl/>
        </w:rPr>
        <w:footnoteReference w:id="175"/>
      </w:r>
      <w:r w:rsidR="00922E17">
        <w:rPr>
          <w:rFonts w:ascii="David" w:hAnsi="David" w:cs="David" w:hint="cs"/>
          <w:sz w:val="24"/>
          <w:szCs w:val="24"/>
          <w:rtl/>
        </w:rPr>
        <w:t xml:space="preserve"> שבעצם עשוי להמחיש את החשש מ</w:t>
      </w:r>
      <w:r w:rsidR="00CB5265">
        <w:rPr>
          <w:rFonts w:ascii="David" w:hAnsi="David" w:cs="David" w:hint="cs"/>
          <w:sz w:val="24"/>
          <w:szCs w:val="24"/>
          <w:rtl/>
        </w:rPr>
        <w:t>ה</w:t>
      </w:r>
      <w:r w:rsidR="00922E17">
        <w:rPr>
          <w:rFonts w:ascii="David" w:hAnsi="David" w:cs="David" w:hint="cs"/>
          <w:sz w:val="24"/>
          <w:szCs w:val="24"/>
          <w:rtl/>
        </w:rPr>
        <w:t xml:space="preserve">רחבת חוג התובעים אם תוטל אחריות נזיקין בגין נזק כלכלי טהור ללא מגבלות. </w:t>
      </w:r>
      <w:r w:rsidR="00F44A92">
        <w:rPr>
          <w:rFonts w:ascii="David" w:hAnsi="David" w:cs="David" w:hint="cs"/>
          <w:sz w:val="24"/>
          <w:szCs w:val="24"/>
          <w:rtl/>
        </w:rPr>
        <w:t xml:space="preserve">במקרה זה דובר על זיהום הנהר ומפרץ בחומר כימי מסוים אשר גרם להשמדת הדגה. התובעים היו רבים ובעצם כל מי שהיה לו קשר לנהר ולמפרץ </w:t>
      </w:r>
      <w:r w:rsidR="00F44A92">
        <w:rPr>
          <w:rFonts w:ascii="David" w:hAnsi="David" w:cs="David"/>
          <w:sz w:val="24"/>
          <w:szCs w:val="24"/>
          <w:rtl/>
        </w:rPr>
        <w:t>–</w:t>
      </w:r>
      <w:r w:rsidR="00F44A92">
        <w:rPr>
          <w:rFonts w:ascii="David" w:hAnsi="David" w:cs="David" w:hint="cs"/>
          <w:sz w:val="24"/>
          <w:szCs w:val="24"/>
          <w:rtl/>
        </w:rPr>
        <w:t xml:space="preserve"> בעלי מסעדות, סיטונאים, דייגים וכיו"ב. כל אלו טענו שעקב זיהום הנהר והמפרץ נפגעה פרנסתם ורווחתם. </w:t>
      </w:r>
      <w:r w:rsidR="001213AE">
        <w:rPr>
          <w:rFonts w:ascii="David" w:hAnsi="David" w:cs="David" w:hint="cs"/>
          <w:sz w:val="24"/>
          <w:szCs w:val="24"/>
          <w:rtl/>
        </w:rPr>
        <w:t>ביהמ"ש</w:t>
      </w:r>
      <w:r w:rsidR="00F44A92">
        <w:rPr>
          <w:rFonts w:ascii="David" w:hAnsi="David" w:cs="David" w:hint="cs"/>
          <w:sz w:val="24"/>
          <w:szCs w:val="24"/>
          <w:rtl/>
        </w:rPr>
        <w:t xml:space="preserve"> הכריע בסוגיה הזאת והטיל על הנתבעת אחריות רק כלפי אלו שפעלו "על המים או על גדות המים", בעוד שאת שאר התובעים </w:t>
      </w:r>
      <w:r w:rsidR="008F73E6">
        <w:rPr>
          <w:rFonts w:ascii="David" w:hAnsi="David" w:cs="David" w:hint="cs"/>
          <w:sz w:val="24"/>
          <w:szCs w:val="24"/>
          <w:rtl/>
        </w:rPr>
        <w:t>ביהמ"ש</w:t>
      </w:r>
      <w:r w:rsidR="00F44A92">
        <w:rPr>
          <w:rFonts w:ascii="David" w:hAnsi="David" w:cs="David" w:hint="cs"/>
          <w:sz w:val="24"/>
          <w:szCs w:val="24"/>
          <w:rtl/>
        </w:rPr>
        <w:t xml:space="preserve"> דחה.</w:t>
      </w:r>
      <w:r>
        <w:rPr>
          <w:rStyle w:val="a7"/>
          <w:rFonts w:ascii="David" w:hAnsi="David" w:hint="default"/>
          <w:sz w:val="24"/>
          <w:szCs w:val="24"/>
          <w:rtl/>
        </w:rPr>
        <w:footnoteReference w:id="176"/>
      </w:r>
      <w:r w:rsidR="00AA1A1F">
        <w:rPr>
          <w:rFonts w:ascii="David" w:hAnsi="David" w:cs="David" w:hint="cs"/>
          <w:sz w:val="24"/>
          <w:szCs w:val="24"/>
          <w:rtl/>
        </w:rPr>
        <w:t xml:space="preserve"> בכך </w:t>
      </w:r>
      <w:r w:rsidR="008F73E6">
        <w:rPr>
          <w:rFonts w:ascii="David" w:hAnsi="David" w:cs="David" w:hint="cs"/>
          <w:sz w:val="24"/>
          <w:szCs w:val="24"/>
          <w:rtl/>
        </w:rPr>
        <w:t>ביהמ"ש</w:t>
      </w:r>
      <w:r w:rsidR="00AA1A1F">
        <w:rPr>
          <w:rFonts w:ascii="David" w:hAnsi="David" w:cs="David" w:hint="cs"/>
          <w:sz w:val="24"/>
          <w:szCs w:val="24"/>
          <w:rtl/>
        </w:rPr>
        <w:t xml:space="preserve"> הראה את החשש מפני ריבוי תובעים וקבע אמת מידה שלפיה יפוצו רק הניזוקים הישירים. </w:t>
      </w:r>
      <w:r w:rsidR="001E14C3">
        <w:rPr>
          <w:rFonts w:ascii="David" w:hAnsi="David" w:cs="David" w:hint="cs"/>
          <w:sz w:val="24"/>
          <w:szCs w:val="24"/>
          <w:rtl/>
        </w:rPr>
        <w:t xml:space="preserve">עולה טענה נוספת לעניין החשש להרחבת חוג התובעים והיא </w:t>
      </w:r>
      <w:r w:rsidR="008420D4">
        <w:rPr>
          <w:rFonts w:ascii="David" w:hAnsi="David" w:cs="David" w:hint="cs"/>
          <w:sz w:val="24"/>
          <w:szCs w:val="24"/>
          <w:rtl/>
        </w:rPr>
        <w:t xml:space="preserve">כי </w:t>
      </w:r>
      <w:r w:rsidR="001E14C3">
        <w:rPr>
          <w:rFonts w:ascii="David" w:hAnsi="David" w:cs="David" w:hint="cs"/>
          <w:sz w:val="24"/>
          <w:szCs w:val="24"/>
          <w:rtl/>
        </w:rPr>
        <w:t>הטלת אחריות בהיקף רחב בגין נזקים כלכליים טהורים עלולה להוות מעמסה על המזיק, מעמסה בלתי צודקת ולעיתים גם עומס בלתי צודק על מערכות בתי המשפט.</w:t>
      </w:r>
      <w:r>
        <w:rPr>
          <w:rStyle w:val="a7"/>
          <w:rFonts w:ascii="David" w:hAnsi="David" w:hint="default"/>
          <w:sz w:val="24"/>
          <w:szCs w:val="24"/>
          <w:rtl/>
        </w:rPr>
        <w:footnoteReference w:id="177"/>
      </w:r>
      <w:r w:rsidR="001E14C3">
        <w:rPr>
          <w:rFonts w:ascii="David" w:hAnsi="David" w:cs="David" w:hint="cs"/>
          <w:sz w:val="24"/>
          <w:szCs w:val="24"/>
          <w:rtl/>
        </w:rPr>
        <w:t xml:space="preserve"> </w:t>
      </w:r>
      <w:r w:rsidR="001E7A6F">
        <w:rPr>
          <w:rFonts w:ascii="David" w:hAnsi="David" w:cs="David" w:hint="cs"/>
          <w:sz w:val="24"/>
          <w:szCs w:val="24"/>
          <w:rtl/>
        </w:rPr>
        <w:t xml:space="preserve">פעמים רבות קשה לאבחן אם הנזק הכלכלי קשור סיבתית להתנהגות העוולתית של המזיק. במקרים מסוימים הנזק הכלכלי הוא קטן, עד כדי כך שפעמים רבות אינו מוצדק בשביל להטריח את בתי המשפט בסוגיה ובפסיקת סעד בעניינו. </w:t>
      </w:r>
      <w:r w:rsidR="00F06371">
        <w:rPr>
          <w:rFonts w:ascii="David" w:hAnsi="David" w:cs="David" w:hint="cs"/>
          <w:sz w:val="24"/>
          <w:szCs w:val="24"/>
          <w:rtl/>
        </w:rPr>
        <w:t xml:space="preserve">לדוגמא בעניין </w:t>
      </w:r>
      <w:r w:rsidR="00F06371">
        <w:rPr>
          <w:rFonts w:ascii="David" w:hAnsi="David" w:cs="David" w:hint="cs"/>
          <w:sz w:val="24"/>
          <w:szCs w:val="24"/>
        </w:rPr>
        <w:t>P</w:t>
      </w:r>
      <w:r w:rsidR="00F06371">
        <w:rPr>
          <w:rFonts w:ascii="David" w:hAnsi="David" w:cs="David"/>
          <w:sz w:val="24"/>
          <w:szCs w:val="24"/>
        </w:rPr>
        <w:t>ruitt</w:t>
      </w:r>
      <w:r w:rsidR="00F06371">
        <w:rPr>
          <w:rFonts w:ascii="David" w:hAnsi="David" w:cs="David" w:hint="cs"/>
          <w:sz w:val="24"/>
          <w:szCs w:val="24"/>
          <w:rtl/>
        </w:rPr>
        <w:t xml:space="preserve"> בני אדם שעסקו בדיג להנאתם ולשם הספורט ניזוקו מזיהום הנהר, אך נזקיהם היו קלים. נימוק זה עזר </w:t>
      </w:r>
      <w:r w:rsidR="008F73E6">
        <w:rPr>
          <w:rFonts w:ascii="David" w:hAnsi="David" w:cs="David" w:hint="cs"/>
          <w:sz w:val="24"/>
          <w:szCs w:val="24"/>
          <w:rtl/>
        </w:rPr>
        <w:t>לביהמ"ש</w:t>
      </w:r>
      <w:r w:rsidR="00F06371">
        <w:rPr>
          <w:rFonts w:ascii="David" w:hAnsi="David" w:cs="David" w:hint="cs"/>
          <w:sz w:val="24"/>
          <w:szCs w:val="24"/>
          <w:rtl/>
        </w:rPr>
        <w:t xml:space="preserve"> האמריקאי להגיע להכרעה שיש לדחות את טענת התובעים בעניין הטלת אחריות הנתבעת כלפיהם.</w:t>
      </w:r>
      <w:r>
        <w:rPr>
          <w:rStyle w:val="a7"/>
          <w:rFonts w:ascii="David" w:hAnsi="David" w:hint="default"/>
          <w:sz w:val="24"/>
          <w:szCs w:val="24"/>
          <w:rtl/>
        </w:rPr>
        <w:footnoteReference w:id="178"/>
      </w:r>
      <w:r w:rsidR="00F06371">
        <w:rPr>
          <w:rFonts w:ascii="David" w:hAnsi="David" w:cs="David" w:hint="cs"/>
          <w:sz w:val="24"/>
          <w:szCs w:val="24"/>
          <w:rtl/>
        </w:rPr>
        <w:t xml:space="preserve"> </w:t>
      </w:r>
      <w:r w:rsidR="00212C5D">
        <w:rPr>
          <w:rFonts w:ascii="David" w:hAnsi="David" w:cs="David" w:hint="cs"/>
          <w:sz w:val="24"/>
          <w:szCs w:val="24"/>
          <w:rtl/>
        </w:rPr>
        <w:t xml:space="preserve">אך, במקרים אחרים הנזק הכלכלי יכול להיות גדול, שמה שעומד בפנינו זה טיעון הקשר הסיבתי. ישנו קושי אינהרנטי לדעת </w:t>
      </w:r>
      <w:r w:rsidR="00D44EAF">
        <w:rPr>
          <w:rFonts w:ascii="David" w:hAnsi="David" w:cs="David" w:hint="cs"/>
          <w:sz w:val="24"/>
          <w:szCs w:val="24"/>
          <w:rtl/>
        </w:rPr>
        <w:t>האם</w:t>
      </w:r>
      <w:r w:rsidR="00212C5D">
        <w:rPr>
          <w:rFonts w:ascii="David" w:hAnsi="David" w:cs="David" w:hint="cs"/>
          <w:sz w:val="24"/>
          <w:szCs w:val="24"/>
          <w:rtl/>
        </w:rPr>
        <w:t xml:space="preserve"> מתקיים קשר סיבתי בין ההתנהגות העוולתית של המזיק לבין הנזק שגרם לנזק כלכלי טהור. אם תוטל אחריות רחבה מידי בתי המשפט עלולים להטיל אחריות נזיקית רחבה גם אם היא לא קשורה לנזק כלכלי טהור. לבתי המשפט יש את הכלים לבחון אם הנזק נגרם כתוצאה מהתנהגות עוולתית או מגורם לא עוולתי, זאת מהסיבה שיש הבדל בין נזק פיזי לבין נזק כלכלי טהור שהוא אירוע חריג.</w:t>
      </w:r>
      <w:r>
        <w:rPr>
          <w:rStyle w:val="a7"/>
          <w:rFonts w:ascii="David" w:hAnsi="David" w:hint="default"/>
          <w:sz w:val="24"/>
          <w:szCs w:val="24"/>
          <w:rtl/>
        </w:rPr>
        <w:footnoteReference w:id="179"/>
      </w:r>
      <w:r w:rsidR="00212C5D">
        <w:rPr>
          <w:rFonts w:ascii="David" w:hAnsi="David" w:cs="David" w:hint="cs"/>
          <w:sz w:val="24"/>
          <w:szCs w:val="24"/>
          <w:rtl/>
        </w:rPr>
        <w:t xml:space="preserve"> </w:t>
      </w:r>
      <w:r w:rsidR="00A95780">
        <w:rPr>
          <w:rFonts w:ascii="David" w:hAnsi="David" w:cs="David" w:hint="cs"/>
          <w:sz w:val="24"/>
          <w:szCs w:val="24"/>
          <w:rtl/>
        </w:rPr>
        <w:t xml:space="preserve">אמת נכון הדבר כי בשל הקושי לקשור בין הנזק הכלכלי לבין ההתנהגות העוולתית של המזיק, בתי המשפט עלולים לפסוק פיצוי חסר ולא פיצוי יתר. אבל, אם מסיבה מסוימת הסכנה של פיצוי יתר רבה יותר הפתרון של שיטת המשפט הוא הטלת מגבלות על כוחם </w:t>
      </w:r>
      <w:r w:rsidR="008F30D0">
        <w:rPr>
          <w:rFonts w:ascii="David" w:hAnsi="David" w:cs="David" w:hint="cs"/>
          <w:sz w:val="24"/>
          <w:szCs w:val="24"/>
          <w:rtl/>
        </w:rPr>
        <w:t>של בתי המשפט לפסיקת פיצויים בגין</w:t>
      </w:r>
      <w:r w:rsidR="00A95780">
        <w:rPr>
          <w:rFonts w:ascii="David" w:hAnsi="David" w:cs="David" w:hint="cs"/>
          <w:sz w:val="24"/>
          <w:szCs w:val="24"/>
          <w:rtl/>
        </w:rPr>
        <w:t xml:space="preserve"> נזק כלכלי טהור. אבל טיעון זה לא יכול לכמת את הרתיעה לפסוק פיצוי בגין נזק כלכלי טהור על אותם המקרים שבהם אין שום קושי מיוחד לקבוע מתי הנזק הכלכלי שנתבע קשור סיבתית להתנהגות העוולתית ומתי לאו.</w:t>
      </w:r>
      <w:r>
        <w:rPr>
          <w:rStyle w:val="a7"/>
          <w:rFonts w:ascii="David" w:hAnsi="David" w:hint="default"/>
          <w:sz w:val="24"/>
          <w:szCs w:val="24"/>
          <w:rtl/>
        </w:rPr>
        <w:footnoteReference w:id="180"/>
      </w:r>
      <w:r w:rsidR="00A95780">
        <w:rPr>
          <w:rFonts w:ascii="David" w:hAnsi="David" w:cs="David" w:hint="cs"/>
          <w:sz w:val="24"/>
          <w:szCs w:val="24"/>
          <w:rtl/>
        </w:rPr>
        <w:t xml:space="preserve"> </w:t>
      </w:r>
    </w:p>
    <w:p w:rsidR="004B675A" w:rsidRDefault="00BE211D" w:rsidP="008F73E6">
      <w:pPr>
        <w:pStyle w:val="ae"/>
        <w:spacing w:line="360" w:lineRule="auto"/>
        <w:jc w:val="both"/>
        <w:rPr>
          <w:rFonts w:ascii="David" w:hAnsi="David" w:cs="David"/>
          <w:sz w:val="24"/>
          <w:szCs w:val="24"/>
          <w:rtl/>
        </w:rPr>
      </w:pPr>
      <w:r>
        <w:rPr>
          <w:rFonts w:ascii="David" w:hAnsi="David" w:cs="David" w:hint="cs"/>
          <w:sz w:val="24"/>
          <w:szCs w:val="24"/>
          <w:rtl/>
        </w:rPr>
        <w:lastRenderedPageBreak/>
        <w:t xml:space="preserve">מפרק זה ומפרק הקודם שעסק באחריות המדינה ניתן לראות כי השיקולים שעומדים </w:t>
      </w:r>
      <w:r w:rsidR="003209D7">
        <w:rPr>
          <w:rFonts w:ascii="David" w:hAnsi="David" w:cs="David" w:hint="cs"/>
          <w:sz w:val="24"/>
          <w:szCs w:val="24"/>
          <w:rtl/>
        </w:rPr>
        <w:t>בעד הטלת</w:t>
      </w:r>
      <w:r>
        <w:rPr>
          <w:rFonts w:ascii="David" w:hAnsi="David" w:cs="David" w:hint="cs"/>
          <w:sz w:val="24"/>
          <w:szCs w:val="24"/>
          <w:rtl/>
        </w:rPr>
        <w:t xml:space="preserve"> אחריות </w:t>
      </w:r>
      <w:r w:rsidR="003209D7">
        <w:rPr>
          <w:rFonts w:ascii="David" w:hAnsi="David" w:cs="David" w:hint="cs"/>
          <w:sz w:val="24"/>
          <w:szCs w:val="24"/>
          <w:rtl/>
        </w:rPr>
        <w:t xml:space="preserve">על </w:t>
      </w:r>
      <w:r>
        <w:rPr>
          <w:rFonts w:ascii="David" w:hAnsi="David" w:cs="David" w:hint="cs"/>
          <w:sz w:val="24"/>
          <w:szCs w:val="24"/>
          <w:rtl/>
        </w:rPr>
        <w:t xml:space="preserve">המדינה ובכך הנטייה של </w:t>
      </w:r>
      <w:r w:rsidR="003209D7">
        <w:rPr>
          <w:rFonts w:ascii="David" w:hAnsi="David" w:cs="David" w:hint="cs"/>
          <w:sz w:val="24"/>
          <w:szCs w:val="24"/>
          <w:rtl/>
        </w:rPr>
        <w:t>ביהמ"ש</w:t>
      </w:r>
      <w:r>
        <w:rPr>
          <w:rFonts w:ascii="David" w:hAnsi="David" w:cs="David" w:hint="cs"/>
          <w:sz w:val="24"/>
          <w:szCs w:val="24"/>
          <w:rtl/>
        </w:rPr>
        <w:t xml:space="preserve"> להרחיב אחריות זאת הם: סעד כספי </w:t>
      </w:r>
      <w:r>
        <w:rPr>
          <w:rFonts w:ascii="David" w:hAnsi="David" w:cs="David"/>
          <w:sz w:val="24"/>
          <w:szCs w:val="24"/>
          <w:rtl/>
        </w:rPr>
        <w:t>–</w:t>
      </w:r>
      <w:r>
        <w:rPr>
          <w:rFonts w:ascii="David" w:hAnsi="David" w:cs="David" w:hint="cs"/>
          <w:sz w:val="24"/>
          <w:szCs w:val="24"/>
          <w:rtl/>
        </w:rPr>
        <w:t xml:space="preserve"> דיני הנזיקין בניגוד למשפט המנהלי, מאפשרים מתן סעד כספי שיפצה עבור הנזק שהרשות גרמה לניזוק. </w:t>
      </w:r>
      <w:r w:rsidR="0036602B">
        <w:rPr>
          <w:rFonts w:ascii="David" w:hAnsi="David" w:cs="David" w:hint="cs"/>
          <w:sz w:val="24"/>
          <w:szCs w:val="24"/>
          <w:rtl/>
        </w:rPr>
        <w:t xml:space="preserve">מן הצד השני, </w:t>
      </w:r>
      <w:r w:rsidR="008F73E6">
        <w:rPr>
          <w:rFonts w:ascii="David" w:hAnsi="David" w:cs="David" w:hint="cs"/>
          <w:sz w:val="24"/>
          <w:szCs w:val="24"/>
          <w:rtl/>
        </w:rPr>
        <w:t>ביהמ"ש</w:t>
      </w:r>
      <w:r w:rsidR="0036602B">
        <w:rPr>
          <w:rFonts w:ascii="David" w:hAnsi="David" w:cs="David" w:hint="cs"/>
          <w:sz w:val="24"/>
          <w:szCs w:val="24"/>
          <w:rtl/>
        </w:rPr>
        <w:t xml:space="preserve"> צריך תמיד להיות במאזן כי ייתכן ותהיה פגיעה בסופיות הדיון. </w:t>
      </w:r>
      <w:r w:rsidR="0061310D">
        <w:rPr>
          <w:rFonts w:ascii="David" w:hAnsi="David" w:cs="David" w:hint="cs"/>
          <w:sz w:val="24"/>
          <w:szCs w:val="24"/>
          <w:rtl/>
        </w:rPr>
        <w:t xml:space="preserve">לא רק זאת, כאשר מדובר בשיקולים תקציביים </w:t>
      </w:r>
      <w:r w:rsidR="008F73E6">
        <w:rPr>
          <w:rFonts w:ascii="David" w:hAnsi="David" w:cs="David" w:hint="cs"/>
          <w:sz w:val="24"/>
          <w:szCs w:val="24"/>
          <w:rtl/>
        </w:rPr>
        <w:t>ביהמ"ש</w:t>
      </w:r>
      <w:r w:rsidR="0061310D">
        <w:rPr>
          <w:rFonts w:ascii="David" w:hAnsi="David" w:cs="David" w:hint="cs"/>
          <w:sz w:val="24"/>
          <w:szCs w:val="24"/>
          <w:rtl/>
        </w:rPr>
        <w:t xml:space="preserve"> ממעט להתערב, זאת מהסיבה של חלוקת העוגה. </w:t>
      </w:r>
      <w:r w:rsidR="00FF0CA7">
        <w:rPr>
          <w:rFonts w:ascii="David" w:hAnsi="David" w:cs="David" w:hint="cs"/>
          <w:sz w:val="24"/>
          <w:szCs w:val="24"/>
          <w:rtl/>
        </w:rPr>
        <w:t xml:space="preserve">כמו כן, שיקול הרתעת יתר מרחף לא פעם בעניין משני צדי המתרס. האחד, הרשות תהא בירוקרטית ואיטית יותר כדי להימנע מפני תביעות עתידיות, כללים נוקשים יכבידו על האזרח, פגיעה בשלטון החוק ואכיפתו. מנגד, יהיה שוויון הרשות בפני החוק, קרי החוק לא מתעלם מאף אחד, הבטחת מנהל תקין, נקיטת אמות מידה ונהלים אשר יבטיחו את קיומם של אמצעי זהירות ראויים בניהול תביעה זאת בדומה לפס"ד גורדון שצוין לעיל. </w:t>
      </w:r>
      <w:r w:rsidR="001D18FA">
        <w:rPr>
          <w:rFonts w:ascii="David" w:hAnsi="David" w:cs="David" w:hint="cs"/>
          <w:sz w:val="24"/>
          <w:szCs w:val="24"/>
          <w:rtl/>
        </w:rPr>
        <w:t xml:space="preserve">זאת ועוד בעניין ההצפה ואובדן הכספים מדובר בכספי ציבור קרי אובדן במשאבי הרשות תוביל לפגיעה בשירות שניתן לאזרח. מן הצד השני, רשות ציבורית היא מפזר הנזק הטוב ביותר ולכן עדיף להטיל עלייה אחריות מהאזרח. </w:t>
      </w:r>
      <w:r w:rsidR="001115F1">
        <w:rPr>
          <w:rFonts w:ascii="David" w:hAnsi="David" w:cs="David" w:hint="cs"/>
          <w:sz w:val="24"/>
          <w:szCs w:val="24"/>
          <w:rtl/>
        </w:rPr>
        <w:t xml:space="preserve">לבסוף, ניצבת שקילת שיקולים ציבוריים כמו הפגיעה בהפרדת רשויות, הרשות שוקלת סדרי עדיפויות במסגרת התקציב שנתון לה מה שהשופט לא יכול לשקול כשיקולים ציבוריים בצורה רחבה. כלומר, ככל שלרשות יש יותר שיקול דעת כך </w:t>
      </w:r>
      <w:r w:rsidR="008F73E6">
        <w:rPr>
          <w:rFonts w:ascii="David" w:hAnsi="David" w:cs="David" w:hint="cs"/>
          <w:sz w:val="24"/>
          <w:szCs w:val="24"/>
          <w:rtl/>
        </w:rPr>
        <w:t>ביהמ"ש</w:t>
      </w:r>
      <w:r w:rsidR="001115F1">
        <w:rPr>
          <w:rFonts w:ascii="David" w:hAnsi="David" w:cs="David" w:hint="cs"/>
          <w:sz w:val="24"/>
          <w:szCs w:val="24"/>
          <w:rtl/>
        </w:rPr>
        <w:t xml:space="preserve"> ימעט מלהתערב. </w:t>
      </w:r>
    </w:p>
    <w:p w:rsidR="008156E0" w:rsidRDefault="00BE211D" w:rsidP="00F06371">
      <w:pPr>
        <w:pStyle w:val="ae"/>
        <w:spacing w:line="360" w:lineRule="auto"/>
        <w:jc w:val="both"/>
        <w:rPr>
          <w:rFonts w:ascii="David" w:hAnsi="David" w:cs="David"/>
          <w:sz w:val="24"/>
          <w:szCs w:val="24"/>
          <w:rtl/>
        </w:rPr>
      </w:pPr>
      <w:r>
        <w:rPr>
          <w:rFonts w:ascii="David" w:hAnsi="David" w:cs="David" w:hint="cs"/>
          <w:sz w:val="24"/>
          <w:szCs w:val="24"/>
          <w:rtl/>
        </w:rPr>
        <w:t xml:space="preserve">לסיכום, ניתן לראות כי השיקולים לא מקלים בפתרון הבעיה שהינה סבוכה. אך לדידי, על המדינה באמצעות אחד משלוחיה להקים ועדת חקירה שתבחן את הנושא. בוועדה זו ישבו סביב שולחן עגול הגורמים </w:t>
      </w:r>
      <w:r w:rsidR="00184D06">
        <w:rPr>
          <w:rFonts w:ascii="David" w:hAnsi="David" w:cs="David" w:hint="cs"/>
          <w:sz w:val="24"/>
          <w:szCs w:val="24"/>
          <w:rtl/>
        </w:rPr>
        <w:t>הרלוונטיי</w:t>
      </w:r>
      <w:r w:rsidR="00184D06">
        <w:rPr>
          <w:rFonts w:ascii="David" w:hAnsi="David" w:cs="David" w:hint="eastAsia"/>
          <w:sz w:val="24"/>
          <w:szCs w:val="24"/>
          <w:rtl/>
        </w:rPr>
        <w:t>ם</w:t>
      </w:r>
      <w:r>
        <w:rPr>
          <w:rFonts w:ascii="David" w:hAnsi="David" w:cs="David" w:hint="cs"/>
          <w:sz w:val="24"/>
          <w:szCs w:val="24"/>
          <w:rtl/>
        </w:rPr>
        <w:t xml:space="preserve"> כמו ועדת הכספים, משרד האוצר, וע</w:t>
      </w:r>
      <w:r>
        <w:rPr>
          <w:rFonts w:ascii="David" w:hAnsi="David" w:cs="David" w:hint="cs"/>
          <w:sz w:val="24"/>
          <w:szCs w:val="24"/>
          <w:rtl/>
        </w:rPr>
        <w:t xml:space="preserve">דת התפתחות הילד, נציבות שוויון זכויות לאנשים עם מוגבלויות, איגוד הנכים וכיו"ב. כל אלו אשר עשויים להביא להכרעה אם לא בפסיקה אז באמצעות דוח הכנסת שיוצג בתום החקירה מה שיוביל לתוצאה של חקיקה הולמת בנושא. </w:t>
      </w:r>
    </w:p>
    <w:p w:rsidR="00D7422D" w:rsidRDefault="00D7422D">
      <w:pPr>
        <w:rPr>
          <w:rFonts w:ascii="David" w:hAnsi="David" w:cs="David" w:hint="default"/>
          <w:b/>
          <w:bCs/>
          <w:sz w:val="24"/>
          <w:szCs w:val="24"/>
          <w:u w:val="single"/>
          <w:rtl/>
        </w:rPr>
      </w:pPr>
    </w:p>
    <w:p w:rsidR="00D7422D" w:rsidRDefault="00D7422D">
      <w:pPr>
        <w:rPr>
          <w:rFonts w:ascii="David" w:hAnsi="David" w:cs="David" w:hint="default"/>
          <w:b/>
          <w:bCs/>
          <w:sz w:val="24"/>
          <w:szCs w:val="24"/>
          <w:u w:val="single"/>
          <w:rtl/>
        </w:rPr>
      </w:pPr>
    </w:p>
    <w:p w:rsidR="00D7422D" w:rsidRDefault="00D7422D">
      <w:pPr>
        <w:rPr>
          <w:rFonts w:ascii="David" w:hAnsi="David" w:cs="David" w:hint="default"/>
          <w:b/>
          <w:bCs/>
          <w:sz w:val="24"/>
          <w:szCs w:val="24"/>
          <w:u w:val="single"/>
          <w:rtl/>
        </w:rPr>
      </w:pPr>
    </w:p>
    <w:p w:rsidR="000B5474" w:rsidRDefault="000B5474">
      <w:pPr>
        <w:rPr>
          <w:rFonts w:ascii="David" w:hAnsi="David" w:cs="David" w:hint="default"/>
          <w:b/>
          <w:bCs/>
          <w:sz w:val="24"/>
          <w:szCs w:val="24"/>
          <w:u w:val="single"/>
          <w:rtl/>
        </w:rPr>
      </w:pPr>
    </w:p>
    <w:p w:rsidR="00D7422D" w:rsidRDefault="00D7422D">
      <w:pPr>
        <w:rPr>
          <w:rFonts w:ascii="David" w:hAnsi="David" w:cs="David" w:hint="default"/>
          <w:b/>
          <w:bCs/>
          <w:sz w:val="24"/>
          <w:szCs w:val="24"/>
          <w:u w:val="single"/>
          <w:rtl/>
        </w:rPr>
      </w:pPr>
    </w:p>
    <w:p w:rsidR="004B6065" w:rsidRDefault="004B6065">
      <w:pPr>
        <w:rPr>
          <w:rFonts w:ascii="David" w:hAnsi="David" w:cs="David" w:hint="default"/>
          <w:b/>
          <w:bCs/>
          <w:sz w:val="24"/>
          <w:szCs w:val="24"/>
          <w:u w:val="single"/>
          <w:rtl/>
        </w:rPr>
      </w:pPr>
    </w:p>
    <w:p w:rsidR="004B6065" w:rsidRDefault="004B6065">
      <w:pPr>
        <w:rPr>
          <w:rFonts w:ascii="David" w:hAnsi="David" w:cs="David" w:hint="default"/>
          <w:b/>
          <w:bCs/>
          <w:sz w:val="24"/>
          <w:szCs w:val="24"/>
          <w:u w:val="single"/>
          <w:rtl/>
        </w:rPr>
      </w:pPr>
    </w:p>
    <w:p w:rsidR="00FC03E1" w:rsidRDefault="00FC03E1">
      <w:pPr>
        <w:rPr>
          <w:rFonts w:ascii="David" w:hAnsi="David" w:cs="David" w:hint="default"/>
          <w:b/>
          <w:bCs/>
          <w:sz w:val="24"/>
          <w:szCs w:val="24"/>
          <w:u w:val="single"/>
          <w:rtl/>
        </w:rPr>
      </w:pPr>
    </w:p>
    <w:p w:rsidR="0029242C" w:rsidRDefault="0029242C">
      <w:pPr>
        <w:rPr>
          <w:rFonts w:ascii="David" w:hAnsi="David" w:cs="David" w:hint="default"/>
          <w:b/>
          <w:bCs/>
          <w:sz w:val="24"/>
          <w:szCs w:val="24"/>
          <w:u w:val="single"/>
          <w:rtl/>
        </w:rPr>
      </w:pPr>
    </w:p>
    <w:p w:rsidR="0029242C" w:rsidRDefault="0029242C">
      <w:pPr>
        <w:rPr>
          <w:rFonts w:ascii="David" w:hAnsi="David" w:cs="David" w:hint="default"/>
          <w:b/>
          <w:bCs/>
          <w:sz w:val="24"/>
          <w:szCs w:val="24"/>
          <w:u w:val="single"/>
          <w:rtl/>
        </w:rPr>
      </w:pPr>
    </w:p>
    <w:p w:rsidR="0029242C" w:rsidRDefault="0029242C">
      <w:pPr>
        <w:rPr>
          <w:rFonts w:ascii="David" w:hAnsi="David" w:cs="David" w:hint="default"/>
          <w:b/>
          <w:bCs/>
          <w:sz w:val="24"/>
          <w:szCs w:val="24"/>
          <w:u w:val="single"/>
          <w:rtl/>
        </w:rPr>
      </w:pPr>
    </w:p>
    <w:p w:rsidR="0029242C" w:rsidRDefault="0029242C">
      <w:pPr>
        <w:rPr>
          <w:rFonts w:ascii="David" w:hAnsi="David" w:cs="David" w:hint="default"/>
          <w:b/>
          <w:bCs/>
          <w:sz w:val="24"/>
          <w:szCs w:val="24"/>
          <w:u w:val="single"/>
          <w:rtl/>
        </w:rPr>
      </w:pPr>
    </w:p>
    <w:p w:rsidR="00402EDC" w:rsidRDefault="00402EDC">
      <w:pPr>
        <w:rPr>
          <w:rFonts w:ascii="David" w:hAnsi="David" w:cs="David" w:hint="default"/>
          <w:b/>
          <w:bCs/>
          <w:sz w:val="24"/>
          <w:szCs w:val="24"/>
          <w:u w:val="single"/>
          <w:rtl/>
        </w:rPr>
      </w:pPr>
    </w:p>
    <w:p w:rsidR="00925373" w:rsidRDefault="00925373">
      <w:pPr>
        <w:rPr>
          <w:rFonts w:ascii="David" w:hAnsi="David" w:cs="David" w:hint="default"/>
          <w:b/>
          <w:bCs/>
          <w:sz w:val="24"/>
          <w:szCs w:val="24"/>
          <w:u w:val="single"/>
          <w:rtl/>
        </w:rPr>
      </w:pPr>
    </w:p>
    <w:p w:rsidR="004B6065" w:rsidRDefault="004B6065">
      <w:pPr>
        <w:rPr>
          <w:rFonts w:ascii="David" w:hAnsi="David" w:cs="David" w:hint="default"/>
          <w:b/>
          <w:bCs/>
          <w:sz w:val="24"/>
          <w:szCs w:val="24"/>
          <w:u w:val="single"/>
          <w:rtl/>
        </w:rPr>
      </w:pPr>
    </w:p>
    <w:p w:rsidR="00657E13" w:rsidRPr="00F51F81" w:rsidRDefault="00BE211D">
      <w:pPr>
        <w:rPr>
          <w:rFonts w:ascii="David" w:hAnsi="David" w:cs="David" w:hint="default"/>
          <w:b/>
          <w:bCs/>
          <w:sz w:val="24"/>
          <w:szCs w:val="24"/>
          <w:u w:val="single"/>
          <w:rtl/>
        </w:rPr>
      </w:pPr>
      <w:r>
        <w:rPr>
          <w:rFonts w:ascii="David" w:hAnsi="David" w:cs="David" w:hint="default"/>
          <w:b/>
          <w:bCs/>
          <w:sz w:val="24"/>
          <w:szCs w:val="24"/>
          <w:u w:val="single"/>
          <w:rtl/>
        </w:rPr>
        <w:lastRenderedPageBreak/>
        <w:t>סיכום ומסקנות</w:t>
      </w:r>
    </w:p>
    <w:p w:rsidR="00925373" w:rsidRDefault="00BE211D" w:rsidP="00892E63">
      <w:pPr>
        <w:pStyle w:val="ae"/>
        <w:spacing w:line="360" w:lineRule="auto"/>
        <w:jc w:val="both"/>
        <w:rPr>
          <w:rFonts w:ascii="David" w:hAnsi="David" w:cs="David"/>
          <w:i/>
          <w:iCs/>
          <w:sz w:val="24"/>
          <w:szCs w:val="24"/>
          <w:rtl/>
        </w:rPr>
      </w:pPr>
      <w:r>
        <w:rPr>
          <w:rFonts w:ascii="David" w:hAnsi="David" w:cs="David" w:hint="cs"/>
          <w:i/>
          <w:iCs/>
          <w:color w:val="1D2129"/>
          <w:sz w:val="24"/>
          <w:szCs w:val="24"/>
          <w:rtl/>
        </w:rPr>
        <w:t>"</w:t>
      </w:r>
      <w:r w:rsidR="009535E8" w:rsidRPr="00D62D25">
        <w:rPr>
          <w:rFonts w:ascii="David" w:hAnsi="David" w:cs="David"/>
          <w:i/>
          <w:iCs/>
          <w:color w:val="1D2129"/>
          <w:sz w:val="24"/>
          <w:szCs w:val="24"/>
          <w:rtl/>
        </w:rPr>
        <w:t xml:space="preserve">הורי היקרים, האגו שלכם אינו רלוונטי. אם תבחרו לומר שחרב עליכם עולמכם בגלל </w:t>
      </w:r>
      <w:r w:rsidRPr="00D62D25">
        <w:rPr>
          <w:rFonts w:ascii="David" w:hAnsi="David" w:cs="David" w:hint="cs"/>
          <w:i/>
          <w:iCs/>
          <w:color w:val="1D2129"/>
          <w:sz w:val="24"/>
          <w:szCs w:val="24"/>
          <w:rtl/>
        </w:rPr>
        <w:t>מוגבלויותי</w:t>
      </w:r>
      <w:r w:rsidRPr="00D62D25">
        <w:rPr>
          <w:rFonts w:ascii="David" w:hAnsi="David" w:cs="David" w:hint="eastAsia"/>
          <w:i/>
          <w:iCs/>
          <w:color w:val="1D2129"/>
          <w:sz w:val="24"/>
          <w:szCs w:val="24"/>
          <w:rtl/>
        </w:rPr>
        <w:t>י</w:t>
      </w:r>
      <w:r w:rsidR="009535E8" w:rsidRPr="00D62D25">
        <w:rPr>
          <w:rFonts w:ascii="David" w:hAnsi="David" w:cs="David"/>
          <w:i/>
          <w:iCs/>
          <w:color w:val="1D2129"/>
          <w:sz w:val="24"/>
          <w:szCs w:val="24"/>
          <w:rtl/>
        </w:rPr>
        <w:t xml:space="preserve">, אזי, ככל הנראה תבחרו לשים את עצמכם במרכז </w:t>
      </w:r>
      <w:r w:rsidRPr="00D62D25">
        <w:rPr>
          <w:rFonts w:ascii="David" w:hAnsi="David" w:cs="David" w:hint="cs"/>
          <w:i/>
          <w:iCs/>
          <w:color w:val="1D2129"/>
          <w:sz w:val="24"/>
          <w:szCs w:val="24"/>
          <w:rtl/>
        </w:rPr>
        <w:t>ההוויה</w:t>
      </w:r>
      <w:r w:rsidR="009535E8" w:rsidRPr="00D62D25">
        <w:rPr>
          <w:rFonts w:ascii="David" w:hAnsi="David" w:cs="David"/>
          <w:i/>
          <w:iCs/>
          <w:color w:val="1D2129"/>
          <w:sz w:val="24"/>
          <w:szCs w:val="24"/>
          <w:rtl/>
        </w:rPr>
        <w:t xml:space="preserve">. אני לא משתתף במשחק ההישגיות </w:t>
      </w:r>
      <w:r w:rsidRPr="00D62D25">
        <w:rPr>
          <w:rFonts w:ascii="David" w:hAnsi="David" w:cs="David" w:hint="cs"/>
          <w:i/>
          <w:iCs/>
          <w:color w:val="1D2129"/>
          <w:sz w:val="24"/>
          <w:szCs w:val="24"/>
          <w:rtl/>
        </w:rPr>
        <w:t>והמצוינות</w:t>
      </w:r>
      <w:r w:rsidR="009535E8" w:rsidRPr="00D62D25">
        <w:rPr>
          <w:rFonts w:ascii="David" w:hAnsi="David" w:cs="David"/>
          <w:i/>
          <w:iCs/>
          <w:color w:val="1D2129"/>
          <w:sz w:val="24"/>
          <w:szCs w:val="24"/>
          <w:rtl/>
        </w:rPr>
        <w:t xml:space="preserve"> האישית שיצרה החברה. לעולם לא אגיע לשום הישג שתוכלו להתפאר בו. לא תהיה בר מצווה, לא תהיה חתונה, לא אביא ילדים, לא אסיים אונ</w:t>
      </w:r>
      <w:r w:rsidRPr="00D62D25">
        <w:rPr>
          <w:rFonts w:ascii="David" w:hAnsi="David" w:cs="David" w:hint="cs"/>
          <w:i/>
          <w:iCs/>
          <w:color w:val="1D2129"/>
          <w:sz w:val="24"/>
          <w:szCs w:val="24"/>
          <w:rtl/>
        </w:rPr>
        <w:t>יברסיטה</w:t>
      </w:r>
      <w:r w:rsidR="00420F27">
        <w:rPr>
          <w:rFonts w:ascii="David" w:hAnsi="David" w:cs="David"/>
          <w:i/>
          <w:iCs/>
          <w:color w:val="1D2129"/>
          <w:sz w:val="24"/>
          <w:szCs w:val="24"/>
          <w:rtl/>
        </w:rPr>
        <w:t>, לא אשרת בצה"ל, לא אהיה פרופ'</w:t>
      </w:r>
      <w:r w:rsidR="009535E8" w:rsidRPr="00D62D25">
        <w:rPr>
          <w:rFonts w:ascii="David" w:hAnsi="David" w:cs="David"/>
          <w:i/>
          <w:iCs/>
          <w:color w:val="1D2129"/>
          <w:sz w:val="24"/>
          <w:szCs w:val="24"/>
          <w:rtl/>
        </w:rPr>
        <w:t xml:space="preserve">, רופא, עורך דין או קצין. לא אהיה שום דבר ממה שחלמתם עליו. אם תבחרו להתבייש בי ולהסתיר אותי זה יהיה משום שבחרתם להגן על עצמכם ולא עלי. אין בכוחי לעשות מאומה עבור עצמי. לא להתקלח לבד, לא להתלבש לבד, לא לאכול לבד. מאומה. אני מצוי בתלות מוחלטת בידכם. ואני גם משקף במידה רבה את </w:t>
      </w:r>
      <w:r w:rsidRPr="00D62D25">
        <w:rPr>
          <w:rFonts w:ascii="David" w:hAnsi="David" w:cs="David" w:hint="cs"/>
          <w:i/>
          <w:iCs/>
          <w:color w:val="1D2129"/>
          <w:sz w:val="24"/>
          <w:szCs w:val="24"/>
          <w:rtl/>
        </w:rPr>
        <w:t>מוגבלותכ</w:t>
      </w:r>
      <w:r w:rsidRPr="00D62D25">
        <w:rPr>
          <w:rFonts w:ascii="David" w:hAnsi="David" w:cs="David" w:hint="eastAsia"/>
          <w:i/>
          <w:iCs/>
          <w:color w:val="1D2129"/>
          <w:sz w:val="24"/>
          <w:szCs w:val="24"/>
          <w:rtl/>
        </w:rPr>
        <w:t>ם</w:t>
      </w:r>
      <w:r w:rsidR="009535E8" w:rsidRPr="00D62D25">
        <w:rPr>
          <w:rFonts w:ascii="David" w:hAnsi="David" w:cs="David"/>
          <w:i/>
          <w:iCs/>
          <w:color w:val="1D2129"/>
          <w:sz w:val="24"/>
          <w:szCs w:val="24"/>
          <w:rtl/>
        </w:rPr>
        <w:t xml:space="preserve"> אתם היות שקיבלתם את בריאותכם וכוחכם באופן זמני. חס וחלילה, זקנה, מחלה, תאונה, פיגוע ואתם עלולים להימצא בדיוק במקומי, בתלות מוחלטת בחסדי אחרים. כנגד דגל </w:t>
      </w:r>
      <w:r w:rsidRPr="00D62D25">
        <w:rPr>
          <w:rFonts w:ascii="David" w:hAnsi="David" w:cs="David" w:hint="cs"/>
          <w:i/>
          <w:iCs/>
          <w:color w:val="1D2129"/>
          <w:sz w:val="24"/>
          <w:szCs w:val="24"/>
          <w:rtl/>
        </w:rPr>
        <w:t>המצוינות</w:t>
      </w:r>
      <w:r w:rsidR="009535E8" w:rsidRPr="00D62D25">
        <w:rPr>
          <w:rFonts w:ascii="David" w:hAnsi="David" w:cs="David"/>
          <w:i/>
          <w:iCs/>
          <w:color w:val="1D2129"/>
          <w:sz w:val="24"/>
          <w:szCs w:val="24"/>
          <w:rtl/>
        </w:rPr>
        <w:t xml:space="preserve"> האישית שהחברה מניפה כל כך גבוה, תוכלו להניף דגל אחר. דגל </w:t>
      </w:r>
      <w:r w:rsidRPr="00D62D25">
        <w:rPr>
          <w:rFonts w:ascii="David" w:hAnsi="David" w:cs="David" w:hint="cs"/>
          <w:i/>
          <w:iCs/>
          <w:color w:val="1D2129"/>
          <w:sz w:val="24"/>
          <w:szCs w:val="24"/>
          <w:rtl/>
        </w:rPr>
        <w:t>המצוינות</w:t>
      </w:r>
      <w:r w:rsidR="009535E8" w:rsidRPr="00D62D25">
        <w:rPr>
          <w:rFonts w:ascii="David" w:hAnsi="David" w:cs="David"/>
          <w:i/>
          <w:iCs/>
          <w:color w:val="1D2129"/>
          <w:sz w:val="24"/>
          <w:szCs w:val="24"/>
          <w:rtl/>
        </w:rPr>
        <w:t xml:space="preserve"> החברתית למען אלו שנגזרו לקיפוח גדול, שנולדו לעולם של דעות קדומות </w:t>
      </w:r>
      <w:r w:rsidRPr="00D62D25">
        <w:rPr>
          <w:rFonts w:ascii="David" w:hAnsi="David" w:cs="David" w:hint="cs"/>
          <w:i/>
          <w:iCs/>
          <w:color w:val="1D2129"/>
          <w:sz w:val="24"/>
          <w:szCs w:val="24"/>
          <w:rtl/>
        </w:rPr>
        <w:t>וסטראוטיפים</w:t>
      </w:r>
      <w:r w:rsidR="009535E8" w:rsidRPr="00D62D25">
        <w:rPr>
          <w:rFonts w:ascii="David" w:hAnsi="David" w:cs="David"/>
          <w:i/>
          <w:iCs/>
          <w:color w:val="1D2129"/>
          <w:sz w:val="24"/>
          <w:szCs w:val="24"/>
          <w:rtl/>
        </w:rPr>
        <w:t xml:space="preserve"> קשים, תוכלו להניף את דגל </w:t>
      </w:r>
      <w:r w:rsidRPr="00D62D25">
        <w:rPr>
          <w:rFonts w:ascii="David" w:hAnsi="David" w:cs="David" w:hint="cs"/>
          <w:i/>
          <w:iCs/>
          <w:color w:val="1D2129"/>
          <w:sz w:val="24"/>
          <w:szCs w:val="24"/>
          <w:rtl/>
        </w:rPr>
        <w:t>המצוינות</w:t>
      </w:r>
      <w:r w:rsidR="009535E8" w:rsidRPr="00D62D25">
        <w:rPr>
          <w:rFonts w:ascii="David" w:hAnsi="David" w:cs="David"/>
          <w:i/>
          <w:iCs/>
          <w:color w:val="1D2129"/>
          <w:sz w:val="24"/>
          <w:szCs w:val="24"/>
          <w:rtl/>
        </w:rPr>
        <w:t xml:space="preserve"> החברתית למען החלשים ביותר בחברה. ואם אכן תצליחו להניח את האגו בצד ולבטא בדרך חייכם את "ואהבת לרעך כמוך" אזי באמת תהיו אנשים טובים יותר</w:t>
      </w:r>
      <w:r w:rsidR="009535E8" w:rsidRPr="00D62D25">
        <w:rPr>
          <w:rFonts w:ascii="David" w:hAnsi="David" w:cs="David"/>
          <w:i/>
          <w:iCs/>
          <w:color w:val="1D2129"/>
          <w:sz w:val="24"/>
          <w:szCs w:val="24"/>
        </w:rPr>
        <w:t>".</w:t>
      </w:r>
    </w:p>
    <w:p w:rsidR="00144EC3" w:rsidRDefault="0029242C" w:rsidP="0029242C">
      <w:pPr>
        <w:pStyle w:val="ae"/>
        <w:spacing w:line="360" w:lineRule="auto"/>
        <w:jc w:val="both"/>
        <w:rPr>
          <w:rFonts w:ascii="David" w:eastAsia="Calibri" w:hAnsi="David" w:cs="David"/>
          <w:sz w:val="24"/>
          <w:szCs w:val="24"/>
          <w:rtl/>
        </w:rPr>
      </w:pPr>
      <w:r w:rsidRPr="0029242C">
        <w:rPr>
          <w:rFonts w:ascii="David" w:hAnsi="David" w:cs="David" w:hint="cs"/>
          <w:sz w:val="24"/>
          <w:szCs w:val="24"/>
          <w:rtl/>
        </w:rPr>
        <w:t>אלו הם</w:t>
      </w:r>
      <w:r w:rsidR="00BE211D">
        <w:rPr>
          <w:rFonts w:ascii="David" w:hAnsi="David" w:cs="David" w:hint="cs"/>
          <w:i/>
          <w:iCs/>
          <w:sz w:val="24"/>
          <w:szCs w:val="24"/>
          <w:rtl/>
        </w:rPr>
        <w:t xml:space="preserve"> </w:t>
      </w:r>
      <w:r w:rsidR="00BE211D">
        <w:rPr>
          <w:rFonts w:ascii="David" w:hAnsi="David" w:cs="David" w:hint="cs"/>
          <w:sz w:val="24"/>
          <w:szCs w:val="24"/>
          <w:rtl/>
        </w:rPr>
        <w:t>דבריו של דורון אלמוג,</w:t>
      </w:r>
      <w:r w:rsidR="0003203F">
        <w:rPr>
          <w:rFonts w:ascii="David" w:hAnsi="David" w:cs="David" w:hint="cs"/>
          <w:sz w:val="24"/>
          <w:szCs w:val="24"/>
          <w:rtl/>
        </w:rPr>
        <w:t xml:space="preserve"> אביו של ערן</w:t>
      </w:r>
      <w:r w:rsidR="00BE211D">
        <w:rPr>
          <w:rFonts w:ascii="David" w:hAnsi="David" w:cs="David" w:hint="cs"/>
          <w:sz w:val="24"/>
          <w:szCs w:val="24"/>
          <w:rtl/>
        </w:rPr>
        <w:t xml:space="preserve"> </w:t>
      </w:r>
      <w:r w:rsidR="00925373">
        <w:rPr>
          <w:rFonts w:ascii="David" w:hAnsi="David" w:cs="David" w:hint="cs"/>
          <w:sz w:val="24"/>
          <w:szCs w:val="24"/>
          <w:rtl/>
        </w:rPr>
        <w:t xml:space="preserve">אשר </w:t>
      </w:r>
      <w:r>
        <w:rPr>
          <w:rFonts w:ascii="David" w:hAnsi="David" w:cs="David" w:hint="cs"/>
          <w:sz w:val="24"/>
          <w:szCs w:val="24"/>
          <w:rtl/>
        </w:rPr>
        <w:t>הקים את</w:t>
      </w:r>
      <w:r w:rsidR="00BE211D">
        <w:rPr>
          <w:rFonts w:ascii="David" w:hAnsi="David" w:cs="David" w:hint="cs"/>
          <w:sz w:val="24"/>
          <w:szCs w:val="24"/>
          <w:rtl/>
        </w:rPr>
        <w:t xml:space="preserve"> הכפר השיקומי "עלה הנגב"</w:t>
      </w:r>
      <w:r w:rsidR="00925373">
        <w:rPr>
          <w:rFonts w:ascii="David" w:hAnsi="David" w:cs="David" w:hint="cs"/>
          <w:sz w:val="24"/>
          <w:szCs w:val="24"/>
          <w:rtl/>
        </w:rPr>
        <w:t xml:space="preserve"> ומכהן כיו"ר</w:t>
      </w:r>
      <w:r w:rsidR="0003203F">
        <w:rPr>
          <w:rFonts w:ascii="David" w:hAnsi="David" w:cs="David" w:hint="cs"/>
          <w:sz w:val="24"/>
          <w:szCs w:val="24"/>
          <w:rtl/>
        </w:rPr>
        <w:t xml:space="preserve">. </w:t>
      </w:r>
      <w:r w:rsidR="000A58E2">
        <w:rPr>
          <w:rFonts w:ascii="David" w:hAnsi="David" w:cs="David" w:hint="cs"/>
          <w:sz w:val="24"/>
          <w:szCs w:val="24"/>
          <w:rtl/>
        </w:rPr>
        <w:t xml:space="preserve">ציטוט זה הינו סיכום תמציתי וענייני של מטרות העל שניסיתי </w:t>
      </w:r>
      <w:r w:rsidR="00BF6739">
        <w:rPr>
          <w:rFonts w:ascii="David" w:hAnsi="David" w:cs="David" w:hint="cs"/>
          <w:sz w:val="24"/>
          <w:szCs w:val="24"/>
          <w:rtl/>
        </w:rPr>
        <w:t>להציג</w:t>
      </w:r>
      <w:r w:rsidR="000A58E2">
        <w:rPr>
          <w:rFonts w:ascii="David" w:hAnsi="David" w:cs="David" w:hint="cs"/>
          <w:sz w:val="24"/>
          <w:szCs w:val="24"/>
          <w:rtl/>
        </w:rPr>
        <w:t xml:space="preserve"> בעבודה זו. </w:t>
      </w:r>
      <w:r w:rsidR="00241E1F">
        <w:rPr>
          <w:rFonts w:ascii="David" w:hAnsi="David" w:cs="David" w:hint="cs"/>
          <w:sz w:val="24"/>
          <w:szCs w:val="24"/>
          <w:rtl/>
        </w:rPr>
        <w:t xml:space="preserve">דורון אלמוג נכנס לחשיבתו של ערן בנו שסבל מצירוף של אוטיזם ופיגור שכלי קשה כתוצאה </w:t>
      </w:r>
      <w:r w:rsidR="000A7CBE">
        <w:rPr>
          <w:rFonts w:ascii="David" w:hAnsi="David" w:cs="David" w:hint="cs"/>
          <w:sz w:val="24"/>
          <w:szCs w:val="24"/>
          <w:rtl/>
        </w:rPr>
        <w:t>מפגיעה מוחית בלידה. דורון מציין את התלות המוחלטת של ערן בהוריו</w:t>
      </w:r>
      <w:r w:rsidR="0076281D">
        <w:rPr>
          <w:rFonts w:ascii="David" w:hAnsi="David" w:cs="David" w:hint="cs"/>
          <w:sz w:val="24"/>
          <w:szCs w:val="24"/>
          <w:rtl/>
        </w:rPr>
        <w:t xml:space="preserve"> מבחינה כלכלית וסיעודית</w:t>
      </w:r>
      <w:r w:rsidR="000A7CBE">
        <w:rPr>
          <w:rFonts w:ascii="David" w:hAnsi="David" w:cs="David" w:hint="cs"/>
          <w:sz w:val="24"/>
          <w:szCs w:val="24"/>
          <w:rtl/>
        </w:rPr>
        <w:t xml:space="preserve">, את מבחן ההישגיות שלעולם לא יצליח להשיג. </w:t>
      </w:r>
      <w:r w:rsidR="00892E63">
        <w:rPr>
          <w:rFonts w:ascii="David" w:hAnsi="David" w:cs="David" w:hint="cs"/>
          <w:sz w:val="24"/>
          <w:szCs w:val="24"/>
          <w:rtl/>
        </w:rPr>
        <w:t>מנגד לכך</w:t>
      </w:r>
      <w:r w:rsidR="000A7CBE">
        <w:rPr>
          <w:rFonts w:ascii="David" w:hAnsi="David" w:cs="David" w:hint="cs"/>
          <w:sz w:val="24"/>
          <w:szCs w:val="24"/>
          <w:rtl/>
        </w:rPr>
        <w:t xml:space="preserve">, ערן </w:t>
      </w:r>
      <w:r w:rsidR="009C14C9">
        <w:rPr>
          <w:rFonts w:ascii="David" w:hAnsi="David" w:cs="David" w:hint="cs"/>
          <w:sz w:val="24"/>
          <w:szCs w:val="24"/>
          <w:rtl/>
        </w:rPr>
        <w:t xml:space="preserve">מסמל את </w:t>
      </w:r>
      <w:r w:rsidR="00892E63">
        <w:rPr>
          <w:rFonts w:ascii="David" w:hAnsi="David" w:cs="David" w:hint="cs"/>
          <w:sz w:val="24"/>
          <w:szCs w:val="24"/>
          <w:rtl/>
        </w:rPr>
        <w:t>הנפת</w:t>
      </w:r>
      <w:r w:rsidR="009C14C9">
        <w:rPr>
          <w:rFonts w:ascii="David" w:hAnsi="David" w:cs="David" w:hint="cs"/>
          <w:sz w:val="24"/>
          <w:szCs w:val="24"/>
          <w:rtl/>
        </w:rPr>
        <w:t xml:space="preserve"> הדגל למצוינות עבור אלה שנגזרו לקיפוח אחד גדול בחברה. כאמור, ציטוט </w:t>
      </w:r>
      <w:r w:rsidR="009C14C9">
        <w:rPr>
          <w:rFonts w:ascii="David" w:eastAsia="Calibri" w:hAnsi="David" w:cs="David"/>
          <w:sz w:val="24"/>
          <w:szCs w:val="24"/>
          <w:rtl/>
        </w:rPr>
        <w:t>זה מציין את הפער החברתי</w:t>
      </w:r>
      <w:r w:rsidR="009C14C9">
        <w:rPr>
          <w:rFonts w:ascii="David" w:eastAsia="Calibri" w:hAnsi="David" w:cs="David" w:hint="cs"/>
          <w:sz w:val="24"/>
          <w:szCs w:val="24"/>
          <w:rtl/>
        </w:rPr>
        <w:t xml:space="preserve">, תרבותי וכלכלי ובכך, מבקש לצמצם אותו </w:t>
      </w:r>
      <w:r w:rsidR="00E44FBA">
        <w:rPr>
          <w:rFonts w:ascii="David" w:eastAsia="Calibri" w:hAnsi="David" w:cs="David"/>
          <w:sz w:val="24"/>
          <w:szCs w:val="24"/>
          <w:rtl/>
        </w:rPr>
        <w:t>בעזרת הקניית זכויות</w:t>
      </w:r>
      <w:r w:rsidR="00E44FBA">
        <w:rPr>
          <w:rFonts w:ascii="David" w:eastAsia="Calibri" w:hAnsi="David" w:cs="David" w:hint="cs"/>
          <w:sz w:val="24"/>
          <w:szCs w:val="24"/>
          <w:rtl/>
        </w:rPr>
        <w:t xml:space="preserve"> וראייה מרחבית של הקשיים שעורבים בדרך. </w:t>
      </w:r>
    </w:p>
    <w:p w:rsidR="00F45A4F" w:rsidRDefault="00BE211D" w:rsidP="0029242C">
      <w:pPr>
        <w:spacing w:after="0" w:line="360" w:lineRule="auto"/>
        <w:jc w:val="both"/>
        <w:rPr>
          <w:rFonts w:ascii="David" w:eastAsia="Calibri" w:hAnsi="David" w:cs="David" w:hint="default"/>
          <w:sz w:val="24"/>
          <w:szCs w:val="24"/>
          <w:rtl/>
        </w:rPr>
      </w:pPr>
      <w:r w:rsidRPr="00930B93">
        <w:rPr>
          <w:rFonts w:ascii="David" w:eastAsia="Calibri" w:hAnsi="David" w:cs="David"/>
          <w:sz w:val="24"/>
          <w:szCs w:val="24"/>
          <w:rtl/>
        </w:rPr>
        <w:t xml:space="preserve">במהלך עבודה זו ניסיתי לתאר באופן מוחשי ככל הניתן את </w:t>
      </w:r>
      <w:r>
        <w:rPr>
          <w:rFonts w:ascii="David" w:eastAsia="Calibri" w:hAnsi="David" w:cs="David" w:hint="cs"/>
          <w:sz w:val="24"/>
          <w:szCs w:val="24"/>
          <w:rtl/>
        </w:rPr>
        <w:t xml:space="preserve">המצב המשפטי שנוצר כיום לאחר הלכת המר וביטול עילת </w:t>
      </w:r>
      <w:r w:rsidR="00415AA0">
        <w:rPr>
          <w:rFonts w:ascii="David" w:eastAsia="Calibri" w:hAnsi="David" w:cs="David" w:hint="cs"/>
          <w:sz w:val="24"/>
          <w:szCs w:val="24"/>
          <w:rtl/>
        </w:rPr>
        <w:t>"</w:t>
      </w:r>
      <w:r>
        <w:rPr>
          <w:rFonts w:ascii="David" w:eastAsia="Calibri" w:hAnsi="David" w:cs="David" w:hint="cs"/>
          <w:sz w:val="24"/>
          <w:szCs w:val="24"/>
          <w:rtl/>
        </w:rPr>
        <w:t>חיים בעוולה</w:t>
      </w:r>
      <w:r w:rsidR="00415AA0">
        <w:rPr>
          <w:rFonts w:ascii="David" w:eastAsia="Calibri" w:hAnsi="David" w:cs="David" w:hint="cs"/>
          <w:sz w:val="24"/>
          <w:szCs w:val="24"/>
          <w:rtl/>
        </w:rPr>
        <w:t>"</w:t>
      </w:r>
      <w:r>
        <w:rPr>
          <w:rFonts w:ascii="David" w:eastAsia="Calibri" w:hAnsi="David" w:cs="David" w:hint="cs"/>
          <w:sz w:val="24"/>
          <w:szCs w:val="24"/>
          <w:rtl/>
        </w:rPr>
        <w:t xml:space="preserve">. התחלתי בהסבר על לידה ומותה של עילת "חיים בעוולה", על תיאור עוולה זאת ומנין מקורה הראשוני בפסיקה וכן על תחילת פסיקותיה </w:t>
      </w:r>
      <w:r w:rsidR="00BF6739">
        <w:rPr>
          <w:rFonts w:ascii="David" w:eastAsia="Calibri" w:hAnsi="David" w:cs="David" w:hint="cs"/>
          <w:sz w:val="24"/>
          <w:szCs w:val="24"/>
          <w:rtl/>
        </w:rPr>
        <w:t>החל</w:t>
      </w:r>
      <w:r>
        <w:rPr>
          <w:rFonts w:ascii="David" w:eastAsia="Calibri" w:hAnsi="David" w:cs="David" w:hint="cs"/>
          <w:sz w:val="24"/>
          <w:szCs w:val="24"/>
          <w:rtl/>
        </w:rPr>
        <w:t xml:space="preserve"> מפרשת זייצוב עד לה</w:t>
      </w:r>
      <w:r>
        <w:rPr>
          <w:rFonts w:ascii="David" w:eastAsia="Calibri" w:hAnsi="David" w:cs="David" w:hint="cs"/>
          <w:sz w:val="24"/>
          <w:szCs w:val="24"/>
          <w:rtl/>
        </w:rPr>
        <w:t xml:space="preserve">לכת המר והמצב המשפטי השורר כיום. </w:t>
      </w:r>
      <w:r w:rsidR="00940D43">
        <w:rPr>
          <w:rFonts w:ascii="David" w:eastAsia="Calibri" w:hAnsi="David" w:cs="David" w:hint="cs"/>
          <w:sz w:val="24"/>
          <w:szCs w:val="24"/>
          <w:rtl/>
        </w:rPr>
        <w:t xml:space="preserve">לאחר מכן, התעמקתי </w:t>
      </w:r>
      <w:r w:rsidR="00913836">
        <w:rPr>
          <w:rFonts w:ascii="David" w:eastAsia="Calibri" w:hAnsi="David" w:cs="David" w:hint="cs"/>
          <w:sz w:val="24"/>
          <w:szCs w:val="24"/>
          <w:rtl/>
        </w:rPr>
        <w:t>ב</w:t>
      </w:r>
      <w:r>
        <w:rPr>
          <w:rFonts w:ascii="David" w:eastAsia="Calibri" w:hAnsi="David" w:cs="David" w:hint="cs"/>
          <w:sz w:val="24"/>
          <w:szCs w:val="24"/>
          <w:rtl/>
        </w:rPr>
        <w:t xml:space="preserve">השפעת פס"ד המר בנוגע לבעיה המתעוררת בדיני ההתיישנות, סקירה קצרה </w:t>
      </w:r>
      <w:r w:rsidR="00913836">
        <w:rPr>
          <w:rFonts w:ascii="David" w:eastAsia="Calibri" w:hAnsi="David" w:cs="David" w:hint="cs"/>
          <w:sz w:val="24"/>
          <w:szCs w:val="24"/>
          <w:rtl/>
        </w:rPr>
        <w:t>של</w:t>
      </w:r>
      <w:r>
        <w:rPr>
          <w:rFonts w:ascii="David" w:eastAsia="Calibri" w:hAnsi="David" w:cs="David" w:hint="cs"/>
          <w:sz w:val="24"/>
          <w:szCs w:val="24"/>
          <w:rtl/>
        </w:rPr>
        <w:t xml:space="preserve"> דיני ההתיישנות, כיצד יש לסווג את עילת ההתיישנות בענייננו </w:t>
      </w:r>
      <w:r>
        <w:rPr>
          <w:rFonts w:ascii="David" w:eastAsia="Calibri" w:hAnsi="David" w:cs="David" w:hint="default"/>
          <w:sz w:val="24"/>
          <w:szCs w:val="24"/>
          <w:rtl/>
        </w:rPr>
        <w:t>–</w:t>
      </w:r>
      <w:r>
        <w:rPr>
          <w:rFonts w:ascii="David" w:eastAsia="Calibri" w:hAnsi="David" w:cs="David" w:hint="cs"/>
          <w:sz w:val="24"/>
          <w:szCs w:val="24"/>
          <w:rtl/>
        </w:rPr>
        <w:t xml:space="preserve"> כדין מהותי או כדין דיוני? וכן חוק הנזקים האזרחיים </w:t>
      </w:r>
      <w:r>
        <w:rPr>
          <w:rFonts w:ascii="David" w:eastAsia="Calibri" w:hAnsi="David" w:cs="David" w:hint="default"/>
          <w:sz w:val="24"/>
          <w:szCs w:val="24"/>
        </w:rPr>
        <w:t>)</w:t>
      </w:r>
      <w:r>
        <w:rPr>
          <w:rFonts w:ascii="David" w:eastAsia="Calibri" w:hAnsi="David" w:cs="David" w:hint="cs"/>
          <w:sz w:val="24"/>
          <w:szCs w:val="24"/>
          <w:rtl/>
        </w:rPr>
        <w:t>אחריות המדינה) שנדונה במהלך</w:t>
      </w:r>
      <w:r>
        <w:rPr>
          <w:rFonts w:ascii="David" w:eastAsia="Calibri" w:hAnsi="David" w:cs="David" w:hint="cs"/>
          <w:sz w:val="24"/>
          <w:szCs w:val="24"/>
          <w:rtl/>
        </w:rPr>
        <w:t xml:space="preserve"> העבודה. מה שהוביל אותי לדון באחריות המדינה </w:t>
      </w:r>
      <w:r w:rsidR="00913836">
        <w:rPr>
          <w:rFonts w:ascii="David" w:eastAsia="Calibri" w:hAnsi="David" w:cs="David" w:hint="cs"/>
          <w:sz w:val="24"/>
          <w:szCs w:val="24"/>
          <w:rtl/>
        </w:rPr>
        <w:t>שנקבעה בפסיקה</w:t>
      </w:r>
      <w:r w:rsidR="00905E31">
        <w:rPr>
          <w:rFonts w:ascii="David" w:eastAsia="Calibri" w:hAnsi="David" w:cs="David" w:hint="cs"/>
          <w:sz w:val="24"/>
          <w:szCs w:val="24"/>
          <w:rtl/>
        </w:rPr>
        <w:t>, תוך שימוש ב</w:t>
      </w:r>
      <w:r>
        <w:rPr>
          <w:rFonts w:ascii="David" w:eastAsia="Calibri" w:hAnsi="David" w:cs="David" w:hint="cs"/>
          <w:sz w:val="24"/>
          <w:szCs w:val="24"/>
          <w:rtl/>
        </w:rPr>
        <w:t>דוגמאות זריקות הדפו-פרוברה ופס"ד איבי בעניין נפגעי טיפול בגזזת</w:t>
      </w:r>
      <w:r w:rsidR="00905E31">
        <w:rPr>
          <w:rFonts w:ascii="David" w:eastAsia="Calibri" w:hAnsi="David" w:cs="David" w:hint="cs"/>
          <w:sz w:val="24"/>
          <w:szCs w:val="24"/>
          <w:rtl/>
        </w:rPr>
        <w:t>, בהם נקבע</w:t>
      </w:r>
      <w:r>
        <w:rPr>
          <w:rFonts w:ascii="David" w:eastAsia="Calibri" w:hAnsi="David" w:cs="David" w:hint="cs"/>
          <w:sz w:val="24"/>
          <w:szCs w:val="24"/>
          <w:rtl/>
        </w:rPr>
        <w:t xml:space="preserve"> שהמדינה התרשלה</w:t>
      </w:r>
      <w:r w:rsidR="003B3FEA">
        <w:rPr>
          <w:rFonts w:ascii="David" w:eastAsia="Calibri" w:hAnsi="David" w:cs="David" w:hint="cs"/>
          <w:sz w:val="24"/>
          <w:szCs w:val="24"/>
          <w:rtl/>
        </w:rPr>
        <w:t>,</w:t>
      </w:r>
      <w:r>
        <w:rPr>
          <w:rFonts w:ascii="David" w:eastAsia="Calibri" w:hAnsi="David" w:cs="David" w:hint="cs"/>
          <w:sz w:val="24"/>
          <w:szCs w:val="24"/>
          <w:rtl/>
        </w:rPr>
        <w:t xml:space="preserve"> אם במעשה או במחדל</w:t>
      </w:r>
      <w:r w:rsidR="003B3FEA">
        <w:rPr>
          <w:rFonts w:ascii="David" w:eastAsia="Calibri" w:hAnsi="David" w:cs="David" w:hint="cs"/>
          <w:sz w:val="24"/>
          <w:szCs w:val="24"/>
          <w:rtl/>
        </w:rPr>
        <w:t>,</w:t>
      </w:r>
      <w:r>
        <w:rPr>
          <w:rFonts w:ascii="David" w:eastAsia="Calibri" w:hAnsi="David" w:cs="David" w:hint="cs"/>
          <w:sz w:val="24"/>
          <w:szCs w:val="24"/>
          <w:rtl/>
        </w:rPr>
        <w:t xml:space="preserve"> באחת מפעילותיה. לאחר מכן, דנתי בהתנהלות המדינה לגביי אופן היידוע של ההורים שם ניתחתי את עוולה הרשלנות תוך דווקנות בשאלה האם על המדינה מוטלת חובת זהירות? לבסוף בעניין זה דנתי במשפט משווה בנושא אחריות המדינה לפי המשפט האנגלי. </w:t>
      </w:r>
      <w:r w:rsidR="00BB3E6C">
        <w:rPr>
          <w:rFonts w:ascii="David" w:eastAsia="Calibri" w:hAnsi="David" w:cs="David" w:hint="cs"/>
          <w:sz w:val="24"/>
          <w:szCs w:val="24"/>
          <w:rtl/>
        </w:rPr>
        <w:t>בסיום העבודה דנתי בשאלה המשפטית שהובילה אותי לחקור מהם עולה הסעד בפיצויים, על מה ניתן לפצות את ההורים? האם מוטלת על המדינה חובת יידוע ובכך עליהם לפצות את ההורים שנגרם להם נזק בדמות של אובדן עילת תביעה. דבר זה הוביל אותי לפרשת חננשוילי כיציר פסיקה והכרה בראש נזק חדש בנזיקין, נזק כלכלי טהור וכן שיקולי מדיניות בעד צמצום אחריות. לבסוף, הבעתי את דעתי בעניין אחריות המדינה והטלת אחריות על פעולתה בעניין. תשובתי היא כי יש להכיר בבעייתיות. יש להבחין בין סופיות הדיון לבין הימצאותם של אוכלוסייה דומיננטית בחברה</w:t>
      </w:r>
      <w:r w:rsidR="003733C4">
        <w:rPr>
          <w:rFonts w:ascii="David" w:eastAsia="Calibri" w:hAnsi="David" w:cs="David" w:hint="cs"/>
          <w:sz w:val="24"/>
          <w:szCs w:val="24"/>
          <w:rtl/>
        </w:rPr>
        <w:t xml:space="preserve"> </w:t>
      </w:r>
      <w:r w:rsidR="003733C4">
        <w:rPr>
          <w:rFonts w:ascii="David" w:eastAsia="Calibri" w:hAnsi="David" w:cs="David" w:hint="cs"/>
          <w:sz w:val="24"/>
          <w:szCs w:val="24"/>
          <w:rtl/>
        </w:rPr>
        <w:lastRenderedPageBreak/>
        <w:t>לעומת</w:t>
      </w:r>
      <w:r w:rsidR="00BB3E6C">
        <w:rPr>
          <w:rFonts w:ascii="David" w:eastAsia="Calibri" w:hAnsi="David" w:cs="David" w:hint="cs"/>
          <w:sz w:val="24"/>
          <w:szCs w:val="24"/>
          <w:rtl/>
        </w:rPr>
        <w:t xml:space="preserve">, אוכלוסייה מוחלשת שלא מקבלת סעד ראוי. יש להכיר בחובת זהירות שהמדינה לא הבחינה בכך ובעצם גרמה למחדל שעולה לכדי ייסוד הנזק. </w:t>
      </w:r>
      <w:r>
        <w:rPr>
          <w:rFonts w:ascii="David" w:eastAsia="Calibri" w:hAnsi="David" w:cs="David" w:hint="cs"/>
          <w:sz w:val="24"/>
          <w:szCs w:val="24"/>
          <w:rtl/>
        </w:rPr>
        <w:t xml:space="preserve">לכן, לפי דעתי וכפי שציינתי לאורך כל העבודה יש להכיר </w:t>
      </w:r>
      <w:r w:rsidR="008917FB">
        <w:rPr>
          <w:rFonts w:ascii="David" w:eastAsia="Calibri" w:hAnsi="David" w:cs="David" w:hint="cs"/>
          <w:sz w:val="24"/>
          <w:szCs w:val="24"/>
          <w:rtl/>
        </w:rPr>
        <w:t>בסעיף סל</w:t>
      </w:r>
      <w:r>
        <w:rPr>
          <w:rFonts w:ascii="David" w:eastAsia="Calibri" w:hAnsi="David" w:cs="David" w:hint="cs"/>
          <w:sz w:val="24"/>
          <w:szCs w:val="24"/>
          <w:rtl/>
        </w:rPr>
        <w:t xml:space="preserve"> שנותן מענה לשאלות סבוכות מנין אלו. בכך, תינתן אפשרות לשופטים להכריע בסוגיות סבוכות שטרם נתנו תקדימים לגביה</w:t>
      </w:r>
      <w:r>
        <w:rPr>
          <w:rFonts w:ascii="David" w:eastAsia="Calibri" w:hAnsi="David" w:cs="David" w:hint="cs"/>
          <w:sz w:val="24"/>
          <w:szCs w:val="24"/>
          <w:rtl/>
        </w:rPr>
        <w:t xml:space="preserve">ם במטרה שהדבר יוביל להלכה מחייבת ותקדים. </w:t>
      </w:r>
      <w:r>
        <w:rPr>
          <w:rFonts w:ascii="David" w:eastAsia="Calibri" w:hAnsi="David" w:cs="David" w:hint="cs"/>
          <w:sz w:val="24"/>
          <w:szCs w:val="24"/>
          <w:rtl/>
        </w:rPr>
        <w:t xml:space="preserve">לא רק זאת, על המדינה באמצעות </w:t>
      </w:r>
      <w:r w:rsidR="0029242C">
        <w:rPr>
          <w:rFonts w:ascii="David" w:eastAsia="Calibri" w:hAnsi="David" w:cs="David" w:hint="cs"/>
          <w:sz w:val="24"/>
          <w:szCs w:val="24"/>
          <w:rtl/>
        </w:rPr>
        <w:t xml:space="preserve">המחקר והידע של </w:t>
      </w:r>
      <w:r>
        <w:rPr>
          <w:rFonts w:ascii="David" w:eastAsia="Calibri" w:hAnsi="David" w:cs="David" w:hint="cs"/>
          <w:sz w:val="24"/>
          <w:szCs w:val="24"/>
          <w:rtl/>
        </w:rPr>
        <w:t xml:space="preserve">הכנסת לכנס ועדת חקירה שתשקול את מכלול השיקולים בנוגע לשאלה כי ההורים וילדיהם יותרו במדינה ללא סעד הולם, אותו סעד שמוקנה להם כחוק במדינת ישראל. </w:t>
      </w:r>
    </w:p>
    <w:p w:rsidR="008C6B3E" w:rsidRDefault="008C6B3E" w:rsidP="008C6B3E">
      <w:pPr>
        <w:spacing w:after="0" w:line="360" w:lineRule="auto"/>
        <w:jc w:val="both"/>
        <w:rPr>
          <w:rFonts w:ascii="David" w:eastAsia="Calibri" w:hAnsi="David" w:cs="David" w:hint="default"/>
          <w:sz w:val="24"/>
          <w:szCs w:val="24"/>
          <w:rtl/>
        </w:rPr>
      </w:pPr>
    </w:p>
    <w:p w:rsidR="008C6B3E" w:rsidRDefault="00BE211D" w:rsidP="0029242C">
      <w:pPr>
        <w:spacing w:after="0" w:line="360" w:lineRule="auto"/>
        <w:jc w:val="both"/>
        <w:rPr>
          <w:rFonts w:ascii="David" w:eastAsia="Calibri" w:hAnsi="David" w:cs="David" w:hint="default"/>
          <w:sz w:val="24"/>
          <w:szCs w:val="24"/>
          <w:rtl/>
        </w:rPr>
      </w:pPr>
      <w:r>
        <w:rPr>
          <w:rFonts w:ascii="David" w:eastAsia="Calibri" w:hAnsi="David" w:cs="David" w:hint="cs"/>
          <w:sz w:val="24"/>
          <w:szCs w:val="24"/>
          <w:rtl/>
        </w:rPr>
        <w:t xml:space="preserve">כולי כמהה להסרת המטפחת מעיניה של </w:t>
      </w:r>
      <w:r w:rsidR="0029242C">
        <w:rPr>
          <w:rFonts w:ascii="David" w:eastAsia="Calibri" w:hAnsi="David" w:cs="David" w:hint="cs"/>
          <w:sz w:val="24"/>
          <w:szCs w:val="24"/>
          <w:rtl/>
        </w:rPr>
        <w:t>אלת</w:t>
      </w:r>
      <w:r>
        <w:rPr>
          <w:rFonts w:ascii="David" w:eastAsia="Calibri" w:hAnsi="David" w:cs="David" w:hint="cs"/>
          <w:sz w:val="24"/>
          <w:szCs w:val="24"/>
          <w:rtl/>
        </w:rPr>
        <w:t xml:space="preserve"> הצדק וכי </w:t>
      </w:r>
      <w:r w:rsidR="000351A2">
        <w:rPr>
          <w:rFonts w:ascii="David" w:eastAsia="Calibri" w:hAnsi="David" w:cs="David" w:hint="cs"/>
          <w:sz w:val="24"/>
          <w:szCs w:val="24"/>
          <w:rtl/>
        </w:rPr>
        <w:t>בבוא</w:t>
      </w:r>
      <w:r>
        <w:rPr>
          <w:rFonts w:ascii="David" w:eastAsia="Calibri" w:hAnsi="David" w:cs="David" w:hint="cs"/>
          <w:sz w:val="24"/>
          <w:szCs w:val="24"/>
          <w:rtl/>
        </w:rPr>
        <w:t xml:space="preserve"> היום יתחולל במדינתנו שינוי של ממש, שינוי של הקניית זכויות ופקיחת עיניים למען האוכלוסייה שנדונה לחיים של תלות ממשית וסיוע באמצעות הרשויות השונות במדינה. </w:t>
      </w:r>
      <w:r w:rsidR="009143D1">
        <w:rPr>
          <w:rFonts w:ascii="David" w:eastAsia="Calibri" w:hAnsi="David" w:cs="David" w:hint="cs"/>
          <w:sz w:val="24"/>
          <w:szCs w:val="24"/>
          <w:rtl/>
        </w:rPr>
        <w:t xml:space="preserve">בכך, נוכל להוביל לחברה טובה יותר, מקבלת יותר, ומדינה שרואה בראש מעניינה את האוכלוסייה שמכירה בשונות, בקבלת האחר ובאהבת חינם. </w:t>
      </w:r>
    </w:p>
    <w:p w:rsidR="00AA15C4" w:rsidRPr="00DD5E0D" w:rsidRDefault="00AA15C4" w:rsidP="00892E63">
      <w:pPr>
        <w:pStyle w:val="ae"/>
        <w:spacing w:line="360" w:lineRule="auto"/>
        <w:jc w:val="both"/>
        <w:rPr>
          <w:rFonts w:ascii="David" w:hAnsi="David" w:cs="David"/>
          <w:sz w:val="24"/>
          <w:szCs w:val="24"/>
          <w:rtl/>
        </w:rPr>
      </w:pPr>
    </w:p>
    <w:p w:rsidR="00144EC3" w:rsidRPr="00144EC3" w:rsidRDefault="00BE211D" w:rsidP="00F51F81">
      <w:pPr>
        <w:pStyle w:val="ae"/>
        <w:spacing w:line="360" w:lineRule="auto"/>
        <w:jc w:val="both"/>
        <w:rPr>
          <w:rFonts w:ascii="David" w:hAnsi="David" w:cs="David"/>
          <w:b/>
          <w:bCs/>
          <w:sz w:val="24"/>
          <w:szCs w:val="24"/>
          <w:u w:val="single"/>
          <w:rtl/>
        </w:rPr>
      </w:pPr>
      <w:r>
        <w:rPr>
          <w:rFonts w:ascii="David" w:hAnsi="David" w:cs="David" w:hint="cs"/>
          <w:b/>
          <w:bCs/>
          <w:sz w:val="24"/>
          <w:szCs w:val="24"/>
          <w:u w:val="single"/>
          <w:rtl/>
        </w:rPr>
        <w:t>סוף דבר</w:t>
      </w:r>
    </w:p>
    <w:p w:rsidR="00C6309F" w:rsidRDefault="00BE211D" w:rsidP="00C6309F">
      <w:pPr>
        <w:pStyle w:val="ae"/>
        <w:spacing w:line="360" w:lineRule="auto"/>
        <w:jc w:val="both"/>
        <w:rPr>
          <w:rFonts w:ascii="David" w:hAnsi="David" w:cs="David"/>
          <w:sz w:val="24"/>
          <w:szCs w:val="24"/>
          <w:rtl/>
        </w:rPr>
      </w:pPr>
      <w:r>
        <w:rPr>
          <w:rFonts w:ascii="David" w:hAnsi="David" w:cs="David" w:hint="cs"/>
          <w:sz w:val="24"/>
          <w:szCs w:val="24"/>
          <w:rtl/>
        </w:rPr>
        <w:t xml:space="preserve">אם להיות כנים השאלה העסיקה אותי רבות במהלך עבודתי בעניין אחריות המדינה באשר ליידוע הדין החדש, קרי, אובדן עילת התביעה. שאלתי את עצמי לא פעם האם נכון וראוי להטיל על המדינה אחריות כמי שיצרה את הסיכון לאובדן עילת תביעה של ההורים והקטין. פרסתי לעצמי תמונה מלאה </w:t>
      </w:r>
      <w:r>
        <w:rPr>
          <w:rFonts w:ascii="David" w:hAnsi="David" w:cs="David" w:hint="cs"/>
          <w:sz w:val="24"/>
          <w:szCs w:val="24"/>
          <w:rtl/>
        </w:rPr>
        <w:t xml:space="preserve">בתקווה כי אגיע למסקנה סופית אחת איתנה בסוף העבודה, ללא דעות קדומות טרם תחילת מחקרי. לא פעם הדבר הקשה עליי. האם המדינה </w:t>
      </w:r>
      <w:r w:rsidRPr="00DD5E0D">
        <w:rPr>
          <w:rFonts w:ascii="David" w:hAnsi="David" w:cs="David" w:hint="cs"/>
          <w:sz w:val="24"/>
          <w:szCs w:val="24"/>
          <w:rtl/>
        </w:rPr>
        <w:t>צריכה להתערב בעניינים פרטיים? האם זה ייצור מדרון חלקלק לתביעות עתידיות רחבות ואחרות? האם ריבוי</w:t>
      </w:r>
      <w:r>
        <w:rPr>
          <w:rFonts w:ascii="David" w:hAnsi="David" w:cs="David" w:hint="cs"/>
          <w:sz w:val="24"/>
          <w:szCs w:val="24"/>
          <w:rtl/>
        </w:rPr>
        <w:t xml:space="preserve"> תובעים עלולים להביא לקריסת תקציב המדינה וגר</w:t>
      </w:r>
      <w:r>
        <w:rPr>
          <w:rFonts w:ascii="David" w:hAnsi="David" w:cs="David" w:hint="cs"/>
          <w:sz w:val="24"/>
          <w:szCs w:val="24"/>
          <w:rtl/>
        </w:rPr>
        <w:t xml:space="preserve">עון? האם בשביל "לכסות" דבר אחד צריך לקחת מתקציב מדינה אחר שהוא חיוני וחשוב לא פחות? ואז ניסיתי להוציא לרגע את </w:t>
      </w:r>
      <w:r w:rsidR="00C40169">
        <w:rPr>
          <w:rFonts w:ascii="David" w:hAnsi="David" w:cs="David" w:hint="cs"/>
          <w:sz w:val="24"/>
          <w:szCs w:val="24"/>
          <w:rtl/>
        </w:rPr>
        <w:t>המדינה</w:t>
      </w:r>
      <w:r>
        <w:rPr>
          <w:rFonts w:ascii="David" w:hAnsi="David" w:cs="David" w:hint="cs"/>
          <w:sz w:val="24"/>
          <w:szCs w:val="24"/>
          <w:rtl/>
        </w:rPr>
        <w:t xml:space="preserve"> מהמשוואה ולראות את התמונה של ההורים והקטין. ככל שהתעמקתי בהם יותר ראיתי אותם לנגד עיניי כניזוקים ישירים בשני מישורים: האחד, שהביאו לעולם יל</w:t>
      </w:r>
      <w:r>
        <w:rPr>
          <w:rFonts w:ascii="David" w:hAnsi="David" w:cs="David" w:hint="cs"/>
          <w:sz w:val="24"/>
          <w:szCs w:val="24"/>
          <w:rtl/>
        </w:rPr>
        <w:t>ד עם מום, אותו ילד שלא היו מעוניינים להביא לעולם ובעקבות כך עוד בטרם ההיריון נגשו לייעוץ גנטי. השני, הם הניזוקים הישירים ברגע שהדין החדש שונה והם לא היו מודעים לכך, מה שבעצם ג</w:t>
      </w:r>
      <w:r w:rsidR="0087138B">
        <w:rPr>
          <w:rFonts w:ascii="David" w:hAnsi="David" w:cs="David" w:hint="cs"/>
          <w:sz w:val="24"/>
          <w:szCs w:val="24"/>
          <w:rtl/>
        </w:rPr>
        <w:t xml:space="preserve">רם להם לאבד את עילת התביעה. כך </w:t>
      </w:r>
      <w:r>
        <w:rPr>
          <w:rFonts w:ascii="David" w:hAnsi="David" w:cs="David" w:hint="cs"/>
          <w:sz w:val="24"/>
          <w:szCs w:val="24"/>
          <w:rtl/>
        </w:rPr>
        <w:t>הם מצאו את עצמם עם עוולה כל כך גדולה, עוולה א</w:t>
      </w:r>
      <w:r w:rsidR="0087138B">
        <w:rPr>
          <w:rFonts w:ascii="David" w:hAnsi="David" w:cs="David" w:hint="cs"/>
          <w:sz w:val="24"/>
          <w:szCs w:val="24"/>
          <w:rtl/>
        </w:rPr>
        <w:t>ישית שלא משנה כמה אנסה לכמת אותה</w:t>
      </w:r>
      <w:r>
        <w:rPr>
          <w:rFonts w:ascii="David" w:hAnsi="David" w:cs="David" w:hint="cs"/>
          <w:sz w:val="24"/>
          <w:szCs w:val="24"/>
          <w:rtl/>
        </w:rPr>
        <w:t xml:space="preserve"> במילים</w:t>
      </w:r>
      <w:r w:rsidR="0087138B">
        <w:rPr>
          <w:rFonts w:ascii="David" w:hAnsi="David" w:cs="David" w:hint="cs"/>
          <w:sz w:val="24"/>
          <w:szCs w:val="24"/>
          <w:rtl/>
        </w:rPr>
        <w:t>,</w:t>
      </w:r>
      <w:r>
        <w:rPr>
          <w:rFonts w:ascii="David" w:hAnsi="David" w:cs="David" w:hint="cs"/>
          <w:sz w:val="24"/>
          <w:szCs w:val="24"/>
          <w:rtl/>
        </w:rPr>
        <w:t xml:space="preserve"> לעולם לא אצליח. אותה </w:t>
      </w:r>
      <w:r w:rsidR="0087138B">
        <w:rPr>
          <w:rFonts w:ascii="David" w:hAnsi="David" w:cs="David" w:hint="cs"/>
          <w:sz w:val="24"/>
          <w:szCs w:val="24"/>
          <w:rtl/>
        </w:rPr>
        <w:t>עוולה שגורמת למשפחה להיות מנוכרת</w:t>
      </w:r>
      <w:r>
        <w:rPr>
          <w:rFonts w:ascii="David" w:hAnsi="David" w:cs="David" w:hint="cs"/>
          <w:sz w:val="24"/>
          <w:szCs w:val="24"/>
          <w:rtl/>
        </w:rPr>
        <w:t xml:space="preserve"> מהחברה, להימצא תחת זכוכית מגדלת וביקורתיות של החברה הישראלית. עוולה </w:t>
      </w:r>
      <w:r w:rsidR="00E70587">
        <w:rPr>
          <w:rFonts w:ascii="David" w:hAnsi="David" w:cs="David" w:hint="cs"/>
          <w:sz w:val="24"/>
          <w:szCs w:val="24"/>
          <w:rtl/>
        </w:rPr>
        <w:t xml:space="preserve">זו </w:t>
      </w:r>
      <w:r>
        <w:rPr>
          <w:rFonts w:ascii="David" w:hAnsi="David" w:cs="David" w:hint="cs"/>
          <w:sz w:val="24"/>
          <w:szCs w:val="24"/>
          <w:rtl/>
        </w:rPr>
        <w:t>גורמת לכל תא משפחתי במדינת ישראל ובכלל בעולם לשנ</w:t>
      </w:r>
      <w:r w:rsidR="00E70587">
        <w:rPr>
          <w:rFonts w:ascii="David" w:hAnsi="David" w:cs="David" w:hint="cs"/>
          <w:sz w:val="24"/>
          <w:szCs w:val="24"/>
          <w:rtl/>
        </w:rPr>
        <w:t>ות את מאזן הכוחות, לשנות הרגלים</w:t>
      </w:r>
      <w:r>
        <w:rPr>
          <w:rFonts w:ascii="David" w:hAnsi="David" w:cs="David" w:hint="cs"/>
          <w:sz w:val="24"/>
          <w:szCs w:val="24"/>
          <w:rtl/>
        </w:rPr>
        <w:t xml:space="preserve"> </w:t>
      </w:r>
      <w:r w:rsidR="00E70587">
        <w:rPr>
          <w:rFonts w:ascii="David" w:hAnsi="David" w:cs="David" w:hint="cs"/>
          <w:sz w:val="24"/>
          <w:szCs w:val="24"/>
          <w:rtl/>
        </w:rPr>
        <w:t>ו</w:t>
      </w:r>
      <w:r>
        <w:rPr>
          <w:rFonts w:ascii="David" w:hAnsi="David" w:cs="David" w:hint="cs"/>
          <w:sz w:val="24"/>
          <w:szCs w:val="24"/>
          <w:rtl/>
        </w:rPr>
        <w:t>חשיבה. ברגע שי</w:t>
      </w:r>
      <w:r>
        <w:rPr>
          <w:rFonts w:ascii="David" w:hAnsi="David" w:cs="David" w:hint="cs"/>
          <w:sz w:val="24"/>
          <w:szCs w:val="24"/>
          <w:rtl/>
        </w:rPr>
        <w:t>ש ילד אחד שהוא חולה במשפחה הפוקוס והוויה מתרכז</w:t>
      </w:r>
      <w:r w:rsidR="00E70587">
        <w:rPr>
          <w:rFonts w:ascii="David" w:hAnsi="David" w:cs="David" w:hint="cs"/>
          <w:sz w:val="24"/>
          <w:szCs w:val="24"/>
          <w:rtl/>
        </w:rPr>
        <w:t>ים</w:t>
      </w:r>
      <w:r>
        <w:rPr>
          <w:rFonts w:ascii="David" w:hAnsi="David" w:cs="David" w:hint="cs"/>
          <w:sz w:val="24"/>
          <w:szCs w:val="24"/>
          <w:rtl/>
        </w:rPr>
        <w:t xml:space="preserve"> בו, </w:t>
      </w:r>
      <w:r w:rsidR="00E70587">
        <w:rPr>
          <w:rFonts w:ascii="David" w:hAnsi="David" w:cs="David" w:hint="cs"/>
          <w:sz w:val="24"/>
          <w:szCs w:val="24"/>
          <w:rtl/>
        </w:rPr>
        <w:t xml:space="preserve">ולמעשה </w:t>
      </w:r>
      <w:r>
        <w:rPr>
          <w:rFonts w:ascii="David" w:hAnsi="David" w:cs="David" w:hint="cs"/>
          <w:sz w:val="24"/>
          <w:szCs w:val="24"/>
          <w:rtl/>
        </w:rPr>
        <w:t xml:space="preserve">הוא הגרעין בתא המשפחתי. כאשר הורים מביאים ילד לעולם הוא מביא מנת אושר, אושר לא מזוקק, אך כאשר מגיע ילד לעולם בעל מומים, קרי </w:t>
      </w:r>
      <w:r w:rsidR="00E95353">
        <w:rPr>
          <w:rFonts w:ascii="David" w:hAnsi="David" w:cs="David" w:hint="cs"/>
          <w:sz w:val="24"/>
          <w:szCs w:val="24"/>
          <w:rtl/>
        </w:rPr>
        <w:t xml:space="preserve">בעל </w:t>
      </w:r>
      <w:r>
        <w:rPr>
          <w:rFonts w:ascii="David" w:hAnsi="David" w:cs="David" w:hint="cs"/>
          <w:sz w:val="24"/>
          <w:szCs w:val="24"/>
          <w:rtl/>
        </w:rPr>
        <w:t>צרכים מיוחדים האושר הוא מוגבל, הוא לעולם לא יהיה "שלם". הוא לעולם לא</w:t>
      </w:r>
      <w:r>
        <w:rPr>
          <w:rFonts w:ascii="David" w:hAnsi="David" w:cs="David" w:hint="cs"/>
          <w:sz w:val="24"/>
          <w:szCs w:val="24"/>
          <w:rtl/>
        </w:rPr>
        <w:t xml:space="preserve"> יהיה אחד "מוצלח" כחשיבה רגילה ונורמטיבית של כל אחד מההורים, הוא לא יגיע להישגי הצטיינות כלשהם והוא לא יהווה מקור לגאווה באמצעות דרכו והצלחתו. מה שהוא כן יהיה</w:t>
      </w:r>
      <w:r w:rsidR="00DF6878">
        <w:rPr>
          <w:rFonts w:ascii="David" w:hAnsi="David" w:cs="David" w:hint="cs"/>
          <w:sz w:val="24"/>
          <w:szCs w:val="24"/>
          <w:rtl/>
        </w:rPr>
        <w:t xml:space="preserve"> זה</w:t>
      </w:r>
      <w:r>
        <w:rPr>
          <w:rFonts w:ascii="David" w:hAnsi="David" w:cs="David" w:hint="cs"/>
          <w:sz w:val="24"/>
          <w:szCs w:val="24"/>
          <w:rtl/>
        </w:rPr>
        <w:t xml:space="preserve"> מודל למצוינות, לקבלת האחר והזולת, לנתינה ולסובלנות, לרגישות בלתי מתוארת, הוא יגרום לסביבה שעוטפת אותו להסתכלות אכפתית ומכילה יותר מכל ילד אחר </w:t>
      </w:r>
      <w:r w:rsidR="005F1ECD">
        <w:rPr>
          <w:rFonts w:ascii="David" w:hAnsi="David" w:cs="David" w:hint="cs"/>
          <w:sz w:val="24"/>
          <w:szCs w:val="24"/>
          <w:rtl/>
        </w:rPr>
        <w:t>שנולד</w:t>
      </w:r>
      <w:r>
        <w:rPr>
          <w:rFonts w:ascii="David" w:hAnsi="David" w:cs="David" w:hint="cs"/>
          <w:sz w:val="24"/>
          <w:szCs w:val="24"/>
          <w:rtl/>
        </w:rPr>
        <w:t xml:space="preserve">. </w:t>
      </w:r>
      <w:r w:rsidR="002B40FA">
        <w:rPr>
          <w:rFonts w:ascii="David" w:hAnsi="David" w:cs="David" w:hint="cs"/>
          <w:sz w:val="24"/>
          <w:szCs w:val="24"/>
          <w:rtl/>
        </w:rPr>
        <w:t xml:space="preserve">מחשבות אלה </w:t>
      </w:r>
      <w:r>
        <w:rPr>
          <w:rFonts w:ascii="David" w:hAnsi="David" w:cs="David" w:hint="cs"/>
          <w:sz w:val="24"/>
          <w:szCs w:val="24"/>
          <w:rtl/>
        </w:rPr>
        <w:t>שרצו במוחי הלוך ושוב גרמו לי להבין שה</w:t>
      </w:r>
      <w:r w:rsidR="00D477BB">
        <w:rPr>
          <w:rFonts w:ascii="David" w:hAnsi="David" w:cs="David" w:hint="cs"/>
          <w:sz w:val="24"/>
          <w:szCs w:val="24"/>
          <w:rtl/>
        </w:rPr>
        <w:t>ה</w:t>
      </w:r>
      <w:r>
        <w:rPr>
          <w:rFonts w:ascii="David" w:hAnsi="David" w:cs="David" w:hint="cs"/>
          <w:sz w:val="24"/>
          <w:szCs w:val="24"/>
          <w:rtl/>
        </w:rPr>
        <w:t xml:space="preserve">תמודדות הקשה והיום יומית בגידול ילד עם מומים, ריצות לבתי </w:t>
      </w:r>
      <w:r>
        <w:rPr>
          <w:rFonts w:ascii="David" w:hAnsi="David" w:cs="David" w:hint="cs"/>
          <w:sz w:val="24"/>
          <w:szCs w:val="24"/>
          <w:rtl/>
        </w:rPr>
        <w:t>חולים, מכוני התפתחות הילד, סייעות, הכרה מיוחדת במשרד הבריאות, במוסדות הרווח</w:t>
      </w:r>
      <w:r w:rsidR="00D477BB">
        <w:rPr>
          <w:rFonts w:ascii="David" w:hAnsi="David" w:cs="David" w:hint="cs"/>
          <w:sz w:val="24"/>
          <w:szCs w:val="24"/>
          <w:rtl/>
        </w:rPr>
        <w:t>ה</w:t>
      </w:r>
      <w:r>
        <w:rPr>
          <w:rFonts w:ascii="David" w:hAnsi="David" w:cs="David" w:hint="cs"/>
          <w:sz w:val="24"/>
          <w:szCs w:val="24"/>
          <w:rtl/>
        </w:rPr>
        <w:t xml:space="preserve"> וב</w:t>
      </w:r>
      <w:r w:rsidR="00D477BB">
        <w:rPr>
          <w:rFonts w:ascii="David" w:hAnsi="David" w:cs="David" w:hint="cs"/>
          <w:sz w:val="24"/>
          <w:szCs w:val="24"/>
          <w:rtl/>
        </w:rPr>
        <w:t>ב</w:t>
      </w:r>
      <w:r>
        <w:rPr>
          <w:rFonts w:ascii="David" w:hAnsi="David" w:cs="David" w:hint="cs"/>
          <w:sz w:val="24"/>
          <w:szCs w:val="24"/>
          <w:rtl/>
        </w:rPr>
        <w:t xml:space="preserve">יטוח לאומי, </w:t>
      </w:r>
      <w:r w:rsidR="00413A95">
        <w:rPr>
          <w:rFonts w:ascii="David" w:hAnsi="David" w:cs="David" w:hint="cs"/>
          <w:sz w:val="24"/>
          <w:szCs w:val="24"/>
          <w:rtl/>
        </w:rPr>
        <w:t xml:space="preserve">הובילו אותי </w:t>
      </w:r>
      <w:r w:rsidR="00413A95">
        <w:rPr>
          <w:rFonts w:ascii="David" w:hAnsi="David" w:cs="David" w:hint="cs"/>
          <w:sz w:val="24"/>
          <w:szCs w:val="24"/>
          <w:rtl/>
        </w:rPr>
        <w:lastRenderedPageBreak/>
        <w:t>להבנה שההתמודדות עם כל ה</w:t>
      </w:r>
      <w:r>
        <w:rPr>
          <w:rFonts w:ascii="David" w:hAnsi="David" w:cs="David" w:hint="cs"/>
          <w:sz w:val="24"/>
          <w:szCs w:val="24"/>
          <w:rtl/>
        </w:rPr>
        <w:t>בירוקרטיה</w:t>
      </w:r>
      <w:r w:rsidR="00413A95">
        <w:rPr>
          <w:rFonts w:ascii="David" w:hAnsi="David" w:cs="David" w:hint="cs"/>
          <w:sz w:val="24"/>
          <w:szCs w:val="24"/>
          <w:rtl/>
        </w:rPr>
        <w:t xml:space="preserve"> האמורה תגרום לכך שההורים ל</w:t>
      </w:r>
      <w:r w:rsidR="00C01827">
        <w:rPr>
          <w:rFonts w:ascii="David" w:hAnsi="David" w:cs="David" w:hint="cs"/>
          <w:sz w:val="24"/>
          <w:szCs w:val="24"/>
          <w:rtl/>
        </w:rPr>
        <w:t>א יוכלו ל</w:t>
      </w:r>
      <w:r w:rsidR="00413A95">
        <w:rPr>
          <w:rFonts w:ascii="David" w:hAnsi="David" w:cs="David" w:hint="cs"/>
          <w:sz w:val="24"/>
          <w:szCs w:val="24"/>
          <w:rtl/>
        </w:rPr>
        <w:t xml:space="preserve">התפנות לטיפול בתביעה ועל כן עלולים לאבד את האפשרות התביעה וקבלת </w:t>
      </w:r>
      <w:r>
        <w:rPr>
          <w:rFonts w:ascii="David" w:hAnsi="David" w:cs="David" w:hint="cs"/>
          <w:sz w:val="24"/>
          <w:szCs w:val="24"/>
          <w:rtl/>
        </w:rPr>
        <w:t xml:space="preserve">הפיצוי עבור גידול </w:t>
      </w:r>
      <w:r w:rsidR="00413A95">
        <w:rPr>
          <w:rFonts w:ascii="David" w:hAnsi="David" w:cs="David" w:hint="cs"/>
          <w:sz w:val="24"/>
          <w:szCs w:val="24"/>
          <w:rtl/>
        </w:rPr>
        <w:t>ילד מיוחד</w:t>
      </w:r>
      <w:r>
        <w:rPr>
          <w:rFonts w:ascii="David" w:hAnsi="David" w:cs="David" w:hint="cs"/>
          <w:sz w:val="24"/>
          <w:szCs w:val="24"/>
          <w:rtl/>
        </w:rPr>
        <w:t xml:space="preserve">. </w:t>
      </w:r>
      <w:r w:rsidR="00C01827">
        <w:rPr>
          <w:rFonts w:ascii="David" w:hAnsi="David" w:cs="David" w:hint="cs"/>
          <w:sz w:val="24"/>
          <w:szCs w:val="24"/>
          <w:rtl/>
        </w:rPr>
        <w:t>אותו פיצוי שעשוי להקל עליהם ככל שאפשר ולשרת אותם מהימנה למשך כל תוחלת חיי הקטין. ראוי לזכור</w:t>
      </w:r>
      <w:r>
        <w:rPr>
          <w:rFonts w:ascii="David" w:hAnsi="David" w:cs="David" w:hint="cs"/>
          <w:sz w:val="24"/>
          <w:szCs w:val="24"/>
          <w:rtl/>
        </w:rPr>
        <w:t xml:space="preserve"> שככל שהילד גדל וההורים מזדקנים המדינה פחות מכירה בהם, </w:t>
      </w:r>
      <w:r w:rsidR="00C01827">
        <w:rPr>
          <w:rFonts w:ascii="David" w:hAnsi="David" w:cs="David" w:hint="cs"/>
          <w:sz w:val="24"/>
          <w:szCs w:val="24"/>
          <w:rtl/>
        </w:rPr>
        <w:t xml:space="preserve">וכך </w:t>
      </w:r>
      <w:r>
        <w:rPr>
          <w:rFonts w:ascii="David" w:hAnsi="David" w:cs="David" w:hint="cs"/>
          <w:sz w:val="24"/>
          <w:szCs w:val="24"/>
          <w:rtl/>
        </w:rPr>
        <w:t xml:space="preserve">בגיל 21 הם </w:t>
      </w:r>
      <w:r w:rsidR="003D10EA">
        <w:rPr>
          <w:rFonts w:ascii="David" w:hAnsi="David" w:cs="David" w:hint="cs"/>
          <w:sz w:val="24"/>
          <w:szCs w:val="24"/>
          <w:rtl/>
        </w:rPr>
        <w:t>מוצאים ממוסדות החינוך ועוברים ל</w:t>
      </w:r>
      <w:r w:rsidR="00825A0D">
        <w:rPr>
          <w:rFonts w:ascii="David" w:hAnsi="David" w:cs="David" w:hint="cs"/>
          <w:sz w:val="24"/>
          <w:szCs w:val="24"/>
          <w:rtl/>
        </w:rPr>
        <w:t>מוסדות ה</w:t>
      </w:r>
      <w:r w:rsidR="003D10EA">
        <w:rPr>
          <w:rFonts w:ascii="David" w:hAnsi="David" w:cs="David" w:hint="cs"/>
          <w:sz w:val="24"/>
          <w:szCs w:val="24"/>
          <w:rtl/>
        </w:rPr>
        <w:t>רווחה</w:t>
      </w:r>
      <w:r>
        <w:rPr>
          <w:rFonts w:ascii="David" w:hAnsi="David" w:cs="David" w:hint="cs"/>
          <w:sz w:val="24"/>
          <w:szCs w:val="24"/>
          <w:rtl/>
        </w:rPr>
        <w:t xml:space="preserve">. כאשר דנתי בשאלה </w:t>
      </w:r>
      <w:r w:rsidR="00C01827">
        <w:rPr>
          <w:rFonts w:ascii="David" w:hAnsi="David" w:cs="David" w:hint="cs"/>
          <w:sz w:val="24"/>
          <w:szCs w:val="24"/>
          <w:rtl/>
        </w:rPr>
        <w:t>זו</w:t>
      </w:r>
      <w:r>
        <w:rPr>
          <w:rFonts w:ascii="David" w:hAnsi="David" w:cs="David" w:hint="cs"/>
          <w:sz w:val="24"/>
          <w:szCs w:val="24"/>
          <w:rtl/>
        </w:rPr>
        <w:t xml:space="preserve"> לא נחה נפשי שהם יו</w:t>
      </w:r>
      <w:r w:rsidR="00C01827">
        <w:rPr>
          <w:rFonts w:ascii="David" w:hAnsi="David" w:cs="David" w:hint="cs"/>
          <w:sz w:val="24"/>
          <w:szCs w:val="24"/>
          <w:rtl/>
        </w:rPr>
        <w:t>ו</w:t>
      </w:r>
      <w:r>
        <w:rPr>
          <w:rFonts w:ascii="David" w:hAnsi="David" w:cs="David" w:hint="cs"/>
          <w:sz w:val="24"/>
          <w:szCs w:val="24"/>
          <w:rtl/>
        </w:rPr>
        <w:t>ת</w:t>
      </w:r>
      <w:r>
        <w:rPr>
          <w:rFonts w:ascii="David" w:hAnsi="David" w:cs="David" w:hint="cs"/>
          <w:sz w:val="24"/>
          <w:szCs w:val="24"/>
          <w:rtl/>
        </w:rPr>
        <w:t xml:space="preserve">רו ללא שום הגנה וללא עזרה כספית שזוהי העזרה המינימלית שהמדינה יכולה לסייע בה. כך שלמרות שהמדינה היא לא זאת שיצרה את הסיכון למום עדיין בנסיבות המקרה אפשר ויהא נכון להטיל עליה אחריות נזיקית כמי שיצרה את הנזק הכלכלי של אובדן עילת התביעה. </w:t>
      </w:r>
    </w:p>
    <w:p w:rsidR="007163F2" w:rsidRDefault="00BE211D" w:rsidP="008917FB">
      <w:pPr>
        <w:pStyle w:val="ae"/>
        <w:spacing w:line="360" w:lineRule="auto"/>
        <w:jc w:val="both"/>
        <w:rPr>
          <w:rFonts w:ascii="David" w:hAnsi="David" w:cs="David"/>
          <w:sz w:val="24"/>
          <w:szCs w:val="24"/>
          <w:rtl/>
        </w:rPr>
      </w:pPr>
      <w:r>
        <w:rPr>
          <w:rFonts w:ascii="David" w:hAnsi="David" w:cs="David" w:hint="cs"/>
          <w:sz w:val="24"/>
          <w:szCs w:val="24"/>
          <w:rtl/>
        </w:rPr>
        <w:t>על אף האמור כולי תקו</w:t>
      </w:r>
      <w:r>
        <w:rPr>
          <w:rFonts w:ascii="David" w:hAnsi="David" w:cs="David" w:hint="cs"/>
          <w:sz w:val="24"/>
          <w:szCs w:val="24"/>
          <w:rtl/>
        </w:rPr>
        <w:t xml:space="preserve">וה כי המדינה תראה לנכון לחוקק </w:t>
      </w:r>
      <w:r w:rsidR="008917FB">
        <w:rPr>
          <w:rFonts w:ascii="David" w:hAnsi="David" w:cs="David" w:hint="cs"/>
          <w:sz w:val="24"/>
          <w:szCs w:val="24"/>
          <w:rtl/>
        </w:rPr>
        <w:t>סעיף סל</w:t>
      </w:r>
      <w:r>
        <w:rPr>
          <w:rFonts w:ascii="David" w:hAnsi="David" w:cs="David" w:hint="cs"/>
          <w:sz w:val="24"/>
          <w:szCs w:val="24"/>
          <w:rtl/>
        </w:rPr>
        <w:t xml:space="preserve"> שמכיל בתוכו את הקשיים של שינו</w:t>
      </w:r>
      <w:r w:rsidR="00C6309F">
        <w:rPr>
          <w:rFonts w:ascii="David" w:hAnsi="David" w:cs="David" w:hint="cs"/>
          <w:sz w:val="24"/>
          <w:szCs w:val="24"/>
          <w:rtl/>
        </w:rPr>
        <w:t>י</w:t>
      </w:r>
      <w:r>
        <w:rPr>
          <w:rFonts w:ascii="David" w:hAnsi="David" w:cs="David" w:hint="cs"/>
          <w:sz w:val="24"/>
          <w:szCs w:val="24"/>
          <w:rtl/>
        </w:rPr>
        <w:t xml:space="preserve">י הדין והתיישנות </w:t>
      </w:r>
      <w:r w:rsidR="00C6309F">
        <w:rPr>
          <w:rFonts w:ascii="David" w:hAnsi="David" w:cs="David" w:hint="cs"/>
          <w:sz w:val="24"/>
          <w:szCs w:val="24"/>
          <w:rtl/>
        </w:rPr>
        <w:t>ה</w:t>
      </w:r>
      <w:r>
        <w:rPr>
          <w:rFonts w:ascii="David" w:hAnsi="David" w:cs="David" w:hint="cs"/>
          <w:sz w:val="24"/>
          <w:szCs w:val="24"/>
          <w:rtl/>
        </w:rPr>
        <w:t xml:space="preserve">עילה </w:t>
      </w:r>
      <w:r w:rsidR="00C6309F">
        <w:rPr>
          <w:rFonts w:ascii="David" w:hAnsi="David" w:cs="David" w:hint="cs"/>
          <w:sz w:val="24"/>
          <w:szCs w:val="24"/>
          <w:rtl/>
        </w:rPr>
        <w:t>ה</w:t>
      </w:r>
      <w:r>
        <w:rPr>
          <w:rFonts w:ascii="David" w:hAnsi="David" w:cs="David" w:hint="cs"/>
          <w:sz w:val="24"/>
          <w:szCs w:val="24"/>
          <w:rtl/>
        </w:rPr>
        <w:t>קודמת, אותם מצבים שחוסמים בפניי כלל האוכלוסייה הישראלית את הזכות לפנייה לערכאות המשפט. לא רק ז</w:t>
      </w:r>
      <w:r w:rsidR="0029242C">
        <w:rPr>
          <w:rFonts w:ascii="David" w:hAnsi="David" w:cs="David" w:hint="cs"/>
          <w:sz w:val="24"/>
          <w:szCs w:val="24"/>
          <w:rtl/>
        </w:rPr>
        <w:t>את, המדינה עשויה באמצעות מחקר ו</w:t>
      </w:r>
      <w:r>
        <w:rPr>
          <w:rFonts w:ascii="David" w:hAnsi="David" w:cs="David" w:hint="cs"/>
          <w:sz w:val="24"/>
          <w:szCs w:val="24"/>
          <w:rtl/>
        </w:rPr>
        <w:t xml:space="preserve">ידע של הכנסת לכנס ישיבות בנושא ולהגיע לתוצאה שתאפשר להורים </w:t>
      </w:r>
      <w:r w:rsidR="0079531D">
        <w:rPr>
          <w:rFonts w:ascii="David" w:hAnsi="David" w:cs="David" w:hint="cs"/>
          <w:sz w:val="24"/>
          <w:szCs w:val="24"/>
          <w:rtl/>
        </w:rPr>
        <w:t>ולקטין לקבל</w:t>
      </w:r>
      <w:r>
        <w:rPr>
          <w:rFonts w:ascii="David" w:hAnsi="David" w:cs="David" w:hint="cs"/>
          <w:sz w:val="24"/>
          <w:szCs w:val="24"/>
          <w:rtl/>
        </w:rPr>
        <w:t xml:space="preserve"> סעד </w:t>
      </w:r>
      <w:r w:rsidR="00147329">
        <w:rPr>
          <w:rFonts w:ascii="David" w:hAnsi="David" w:cs="David" w:hint="cs"/>
          <w:sz w:val="24"/>
          <w:szCs w:val="24"/>
          <w:rtl/>
        </w:rPr>
        <w:t xml:space="preserve">הולם ומתאים למשך כל תוחלת חייו. אסיים את </w:t>
      </w:r>
      <w:r w:rsidR="0079531D">
        <w:rPr>
          <w:rFonts w:ascii="David" w:hAnsi="David" w:cs="David" w:hint="cs"/>
          <w:sz w:val="24"/>
          <w:szCs w:val="24"/>
          <w:rtl/>
        </w:rPr>
        <w:t>עבודתי</w:t>
      </w:r>
      <w:r w:rsidR="00147329">
        <w:rPr>
          <w:rFonts w:ascii="David" w:hAnsi="David" w:cs="David" w:hint="cs"/>
          <w:sz w:val="24"/>
          <w:szCs w:val="24"/>
          <w:rtl/>
        </w:rPr>
        <w:t>, בנימה של תקווה ואופטימיות, ואייחל לשינוי אמיתי כבר בשנה החדשה שבפתח.</w:t>
      </w:r>
    </w:p>
    <w:p w:rsidR="007163F2" w:rsidRDefault="007163F2" w:rsidP="00147329">
      <w:pPr>
        <w:pStyle w:val="ae"/>
        <w:spacing w:line="360" w:lineRule="auto"/>
        <w:jc w:val="both"/>
        <w:rPr>
          <w:rFonts w:ascii="David" w:hAnsi="David" w:cs="David"/>
          <w:sz w:val="24"/>
          <w:szCs w:val="24"/>
          <w:rtl/>
        </w:rPr>
      </w:pPr>
    </w:p>
    <w:p w:rsidR="007163F2" w:rsidRDefault="007163F2" w:rsidP="00147329">
      <w:pPr>
        <w:pStyle w:val="ae"/>
        <w:spacing w:line="360" w:lineRule="auto"/>
        <w:jc w:val="both"/>
        <w:rPr>
          <w:rFonts w:ascii="David" w:hAnsi="David" w:cs="David"/>
          <w:sz w:val="24"/>
          <w:szCs w:val="24"/>
          <w:rtl/>
        </w:rPr>
      </w:pPr>
    </w:p>
    <w:p w:rsidR="007163F2" w:rsidRDefault="007163F2" w:rsidP="00147329">
      <w:pPr>
        <w:pStyle w:val="ae"/>
        <w:spacing w:line="360" w:lineRule="auto"/>
        <w:jc w:val="both"/>
        <w:rPr>
          <w:rFonts w:ascii="David" w:hAnsi="David" w:cs="David"/>
          <w:sz w:val="24"/>
          <w:szCs w:val="24"/>
          <w:rtl/>
        </w:rPr>
      </w:pPr>
    </w:p>
    <w:p w:rsidR="007163F2" w:rsidRDefault="007163F2" w:rsidP="00147329">
      <w:pPr>
        <w:pStyle w:val="ae"/>
        <w:spacing w:line="360" w:lineRule="auto"/>
        <w:jc w:val="both"/>
        <w:rPr>
          <w:rFonts w:ascii="David" w:hAnsi="David" w:cs="David"/>
          <w:sz w:val="24"/>
          <w:szCs w:val="24"/>
          <w:rtl/>
        </w:rPr>
      </w:pPr>
    </w:p>
    <w:p w:rsidR="00FC03E1" w:rsidRDefault="00FC03E1" w:rsidP="00147329">
      <w:pPr>
        <w:pStyle w:val="ae"/>
        <w:spacing w:line="360" w:lineRule="auto"/>
        <w:jc w:val="both"/>
        <w:rPr>
          <w:rFonts w:ascii="David" w:hAnsi="David" w:cs="David"/>
          <w:sz w:val="24"/>
          <w:szCs w:val="24"/>
          <w:rtl/>
        </w:rPr>
      </w:pPr>
    </w:p>
    <w:p w:rsidR="00FC03E1" w:rsidRDefault="00FC03E1" w:rsidP="00147329">
      <w:pPr>
        <w:pStyle w:val="ae"/>
        <w:spacing w:line="360" w:lineRule="auto"/>
        <w:jc w:val="both"/>
        <w:rPr>
          <w:rFonts w:ascii="David" w:hAnsi="David" w:cs="David"/>
          <w:sz w:val="24"/>
          <w:szCs w:val="24"/>
          <w:rtl/>
        </w:rPr>
      </w:pPr>
    </w:p>
    <w:p w:rsidR="00FC03E1" w:rsidRDefault="00FC03E1" w:rsidP="00147329">
      <w:pPr>
        <w:pStyle w:val="ae"/>
        <w:spacing w:line="360" w:lineRule="auto"/>
        <w:jc w:val="both"/>
        <w:rPr>
          <w:rFonts w:ascii="David" w:hAnsi="David" w:cs="David"/>
          <w:sz w:val="24"/>
          <w:szCs w:val="24"/>
          <w:rtl/>
        </w:rPr>
      </w:pPr>
    </w:p>
    <w:p w:rsidR="00FC03E1" w:rsidRDefault="00FC03E1" w:rsidP="00147329">
      <w:pPr>
        <w:pStyle w:val="ae"/>
        <w:spacing w:line="360" w:lineRule="auto"/>
        <w:jc w:val="both"/>
        <w:rPr>
          <w:rFonts w:ascii="David" w:hAnsi="David" w:cs="David"/>
          <w:sz w:val="24"/>
          <w:szCs w:val="24"/>
          <w:rtl/>
        </w:rPr>
      </w:pPr>
    </w:p>
    <w:p w:rsidR="00FC03E1" w:rsidRDefault="00FC03E1" w:rsidP="00147329">
      <w:pPr>
        <w:pStyle w:val="ae"/>
        <w:spacing w:line="360" w:lineRule="auto"/>
        <w:jc w:val="both"/>
        <w:rPr>
          <w:rFonts w:ascii="David" w:hAnsi="David" w:cs="David"/>
          <w:sz w:val="24"/>
          <w:szCs w:val="24"/>
          <w:rtl/>
        </w:rPr>
      </w:pPr>
    </w:p>
    <w:p w:rsidR="00FC03E1" w:rsidRDefault="00FC03E1" w:rsidP="00147329">
      <w:pPr>
        <w:pStyle w:val="ae"/>
        <w:spacing w:line="360" w:lineRule="auto"/>
        <w:jc w:val="both"/>
        <w:rPr>
          <w:rFonts w:ascii="David" w:hAnsi="David" w:cs="David"/>
          <w:sz w:val="24"/>
          <w:szCs w:val="24"/>
          <w:rtl/>
        </w:rPr>
      </w:pPr>
    </w:p>
    <w:p w:rsidR="00FC03E1" w:rsidRDefault="00FC03E1" w:rsidP="00147329">
      <w:pPr>
        <w:pStyle w:val="ae"/>
        <w:spacing w:line="360" w:lineRule="auto"/>
        <w:jc w:val="both"/>
        <w:rPr>
          <w:rFonts w:ascii="David" w:hAnsi="David" w:cs="David"/>
          <w:sz w:val="24"/>
          <w:szCs w:val="24"/>
          <w:rtl/>
        </w:rPr>
      </w:pPr>
    </w:p>
    <w:p w:rsidR="00FC03E1" w:rsidRDefault="00FC03E1" w:rsidP="00147329">
      <w:pPr>
        <w:pStyle w:val="ae"/>
        <w:spacing w:line="360" w:lineRule="auto"/>
        <w:jc w:val="both"/>
        <w:rPr>
          <w:rFonts w:ascii="David" w:hAnsi="David" w:cs="David"/>
          <w:sz w:val="24"/>
          <w:szCs w:val="24"/>
          <w:rtl/>
        </w:rPr>
      </w:pPr>
    </w:p>
    <w:p w:rsidR="00FC03E1" w:rsidRDefault="00FC03E1" w:rsidP="00147329">
      <w:pPr>
        <w:pStyle w:val="ae"/>
        <w:spacing w:line="360" w:lineRule="auto"/>
        <w:jc w:val="both"/>
        <w:rPr>
          <w:rFonts w:ascii="David" w:hAnsi="David" w:cs="David"/>
          <w:sz w:val="24"/>
          <w:szCs w:val="24"/>
          <w:rtl/>
        </w:rPr>
      </w:pPr>
    </w:p>
    <w:p w:rsidR="00FC03E1" w:rsidRDefault="00FC03E1" w:rsidP="00147329">
      <w:pPr>
        <w:pStyle w:val="ae"/>
        <w:spacing w:line="360" w:lineRule="auto"/>
        <w:jc w:val="both"/>
        <w:rPr>
          <w:rFonts w:ascii="David" w:hAnsi="David" w:cs="David"/>
          <w:sz w:val="24"/>
          <w:szCs w:val="24"/>
          <w:rtl/>
        </w:rPr>
      </w:pPr>
    </w:p>
    <w:p w:rsidR="00FC03E1" w:rsidRDefault="00FC03E1" w:rsidP="00147329">
      <w:pPr>
        <w:pStyle w:val="ae"/>
        <w:spacing w:line="360" w:lineRule="auto"/>
        <w:jc w:val="both"/>
        <w:rPr>
          <w:rFonts w:ascii="David" w:hAnsi="David" w:cs="David"/>
          <w:sz w:val="24"/>
          <w:szCs w:val="24"/>
          <w:rtl/>
        </w:rPr>
      </w:pPr>
    </w:p>
    <w:p w:rsidR="002469BF" w:rsidRDefault="002469BF" w:rsidP="00147329">
      <w:pPr>
        <w:pStyle w:val="ae"/>
        <w:spacing w:line="360" w:lineRule="auto"/>
        <w:jc w:val="both"/>
        <w:rPr>
          <w:rFonts w:ascii="David" w:hAnsi="David" w:cs="David"/>
          <w:sz w:val="24"/>
          <w:szCs w:val="24"/>
          <w:rtl/>
        </w:rPr>
      </w:pPr>
    </w:p>
    <w:p w:rsidR="007163F2" w:rsidRDefault="007163F2" w:rsidP="00147329">
      <w:pPr>
        <w:pStyle w:val="ae"/>
        <w:spacing w:line="360" w:lineRule="auto"/>
        <w:jc w:val="both"/>
        <w:rPr>
          <w:rFonts w:ascii="David" w:hAnsi="David" w:cs="David"/>
          <w:sz w:val="24"/>
          <w:szCs w:val="24"/>
          <w:rtl/>
        </w:rPr>
      </w:pPr>
    </w:p>
    <w:p w:rsidR="007163F2" w:rsidRDefault="007163F2" w:rsidP="00147329">
      <w:pPr>
        <w:pStyle w:val="ae"/>
        <w:spacing w:line="360" w:lineRule="auto"/>
        <w:jc w:val="both"/>
        <w:rPr>
          <w:rFonts w:ascii="David" w:hAnsi="David" w:cs="David"/>
          <w:sz w:val="24"/>
          <w:szCs w:val="24"/>
          <w:rtl/>
        </w:rPr>
      </w:pPr>
    </w:p>
    <w:p w:rsidR="00315897" w:rsidRPr="00392A12" w:rsidRDefault="00BE211D" w:rsidP="00315897">
      <w:pPr>
        <w:jc w:val="center"/>
        <w:rPr>
          <w:rFonts w:ascii="David" w:hAnsi="David" w:cs="David" w:hint="default"/>
          <w:b/>
          <w:bCs/>
          <w:sz w:val="24"/>
          <w:szCs w:val="24"/>
          <w:u w:val="single"/>
          <w:rtl/>
        </w:rPr>
      </w:pPr>
      <w:r w:rsidRPr="00392A12">
        <w:rPr>
          <w:rFonts w:ascii="David" w:hAnsi="David" w:cs="David"/>
          <w:b/>
          <w:bCs/>
          <w:sz w:val="24"/>
          <w:szCs w:val="24"/>
          <w:u w:val="single"/>
          <w:rtl/>
        </w:rPr>
        <w:lastRenderedPageBreak/>
        <w:t>ביבליוגרפיה:</w:t>
      </w:r>
    </w:p>
    <w:p w:rsidR="00315897" w:rsidRPr="00C46CBF" w:rsidRDefault="00BE211D" w:rsidP="00315897">
      <w:pPr>
        <w:spacing w:line="276" w:lineRule="auto"/>
        <w:rPr>
          <w:rFonts w:ascii="David" w:hAnsi="David" w:cs="David" w:hint="default"/>
          <w:b/>
          <w:bCs/>
          <w:sz w:val="24"/>
          <w:szCs w:val="24"/>
          <w:u w:val="single"/>
          <w:rtl/>
        </w:rPr>
      </w:pPr>
      <w:r w:rsidRPr="00C46CBF">
        <w:rPr>
          <w:rFonts w:ascii="David" w:hAnsi="David" w:cs="David"/>
          <w:b/>
          <w:bCs/>
          <w:sz w:val="24"/>
          <w:szCs w:val="24"/>
          <w:u w:val="single"/>
          <w:rtl/>
        </w:rPr>
        <w:t>ספרות:</w:t>
      </w:r>
    </w:p>
    <w:p w:rsidR="00315897" w:rsidRPr="00C46CBF" w:rsidRDefault="00BE211D" w:rsidP="004B6065">
      <w:pPr>
        <w:spacing w:after="0" w:line="276" w:lineRule="auto"/>
        <w:jc w:val="both"/>
        <w:rPr>
          <w:rFonts w:ascii="David" w:hAnsi="David" w:cs="David" w:hint="default"/>
          <w:sz w:val="24"/>
          <w:szCs w:val="24"/>
          <w:rtl/>
        </w:rPr>
      </w:pPr>
      <w:r w:rsidRPr="00C46CBF">
        <w:rPr>
          <w:rFonts w:ascii="David" w:hAnsi="David" w:cs="David"/>
          <w:sz w:val="24"/>
          <w:szCs w:val="24"/>
          <w:rtl/>
        </w:rPr>
        <w:t xml:space="preserve">איתן ענבר, </w:t>
      </w:r>
      <w:r w:rsidRPr="00C46CBF">
        <w:rPr>
          <w:rFonts w:ascii="David" w:hAnsi="David" w:cs="David"/>
          <w:b/>
          <w:bCs/>
          <w:sz w:val="24"/>
          <w:szCs w:val="24"/>
          <w:rtl/>
        </w:rPr>
        <w:t>דיני</w:t>
      </w:r>
      <w:r w:rsidRPr="00C46CBF">
        <w:rPr>
          <w:rFonts w:ascii="David" w:hAnsi="David" w:cs="David"/>
          <w:sz w:val="24"/>
          <w:szCs w:val="24"/>
          <w:rtl/>
        </w:rPr>
        <w:t xml:space="preserve"> </w:t>
      </w:r>
      <w:r w:rsidRPr="00C46CBF">
        <w:rPr>
          <w:rFonts w:ascii="David" w:hAnsi="David" w:cs="David"/>
          <w:b/>
          <w:bCs/>
          <w:sz w:val="24"/>
          <w:szCs w:val="24"/>
          <w:rtl/>
        </w:rPr>
        <w:t>נזיקין</w:t>
      </w:r>
      <w:r w:rsidRPr="00C46CBF">
        <w:rPr>
          <w:rFonts w:ascii="David" w:hAnsi="David" w:cs="David"/>
          <w:sz w:val="24"/>
          <w:szCs w:val="24"/>
          <w:rtl/>
        </w:rPr>
        <w:t>, התשס"ג – יולי 2002.</w:t>
      </w:r>
    </w:p>
    <w:p w:rsidR="00315897" w:rsidRPr="00C46CBF" w:rsidRDefault="00BE211D" w:rsidP="004B6065">
      <w:pPr>
        <w:spacing w:after="0" w:line="276" w:lineRule="auto"/>
        <w:jc w:val="both"/>
        <w:rPr>
          <w:rFonts w:ascii="David" w:hAnsi="David" w:cs="David" w:hint="default"/>
          <w:sz w:val="24"/>
          <w:szCs w:val="24"/>
          <w:rtl/>
        </w:rPr>
      </w:pPr>
      <w:r w:rsidRPr="00C46CBF">
        <w:rPr>
          <w:rFonts w:ascii="David" w:hAnsi="David" w:cs="David"/>
          <w:sz w:val="24"/>
          <w:szCs w:val="24"/>
          <w:rtl/>
        </w:rPr>
        <w:t>אסף פוזנר, מזייצוב עד המר: חלק ב' – בין חיים בעוולה להולדה בעוולה: היבטים מעשיים של הוראות המעבר שבפסק דין המר,</w:t>
      </w:r>
      <w:r w:rsidRPr="00C46CBF">
        <w:rPr>
          <w:rFonts w:ascii="David" w:hAnsi="David" w:cs="David"/>
          <w:sz w:val="24"/>
          <w:szCs w:val="24"/>
          <w:rtl/>
        </w:rPr>
        <w:t xml:space="preserve"> ספר שלמה לוין (קבץ), 2013.</w:t>
      </w:r>
    </w:p>
    <w:p w:rsidR="00315897" w:rsidRPr="00C46CBF" w:rsidRDefault="00BE211D" w:rsidP="004B6065">
      <w:pPr>
        <w:spacing w:after="0" w:line="276" w:lineRule="auto"/>
        <w:jc w:val="both"/>
        <w:rPr>
          <w:rFonts w:ascii="David" w:hAnsi="David" w:cs="David" w:hint="default"/>
          <w:sz w:val="24"/>
          <w:szCs w:val="24"/>
          <w:rtl/>
        </w:rPr>
      </w:pPr>
      <w:r w:rsidRPr="00C46CBF">
        <w:rPr>
          <w:rFonts w:ascii="David" w:hAnsi="David" w:cs="David"/>
          <w:sz w:val="24"/>
          <w:szCs w:val="24"/>
          <w:rtl/>
        </w:rPr>
        <w:t>אסף פוזנר, על הדילמה שבין תוצאה להנמקה וריבוע המעגל : על תביעתו הנגזרת של היילוד בגין הולדה בעוולה הישירה.</w:t>
      </w:r>
    </w:p>
    <w:p w:rsidR="00315897" w:rsidRPr="00C46CBF" w:rsidRDefault="00BE211D" w:rsidP="004B6065">
      <w:pPr>
        <w:pStyle w:val="a5"/>
        <w:spacing w:after="0" w:line="276" w:lineRule="auto"/>
        <w:jc w:val="both"/>
        <w:rPr>
          <w:rFonts w:ascii="David" w:hAnsi="David" w:cs="David" w:hint="default"/>
          <w:sz w:val="24"/>
          <w:szCs w:val="24"/>
          <w:rtl/>
        </w:rPr>
      </w:pPr>
      <w:r w:rsidRPr="00C46CBF">
        <w:rPr>
          <w:rFonts w:ascii="David" w:hAnsi="David" w:cs="David"/>
          <w:sz w:val="24"/>
          <w:szCs w:val="24"/>
          <w:rtl/>
        </w:rPr>
        <w:t xml:space="preserve">אסף פוזנר, שלוש תביעות וחוק: על נפגעי הגזזת, </w:t>
      </w:r>
      <w:r w:rsidRPr="00C46CBF">
        <w:rPr>
          <w:rFonts w:ascii="David" w:hAnsi="David" w:cs="David"/>
          <w:b/>
          <w:bCs/>
          <w:sz w:val="24"/>
          <w:szCs w:val="24"/>
          <w:rtl/>
        </w:rPr>
        <w:t xml:space="preserve">רפואה ומשפט, </w:t>
      </w:r>
      <w:r w:rsidRPr="00C46CBF">
        <w:rPr>
          <w:rFonts w:ascii="David" w:hAnsi="David" w:cs="David"/>
          <w:sz w:val="24"/>
          <w:szCs w:val="24"/>
          <w:rtl/>
        </w:rPr>
        <w:t xml:space="preserve">גיליון מס' 44, יולי 2011. </w:t>
      </w:r>
    </w:p>
    <w:p w:rsidR="00315897" w:rsidRPr="00C46CBF" w:rsidRDefault="00BE211D" w:rsidP="004B6065">
      <w:pPr>
        <w:spacing w:after="0" w:line="276" w:lineRule="auto"/>
        <w:jc w:val="both"/>
        <w:rPr>
          <w:rFonts w:ascii="David" w:hAnsi="David" w:cs="David" w:hint="default"/>
          <w:sz w:val="24"/>
          <w:szCs w:val="24"/>
          <w:rtl/>
        </w:rPr>
      </w:pPr>
      <w:r w:rsidRPr="00C46CBF">
        <w:rPr>
          <w:rFonts w:ascii="David" w:hAnsi="David" w:cs="David"/>
          <w:sz w:val="24"/>
          <w:szCs w:val="24"/>
          <w:rtl/>
        </w:rPr>
        <w:t xml:space="preserve">אריאל פורת, </w:t>
      </w:r>
      <w:r w:rsidRPr="00C46CBF">
        <w:rPr>
          <w:rFonts w:ascii="David" w:hAnsi="David" w:cs="David"/>
          <w:b/>
          <w:bCs/>
          <w:sz w:val="24"/>
          <w:szCs w:val="24"/>
          <w:rtl/>
        </w:rPr>
        <w:t>נזיקין</w:t>
      </w:r>
      <w:r w:rsidRPr="00C46CBF">
        <w:rPr>
          <w:rFonts w:ascii="David" w:hAnsi="David" w:cs="David"/>
          <w:sz w:val="24"/>
          <w:szCs w:val="24"/>
          <w:rtl/>
        </w:rPr>
        <w:t>, כרך א'</w:t>
      </w:r>
      <w:r w:rsidR="00FE680E">
        <w:rPr>
          <w:rFonts w:ascii="David" w:hAnsi="David" w:cs="David" w:hint="cs"/>
          <w:sz w:val="24"/>
          <w:szCs w:val="24"/>
          <w:rtl/>
        </w:rPr>
        <w:t>, התשע"ג 2013.</w:t>
      </w:r>
    </w:p>
    <w:p w:rsidR="00315897" w:rsidRPr="00C46CBF" w:rsidRDefault="00BE211D" w:rsidP="004B6065">
      <w:pPr>
        <w:spacing w:after="0" w:line="276" w:lineRule="auto"/>
        <w:jc w:val="both"/>
        <w:rPr>
          <w:rFonts w:hint="default"/>
          <w:sz w:val="24"/>
          <w:szCs w:val="24"/>
          <w:rtl/>
        </w:rPr>
      </w:pPr>
      <w:r w:rsidRPr="00C46CBF">
        <w:rPr>
          <w:rFonts w:ascii="David" w:hAnsi="David" w:cs="David"/>
          <w:sz w:val="24"/>
          <w:szCs w:val="24"/>
          <w:rtl/>
        </w:rPr>
        <w:t>אמנון כרמי, בריאות ומשפט, כרך א', התשע"ד 2013.</w:t>
      </w:r>
    </w:p>
    <w:p w:rsidR="00315897" w:rsidRPr="00C46CBF" w:rsidRDefault="00BE211D" w:rsidP="004B6065">
      <w:pPr>
        <w:pStyle w:val="a5"/>
        <w:spacing w:after="0" w:line="276" w:lineRule="auto"/>
        <w:jc w:val="both"/>
        <w:rPr>
          <w:rFonts w:ascii="David" w:hAnsi="David" w:cs="David" w:hint="default"/>
          <w:sz w:val="24"/>
          <w:szCs w:val="24"/>
          <w:rtl/>
        </w:rPr>
      </w:pPr>
      <w:r w:rsidRPr="00C46CBF">
        <w:rPr>
          <w:rFonts w:ascii="David" w:hAnsi="David" w:cs="David"/>
          <w:sz w:val="24"/>
          <w:szCs w:val="24"/>
          <w:rtl/>
        </w:rPr>
        <w:t xml:space="preserve">ברק קדם, מדוע קדמוני ברכים – על לידתה ומותה של עילת "חיים בעוולה", </w:t>
      </w:r>
      <w:r w:rsidRPr="00C46CBF">
        <w:rPr>
          <w:rFonts w:ascii="David" w:hAnsi="David" w:cs="David"/>
          <w:b/>
          <w:bCs/>
          <w:sz w:val="24"/>
          <w:szCs w:val="24"/>
          <w:rtl/>
        </w:rPr>
        <w:t>רפואה ומשפט</w:t>
      </w:r>
      <w:r w:rsidRPr="00C46CBF">
        <w:rPr>
          <w:rFonts w:ascii="David" w:hAnsi="David" w:cs="David"/>
          <w:sz w:val="24"/>
          <w:szCs w:val="24"/>
          <w:rtl/>
        </w:rPr>
        <w:t xml:space="preserve"> – הולדה בעוולה – ינואר 2015. </w:t>
      </w:r>
    </w:p>
    <w:p w:rsidR="00315897" w:rsidRPr="00C46CBF" w:rsidRDefault="00BE211D" w:rsidP="004B6065">
      <w:pPr>
        <w:pStyle w:val="a5"/>
        <w:spacing w:after="0" w:line="276" w:lineRule="auto"/>
        <w:jc w:val="both"/>
        <w:rPr>
          <w:rFonts w:ascii="David" w:hAnsi="David" w:cs="David" w:hint="default"/>
          <w:sz w:val="24"/>
          <w:szCs w:val="24"/>
          <w:rtl/>
        </w:rPr>
      </w:pPr>
      <w:r w:rsidRPr="00C46CBF">
        <w:rPr>
          <w:rFonts w:ascii="David" w:hAnsi="David" w:cs="David"/>
          <w:sz w:val="24"/>
          <w:szCs w:val="24"/>
          <w:shd w:val="clear" w:color="auto" w:fill="FFFFFF"/>
          <w:rtl/>
        </w:rPr>
        <w:t>דפנה ברק-ארז "עוולות חוקתיות בעידן חוקי היסוד</w:t>
      </w:r>
      <w:r w:rsidRPr="00C46CBF">
        <w:rPr>
          <w:rFonts w:ascii="David" w:hAnsi="David" w:cs="David"/>
          <w:sz w:val="24"/>
          <w:szCs w:val="24"/>
          <w:shd w:val="clear" w:color="auto" w:fill="FFFFFF"/>
        </w:rPr>
        <w:t>" </w:t>
      </w:r>
      <w:r w:rsidRPr="00C46CBF">
        <w:rPr>
          <w:rStyle w:val="ad"/>
          <w:rFonts w:ascii="David" w:hAnsi="David" w:cs="David"/>
          <w:bCs w:val="0"/>
          <w:sz w:val="24"/>
          <w:szCs w:val="24"/>
          <w:bdr w:val="none" w:sz="0" w:space="0" w:color="auto" w:frame="1"/>
          <w:shd w:val="clear" w:color="auto" w:fill="FFFFFF"/>
          <w:rtl/>
        </w:rPr>
        <w:t>משפט וממשל (תשס"ו)</w:t>
      </w:r>
      <w:r w:rsidRPr="00C46CBF">
        <w:rPr>
          <w:rFonts w:ascii="David" w:hAnsi="David" w:cs="David"/>
          <w:sz w:val="24"/>
          <w:szCs w:val="24"/>
          <w:shd w:val="clear" w:color="auto" w:fill="FFFFFF"/>
        </w:rPr>
        <w:t xml:space="preserve">, </w:t>
      </w:r>
      <w:r w:rsidRPr="00C46CBF">
        <w:rPr>
          <w:rFonts w:ascii="David" w:hAnsi="David" w:cs="David"/>
          <w:sz w:val="24"/>
          <w:szCs w:val="24"/>
          <w:shd w:val="clear" w:color="auto" w:fill="FFFFFF"/>
          <w:rtl/>
        </w:rPr>
        <w:t>כרך ט, 103 – 136.</w:t>
      </w:r>
    </w:p>
    <w:p w:rsidR="00315897" w:rsidRPr="00C46CBF" w:rsidRDefault="00BE211D" w:rsidP="004B6065">
      <w:pPr>
        <w:spacing w:after="0" w:line="276" w:lineRule="auto"/>
        <w:jc w:val="both"/>
        <w:rPr>
          <w:rFonts w:hint="default"/>
          <w:sz w:val="24"/>
          <w:szCs w:val="24"/>
          <w:rtl/>
        </w:rPr>
      </w:pPr>
      <w:r w:rsidRPr="00C46CBF">
        <w:rPr>
          <w:rFonts w:ascii="David" w:hAnsi="David" w:cs="David"/>
          <w:sz w:val="24"/>
          <w:szCs w:val="24"/>
          <w:rtl/>
        </w:rPr>
        <w:t xml:space="preserve">טל טבקין, </w:t>
      </w:r>
      <w:r w:rsidRPr="00C46CBF">
        <w:rPr>
          <w:rFonts w:ascii="David" w:hAnsi="David" w:cs="David"/>
          <w:b/>
          <w:bCs/>
          <w:sz w:val="24"/>
          <w:szCs w:val="24"/>
          <w:rtl/>
        </w:rPr>
        <w:t>התיישנות</w:t>
      </w:r>
      <w:r w:rsidRPr="00C46CBF">
        <w:rPr>
          <w:rFonts w:ascii="David" w:hAnsi="David" w:cs="David"/>
          <w:sz w:val="24"/>
          <w:szCs w:val="24"/>
          <w:rtl/>
        </w:rPr>
        <w:t>, התשע"ד 2014.</w:t>
      </w:r>
    </w:p>
    <w:p w:rsidR="00315897" w:rsidRPr="00C46CBF" w:rsidRDefault="00BE211D" w:rsidP="004B6065">
      <w:pPr>
        <w:spacing w:after="0" w:line="276" w:lineRule="auto"/>
        <w:jc w:val="both"/>
        <w:rPr>
          <w:rFonts w:hint="default"/>
          <w:sz w:val="24"/>
          <w:szCs w:val="24"/>
          <w:rtl/>
        </w:rPr>
      </w:pPr>
      <w:r w:rsidRPr="00C46CBF">
        <w:rPr>
          <w:rFonts w:ascii="David" w:hAnsi="David" w:cs="David"/>
          <w:sz w:val="24"/>
          <w:szCs w:val="24"/>
          <w:rtl/>
        </w:rPr>
        <w:t xml:space="preserve">ישראל גלעד, האחריות בנזיקין של רשויות ציבור ועובדי ציבור, </w:t>
      </w:r>
      <w:r w:rsidRPr="00C46CBF">
        <w:rPr>
          <w:rFonts w:ascii="David" w:hAnsi="David" w:cs="David"/>
          <w:b/>
          <w:bCs/>
          <w:sz w:val="24"/>
          <w:szCs w:val="24"/>
          <w:rtl/>
        </w:rPr>
        <w:t xml:space="preserve">משפט וממשל </w:t>
      </w:r>
      <w:r w:rsidRPr="00C46CBF">
        <w:rPr>
          <w:rFonts w:ascii="David" w:hAnsi="David" w:cs="David"/>
          <w:sz w:val="24"/>
          <w:szCs w:val="24"/>
          <w:rtl/>
        </w:rPr>
        <w:t>ב תשנ"ה.</w:t>
      </w:r>
    </w:p>
    <w:p w:rsidR="00315897" w:rsidRPr="00C46CBF" w:rsidRDefault="00BE211D" w:rsidP="004B6065">
      <w:pPr>
        <w:spacing w:after="0" w:line="276" w:lineRule="auto"/>
        <w:jc w:val="both"/>
        <w:rPr>
          <w:rFonts w:ascii="David" w:hAnsi="David" w:cs="David" w:hint="default"/>
          <w:sz w:val="24"/>
          <w:szCs w:val="24"/>
          <w:rtl/>
        </w:rPr>
      </w:pPr>
      <w:r w:rsidRPr="00C46CBF">
        <w:rPr>
          <w:rFonts w:ascii="David" w:hAnsi="David" w:cs="David"/>
          <w:sz w:val="24"/>
          <w:szCs w:val="24"/>
          <w:rtl/>
        </w:rPr>
        <w:t xml:space="preserve">מיכאל ויגודה, הרהורים על "חיים בעוולה" </w:t>
      </w:r>
      <w:r w:rsidRPr="00C46CBF">
        <w:rPr>
          <w:rFonts w:ascii="David" w:hAnsi="David" w:cs="David"/>
          <w:sz w:val="24"/>
          <w:szCs w:val="24"/>
        </w:rPr>
        <w:t>(wrongful life)</w:t>
      </w:r>
      <w:r w:rsidRPr="00C46CBF">
        <w:rPr>
          <w:rFonts w:ascii="David" w:hAnsi="David" w:cs="David"/>
          <w:sz w:val="24"/>
          <w:szCs w:val="24"/>
          <w:rtl/>
        </w:rPr>
        <w:t xml:space="preserve"> לאור מקורות המשפט העברי, </w:t>
      </w:r>
      <w:r w:rsidRPr="00C46CBF">
        <w:rPr>
          <w:rFonts w:ascii="David" w:hAnsi="David" w:cs="David"/>
          <w:b/>
          <w:bCs/>
          <w:sz w:val="24"/>
          <w:szCs w:val="24"/>
          <w:rtl/>
        </w:rPr>
        <w:t xml:space="preserve">רפואה ומשפט, </w:t>
      </w:r>
      <w:r w:rsidRPr="00C46CBF">
        <w:rPr>
          <w:rFonts w:ascii="David" w:hAnsi="David" w:cs="David"/>
          <w:sz w:val="24"/>
          <w:szCs w:val="24"/>
          <w:rtl/>
        </w:rPr>
        <w:t>2013.</w:t>
      </w:r>
    </w:p>
    <w:p w:rsidR="00315897" w:rsidRPr="00C46CBF" w:rsidRDefault="00BE211D" w:rsidP="004B6065">
      <w:pPr>
        <w:spacing w:after="0" w:line="276" w:lineRule="auto"/>
        <w:jc w:val="both"/>
        <w:rPr>
          <w:rFonts w:hint="default"/>
          <w:sz w:val="24"/>
          <w:szCs w:val="24"/>
        </w:rPr>
      </w:pPr>
      <w:r w:rsidRPr="00C46CBF">
        <w:rPr>
          <w:rFonts w:ascii="David" w:hAnsi="David" w:cs="David"/>
          <w:sz w:val="24"/>
          <w:szCs w:val="24"/>
          <w:rtl/>
        </w:rPr>
        <w:t>מרים בן-פורת, מבעד לגלימה, 2010.</w:t>
      </w:r>
    </w:p>
    <w:p w:rsidR="00315897" w:rsidRPr="00C46CBF" w:rsidRDefault="00BE211D" w:rsidP="004B6065">
      <w:pPr>
        <w:spacing w:after="0" w:line="276" w:lineRule="auto"/>
        <w:jc w:val="both"/>
        <w:rPr>
          <w:rFonts w:hint="default"/>
          <w:sz w:val="24"/>
          <w:szCs w:val="24"/>
          <w:rtl/>
        </w:rPr>
      </w:pPr>
      <w:r w:rsidRPr="00C46CBF">
        <w:rPr>
          <w:rFonts w:ascii="David" w:hAnsi="David" w:cs="David"/>
          <w:sz w:val="24"/>
          <w:szCs w:val="24"/>
          <w:rtl/>
        </w:rPr>
        <w:t xml:space="preserve">שמואל ילינק, </w:t>
      </w:r>
      <w:r w:rsidRPr="00C46CBF">
        <w:rPr>
          <w:rFonts w:ascii="David" w:hAnsi="David" w:cs="David"/>
          <w:sz w:val="24"/>
          <w:szCs w:val="24"/>
          <w:rtl/>
        </w:rPr>
        <w:t>הולדה בעוולה זכויות תביעה ופיצויים, תשנ"ז 1997.</w:t>
      </w:r>
    </w:p>
    <w:p w:rsidR="00315897" w:rsidRPr="00C46CBF" w:rsidRDefault="00BE211D" w:rsidP="004B6065">
      <w:pPr>
        <w:spacing w:after="0" w:line="276" w:lineRule="auto"/>
        <w:jc w:val="both"/>
        <w:rPr>
          <w:rFonts w:ascii="David" w:hAnsi="David" w:cs="David" w:hint="default"/>
          <w:b/>
          <w:bCs/>
          <w:sz w:val="24"/>
          <w:szCs w:val="24"/>
          <w:rtl/>
        </w:rPr>
      </w:pPr>
      <w:r w:rsidRPr="00C46CBF">
        <w:rPr>
          <w:rFonts w:ascii="David" w:hAnsi="David" w:cs="David"/>
          <w:sz w:val="24"/>
          <w:szCs w:val="24"/>
          <w:rtl/>
        </w:rPr>
        <w:t xml:space="preserve">תמר גדרון, אחריות המדינה, גופים ציבוריים וממלאי תפקידים ציבוריים לנזק שנגרם ברשלנות – מדרון חלקלק, </w:t>
      </w:r>
      <w:r w:rsidRPr="00C46CBF">
        <w:rPr>
          <w:rFonts w:ascii="David" w:hAnsi="David" w:cs="David"/>
          <w:b/>
          <w:bCs/>
          <w:sz w:val="24"/>
          <w:szCs w:val="24"/>
          <w:rtl/>
        </w:rPr>
        <w:t xml:space="preserve">הפרקליט </w:t>
      </w:r>
      <w:r w:rsidRPr="00C46CBF">
        <w:rPr>
          <w:rFonts w:ascii="David" w:hAnsi="David" w:cs="David"/>
          <w:sz w:val="24"/>
          <w:szCs w:val="24"/>
          <w:rtl/>
        </w:rPr>
        <w:t>נא תשע"ב</w:t>
      </w:r>
      <w:r w:rsidRPr="00C46CBF">
        <w:rPr>
          <w:rFonts w:ascii="David" w:hAnsi="David" w:cs="David"/>
          <w:b/>
          <w:bCs/>
          <w:sz w:val="24"/>
          <w:szCs w:val="24"/>
          <w:rtl/>
        </w:rPr>
        <w:t>.</w:t>
      </w:r>
    </w:p>
    <w:p w:rsidR="00315897" w:rsidRPr="00C46CBF" w:rsidRDefault="00BE211D" w:rsidP="004B6065">
      <w:pPr>
        <w:spacing w:after="0" w:line="276" w:lineRule="auto"/>
        <w:jc w:val="both"/>
        <w:rPr>
          <w:rFonts w:ascii="David" w:hAnsi="David" w:cs="David" w:hint="default"/>
          <w:sz w:val="24"/>
          <w:szCs w:val="24"/>
          <w:rtl/>
        </w:rPr>
      </w:pPr>
      <w:r w:rsidRPr="00C46CBF">
        <w:rPr>
          <w:rFonts w:ascii="David" w:hAnsi="David" w:cs="David"/>
          <w:sz w:val="24"/>
          <w:szCs w:val="24"/>
          <w:rtl/>
        </w:rPr>
        <w:t xml:space="preserve">תמר גדרון, "חובת הזהירות בעוולת הרשלנות ונזק כלכלי טהור" </w:t>
      </w:r>
      <w:r w:rsidRPr="00C46CBF">
        <w:rPr>
          <w:rFonts w:ascii="David" w:hAnsi="David" w:cs="David"/>
          <w:b/>
          <w:bCs/>
          <w:sz w:val="24"/>
          <w:szCs w:val="24"/>
          <w:rtl/>
        </w:rPr>
        <w:t xml:space="preserve">הפרקליט מב </w:t>
      </w:r>
      <w:r w:rsidRPr="00C46CBF">
        <w:rPr>
          <w:rFonts w:ascii="David" w:hAnsi="David" w:cs="David"/>
          <w:sz w:val="24"/>
          <w:szCs w:val="24"/>
          <w:rtl/>
        </w:rPr>
        <w:t>126 (1995).</w:t>
      </w:r>
    </w:p>
    <w:p w:rsidR="00315897" w:rsidRDefault="00315897" w:rsidP="00315897">
      <w:pPr>
        <w:rPr>
          <w:rFonts w:hint="default"/>
          <w:rtl/>
        </w:rPr>
      </w:pPr>
    </w:p>
    <w:p w:rsidR="00315897" w:rsidRDefault="00BE211D" w:rsidP="00315897">
      <w:pPr>
        <w:rPr>
          <w:rFonts w:ascii="David" w:hAnsi="David" w:cs="David" w:hint="default"/>
          <w:b/>
          <w:bCs/>
          <w:sz w:val="24"/>
          <w:szCs w:val="24"/>
          <w:u w:val="single"/>
          <w:rtl/>
        </w:rPr>
      </w:pPr>
      <w:r>
        <w:rPr>
          <w:rFonts w:ascii="David" w:hAnsi="David" w:cs="David"/>
          <w:b/>
          <w:bCs/>
          <w:sz w:val="24"/>
          <w:szCs w:val="24"/>
          <w:u w:val="single"/>
          <w:rtl/>
        </w:rPr>
        <w:t>פסיקה:</w:t>
      </w:r>
    </w:p>
    <w:p w:rsidR="00315897" w:rsidRPr="00315A15" w:rsidRDefault="00BE211D" w:rsidP="004B6065">
      <w:pPr>
        <w:pStyle w:val="a5"/>
        <w:spacing w:after="0" w:line="276" w:lineRule="auto"/>
        <w:jc w:val="both"/>
        <w:rPr>
          <w:rFonts w:ascii="David" w:hAnsi="David" w:cs="David" w:hint="default"/>
          <w:sz w:val="24"/>
          <w:szCs w:val="24"/>
        </w:rPr>
      </w:pPr>
      <w:r w:rsidRPr="00315A15">
        <w:rPr>
          <w:rFonts w:ascii="David" w:hAnsi="David" w:cs="David"/>
          <w:sz w:val="24"/>
          <w:szCs w:val="24"/>
          <w:rtl/>
        </w:rPr>
        <w:t xml:space="preserve">בג"ץ 8276/05 </w:t>
      </w:r>
      <w:r w:rsidRPr="00315A15">
        <w:rPr>
          <w:rFonts w:ascii="David" w:hAnsi="David" w:cs="David"/>
          <w:b/>
          <w:bCs/>
          <w:sz w:val="24"/>
          <w:szCs w:val="24"/>
          <w:rtl/>
        </w:rPr>
        <w:t xml:space="preserve">עדאלה – המרכז המשפטי לזכויות המיעוט הערבי בישראל נ' שר הביטחון, </w:t>
      </w:r>
      <w:r w:rsidRPr="00315A15">
        <w:rPr>
          <w:rFonts w:ascii="David" w:hAnsi="David" w:cs="David"/>
          <w:sz w:val="24"/>
          <w:szCs w:val="24"/>
          <w:rtl/>
        </w:rPr>
        <w:t>פ"ד סב (1) 1, 41 (2006).</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בר"ע (ב"ש) 6408/08 </w:t>
      </w:r>
      <w:r w:rsidRPr="00315A15">
        <w:rPr>
          <w:rFonts w:ascii="David" w:hAnsi="David" w:cs="David"/>
          <w:b/>
          <w:bCs/>
          <w:sz w:val="24"/>
          <w:szCs w:val="24"/>
          <w:rtl/>
        </w:rPr>
        <w:t xml:space="preserve">אוהד אזרד נ' אוראל בנלולו (קטין), </w:t>
      </w:r>
      <w:r w:rsidRPr="00315A15">
        <w:rPr>
          <w:rFonts w:ascii="David" w:hAnsi="David" w:cs="David"/>
          <w:sz w:val="24"/>
          <w:szCs w:val="24"/>
          <w:rtl/>
        </w:rPr>
        <w:t>(פורסם בנבו, 18.2.2009), בעמ' 2.</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דנ"א 7794/98 </w:t>
      </w:r>
      <w:r w:rsidRPr="00315A15">
        <w:rPr>
          <w:rFonts w:ascii="David" w:hAnsi="David" w:cs="David"/>
          <w:b/>
          <w:bCs/>
          <w:sz w:val="24"/>
          <w:szCs w:val="24"/>
          <w:rtl/>
        </w:rPr>
        <w:t>משה נ' קליפורד</w:t>
      </w:r>
      <w:r w:rsidRPr="00315A15">
        <w:rPr>
          <w:rFonts w:ascii="David" w:hAnsi="David" w:cs="David"/>
          <w:sz w:val="24"/>
          <w:szCs w:val="24"/>
          <w:rtl/>
        </w:rPr>
        <w:t>, פ"ד נז(4) 721, 744-748 (2003).</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ע"א 9073</w:t>
      </w:r>
      <w:r w:rsidRPr="00315A15">
        <w:rPr>
          <w:rFonts w:ascii="David" w:hAnsi="David" w:cs="David"/>
          <w:sz w:val="24"/>
          <w:szCs w:val="24"/>
          <w:rtl/>
        </w:rPr>
        <w:t xml:space="preserve">/09 </w:t>
      </w:r>
      <w:r w:rsidRPr="00315A15">
        <w:rPr>
          <w:rFonts w:ascii="David" w:hAnsi="David" w:cs="David"/>
          <w:b/>
          <w:bCs/>
          <w:sz w:val="24"/>
          <w:szCs w:val="24"/>
          <w:rtl/>
        </w:rPr>
        <w:t xml:space="preserve">אסותא נ' שרף </w:t>
      </w:r>
      <w:r w:rsidRPr="00315A15">
        <w:rPr>
          <w:rFonts w:ascii="David" w:hAnsi="David" w:cs="David"/>
          <w:sz w:val="24"/>
          <w:szCs w:val="24"/>
          <w:rtl/>
        </w:rPr>
        <w:t>(פורסם בנבו, 14.6.2011).</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9073/09 </w:t>
      </w:r>
      <w:r w:rsidRPr="00315A15">
        <w:rPr>
          <w:rFonts w:ascii="David" w:hAnsi="David" w:cs="David"/>
          <w:b/>
          <w:bCs/>
          <w:sz w:val="24"/>
          <w:szCs w:val="24"/>
          <w:rtl/>
        </w:rPr>
        <w:t>אסותא – מרכזים רפואיים בע"מ נ' שרף</w:t>
      </w:r>
      <w:r w:rsidRPr="00315A15">
        <w:rPr>
          <w:rFonts w:ascii="David" w:hAnsi="David" w:cs="David"/>
          <w:sz w:val="24"/>
          <w:szCs w:val="24"/>
          <w:rtl/>
        </w:rPr>
        <w:t xml:space="preserve"> (פורסם בנבו, 14.6.11).</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color w:val="000000"/>
          <w:sz w:val="24"/>
          <w:szCs w:val="24"/>
          <w:rtl/>
        </w:rPr>
        <w:t xml:space="preserve">ע"א 576/81 </w:t>
      </w:r>
      <w:r w:rsidRPr="00315A15">
        <w:rPr>
          <w:rFonts w:ascii="David" w:hAnsi="David" w:cs="David"/>
          <w:b/>
          <w:bCs/>
          <w:color w:val="000000"/>
          <w:sz w:val="24"/>
          <w:szCs w:val="24"/>
          <w:rtl/>
        </w:rPr>
        <w:t>בן שמעון נ' ברדה</w:t>
      </w:r>
      <w:r w:rsidRPr="00315A15">
        <w:rPr>
          <w:rFonts w:ascii="David" w:hAnsi="David" w:cs="David"/>
          <w:color w:val="000000"/>
          <w:sz w:val="24"/>
          <w:szCs w:val="24"/>
          <w:rtl/>
        </w:rPr>
        <w:t>, פ"ד לח(3) 1 (1984),10.</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2509/98 </w:t>
      </w:r>
      <w:r w:rsidRPr="00315A15">
        <w:rPr>
          <w:rFonts w:ascii="David" w:hAnsi="David" w:cs="David"/>
          <w:b/>
          <w:bCs/>
          <w:sz w:val="24"/>
          <w:szCs w:val="24"/>
          <w:rtl/>
        </w:rPr>
        <w:t xml:space="preserve">גיל נ' קופת חולים של ההסתדרות הכללית של העובדים בארץ ישראל, </w:t>
      </w:r>
      <w:r w:rsidRPr="00315A15">
        <w:rPr>
          <w:rFonts w:ascii="David" w:hAnsi="David" w:cs="David"/>
          <w:sz w:val="24"/>
          <w:szCs w:val="24"/>
          <w:rtl/>
        </w:rPr>
        <w:t>פ"ד נד (2) 38, 44, (</w:t>
      </w:r>
      <w:r w:rsidRPr="00315A15">
        <w:rPr>
          <w:rFonts w:ascii="David" w:hAnsi="David" w:cs="David"/>
          <w:sz w:val="24"/>
          <w:szCs w:val="24"/>
          <w:rtl/>
        </w:rPr>
        <w:t>2000).</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343/74 </w:t>
      </w:r>
      <w:r w:rsidRPr="00315A15">
        <w:rPr>
          <w:rFonts w:ascii="David" w:hAnsi="David" w:cs="David"/>
          <w:b/>
          <w:bCs/>
          <w:sz w:val="24"/>
          <w:szCs w:val="24"/>
          <w:rtl/>
        </w:rPr>
        <w:t>גרובנר נ' עיריית חיפה</w:t>
      </w:r>
      <w:r w:rsidRPr="00315A15">
        <w:rPr>
          <w:rFonts w:ascii="David" w:hAnsi="David" w:cs="David"/>
          <w:sz w:val="24"/>
          <w:szCs w:val="24"/>
          <w:rtl/>
        </w:rPr>
        <w:t>, פ"ד ל(1) 414, 145-148, 154-163 (1975).</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8146/13 </w:t>
      </w:r>
      <w:r w:rsidRPr="00315A15">
        <w:rPr>
          <w:rFonts w:ascii="David" w:hAnsi="David" w:cs="David"/>
          <w:b/>
          <w:bCs/>
          <w:sz w:val="24"/>
          <w:szCs w:val="24"/>
          <w:rtl/>
        </w:rPr>
        <w:t xml:space="preserve">ד"ר סולימאן ג'ושה נ' בית החולים אלדג'אני </w:t>
      </w:r>
      <w:r w:rsidRPr="00315A15">
        <w:rPr>
          <w:rFonts w:ascii="David" w:hAnsi="David" w:cs="David"/>
          <w:sz w:val="24"/>
          <w:szCs w:val="24"/>
          <w:rtl/>
        </w:rPr>
        <w:t>(בפירוק) (פורסם בנבו, ‏21.7.2016).</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4114/96 </w:t>
      </w:r>
      <w:r w:rsidRPr="00315A15">
        <w:rPr>
          <w:rFonts w:ascii="David" w:hAnsi="David" w:cs="David"/>
          <w:b/>
          <w:bCs/>
          <w:sz w:val="24"/>
          <w:szCs w:val="24"/>
          <w:rtl/>
        </w:rPr>
        <w:t xml:space="preserve">המאירי נ' הכשרת הישוב חברה לביטוח בע"מ, </w:t>
      </w:r>
      <w:r w:rsidRPr="00315A15">
        <w:rPr>
          <w:rFonts w:ascii="David" w:hAnsi="David" w:cs="David"/>
          <w:sz w:val="24"/>
          <w:szCs w:val="24"/>
          <w:rtl/>
        </w:rPr>
        <w:t>פ"ד נב (1) 857, 865, (1998).</w:t>
      </w:r>
    </w:p>
    <w:p w:rsidR="00315897" w:rsidRPr="00315A15" w:rsidRDefault="00BE211D" w:rsidP="004B6065">
      <w:pPr>
        <w:pStyle w:val="a5"/>
        <w:spacing w:after="0" w:line="276" w:lineRule="auto"/>
        <w:jc w:val="both"/>
        <w:rPr>
          <w:rFonts w:ascii="David" w:hAnsi="David" w:cs="David" w:hint="default"/>
          <w:sz w:val="24"/>
          <w:szCs w:val="24"/>
          <w:rtl/>
        </w:rPr>
      </w:pPr>
      <w:r w:rsidRPr="00315A15">
        <w:rPr>
          <w:rFonts w:ascii="David" w:hAnsi="David" w:cs="David"/>
          <w:sz w:val="24"/>
          <w:szCs w:val="24"/>
          <w:rtl/>
        </w:rPr>
        <w:t xml:space="preserve">ע"א  </w:t>
      </w:r>
      <w:r w:rsidRPr="00315A15">
        <w:rPr>
          <w:rFonts w:ascii="David" w:hAnsi="David" w:cs="David"/>
          <w:sz w:val="24"/>
          <w:szCs w:val="24"/>
          <w:rtl/>
        </w:rPr>
        <w:t>96</w:t>
      </w:r>
      <w:r w:rsidRPr="00315A15">
        <w:rPr>
          <w:rFonts w:ascii="David" w:hAnsi="David" w:cs="David"/>
          <w:sz w:val="24"/>
          <w:szCs w:val="24"/>
        </w:rPr>
        <w:t>/</w:t>
      </w:r>
      <w:r w:rsidRPr="00315A15">
        <w:rPr>
          <w:rFonts w:ascii="David" w:hAnsi="David" w:cs="David"/>
          <w:sz w:val="24"/>
          <w:szCs w:val="24"/>
          <w:rtl/>
        </w:rPr>
        <w:t>6649</w:t>
      </w:r>
      <w:r w:rsidRPr="00315A15">
        <w:rPr>
          <w:rFonts w:ascii="David" w:hAnsi="David" w:cs="David"/>
          <w:b/>
          <w:bCs/>
          <w:sz w:val="24"/>
          <w:szCs w:val="24"/>
          <w:rtl/>
        </w:rPr>
        <w:t xml:space="preserve"> הסתדרות הדסה נ</w:t>
      </w:r>
      <w:r w:rsidRPr="00315A15">
        <w:rPr>
          <w:rFonts w:ascii="David" w:hAnsi="David" w:cs="David"/>
          <w:b/>
          <w:bCs/>
          <w:sz w:val="24"/>
          <w:szCs w:val="24"/>
        </w:rPr>
        <w:t>'</w:t>
      </w:r>
      <w:r w:rsidRPr="00315A15">
        <w:rPr>
          <w:rFonts w:ascii="David" w:hAnsi="David" w:cs="David"/>
          <w:b/>
          <w:bCs/>
          <w:sz w:val="24"/>
          <w:szCs w:val="24"/>
          <w:rtl/>
        </w:rPr>
        <w:t xml:space="preserve"> גלעד</w:t>
      </w:r>
      <w:r w:rsidRPr="00315A15">
        <w:rPr>
          <w:rFonts w:ascii="David" w:hAnsi="David" w:cs="David"/>
          <w:color w:val="545454"/>
          <w:sz w:val="24"/>
          <w:szCs w:val="24"/>
          <w:shd w:val="clear" w:color="auto" w:fill="FFFFFF"/>
          <w:rtl/>
        </w:rPr>
        <w:t xml:space="preserve">, </w:t>
      </w:r>
      <w:r w:rsidRPr="00315A15">
        <w:rPr>
          <w:rFonts w:ascii="David" w:hAnsi="David" w:cs="David"/>
          <w:sz w:val="24"/>
          <w:szCs w:val="24"/>
          <w:rtl/>
        </w:rPr>
        <w:t xml:space="preserve">פ"ד נג(3) 529 (1999). </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ע</w:t>
      </w:r>
      <w:r w:rsidRPr="00315A15">
        <w:rPr>
          <w:rFonts w:ascii="David" w:hAnsi="David" w:cs="David"/>
          <w:sz w:val="24"/>
          <w:szCs w:val="24"/>
        </w:rPr>
        <w:t>"</w:t>
      </w:r>
      <w:r w:rsidRPr="00315A15">
        <w:rPr>
          <w:rFonts w:ascii="David" w:hAnsi="David" w:cs="David"/>
          <w:sz w:val="24"/>
          <w:szCs w:val="24"/>
          <w:rtl/>
        </w:rPr>
        <w:t xml:space="preserve">א 5604/94 </w:t>
      </w:r>
      <w:r w:rsidRPr="00315A15">
        <w:rPr>
          <w:rFonts w:ascii="David" w:hAnsi="David" w:cs="David"/>
          <w:b/>
          <w:bCs/>
          <w:sz w:val="24"/>
          <w:szCs w:val="24"/>
          <w:rtl/>
        </w:rPr>
        <w:t>חמד נ' מ"י</w:t>
      </w:r>
      <w:r w:rsidRPr="00315A15">
        <w:rPr>
          <w:rFonts w:ascii="David" w:hAnsi="David" w:cs="David"/>
          <w:sz w:val="24"/>
          <w:szCs w:val="24"/>
        </w:rPr>
        <w:t>,</w:t>
      </w:r>
      <w:r w:rsidRPr="00315A15">
        <w:rPr>
          <w:rFonts w:ascii="David" w:hAnsi="David" w:cs="David"/>
          <w:sz w:val="24"/>
          <w:szCs w:val="24"/>
          <w:rtl/>
        </w:rPr>
        <w:t xml:space="preserve"> פ"ד נח(2) 498 (2004).</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עת"מ (ת"א) 2380-09 </w:t>
      </w:r>
      <w:r w:rsidRPr="00315A15">
        <w:rPr>
          <w:rFonts w:ascii="David" w:hAnsi="David" w:cs="David"/>
          <w:b/>
          <w:bCs/>
          <w:sz w:val="24"/>
          <w:szCs w:val="24"/>
          <w:rtl/>
        </w:rPr>
        <w:t xml:space="preserve">יצחק יוסף נ' משרד הבינוי והשיכון, </w:t>
      </w:r>
      <w:r w:rsidRPr="00315A15">
        <w:rPr>
          <w:rFonts w:ascii="David" w:hAnsi="David" w:cs="David"/>
          <w:sz w:val="24"/>
          <w:szCs w:val="24"/>
          <w:rtl/>
        </w:rPr>
        <w:t>(פורסם בנבו, 9.11.2010).</w:t>
      </w:r>
    </w:p>
    <w:p w:rsidR="00315897" w:rsidRPr="00315A15" w:rsidRDefault="00BE211D" w:rsidP="004B6065">
      <w:pPr>
        <w:pStyle w:val="a5"/>
        <w:spacing w:after="0" w:line="276" w:lineRule="auto"/>
        <w:jc w:val="both"/>
        <w:rPr>
          <w:rFonts w:ascii="David" w:hAnsi="David" w:cs="David" w:hint="default"/>
          <w:b/>
          <w:bCs/>
          <w:sz w:val="24"/>
          <w:szCs w:val="24"/>
          <w:rtl/>
        </w:rPr>
      </w:pPr>
      <w:r w:rsidRPr="00315A15">
        <w:rPr>
          <w:rFonts w:ascii="David" w:hAnsi="David" w:cs="David"/>
          <w:sz w:val="24"/>
          <w:szCs w:val="24"/>
          <w:rtl/>
        </w:rPr>
        <w:t xml:space="preserve">ע"א 7832/00 </w:t>
      </w:r>
      <w:r w:rsidRPr="00315A15">
        <w:rPr>
          <w:rFonts w:ascii="David" w:hAnsi="David" w:cs="David"/>
          <w:b/>
          <w:bCs/>
          <w:sz w:val="24"/>
          <w:szCs w:val="24"/>
          <w:rtl/>
        </w:rPr>
        <w:t>יעקובוב נ' מדינת ישראל</w:t>
      </w:r>
      <w:r w:rsidRPr="00315A15">
        <w:rPr>
          <w:rFonts w:ascii="David" w:hAnsi="David" w:cs="David"/>
          <w:sz w:val="24"/>
          <w:szCs w:val="24"/>
          <w:rtl/>
        </w:rPr>
        <w:t>, פ"ד נו(2) 534 (2002).</w:t>
      </w:r>
      <w:r w:rsidRPr="00315A15">
        <w:rPr>
          <w:rFonts w:ascii="David" w:hAnsi="David" w:cs="David"/>
          <w:b/>
          <w:bCs/>
          <w:sz w:val="24"/>
          <w:szCs w:val="24"/>
          <w:rtl/>
        </w:rPr>
        <w:t xml:space="preserve"> </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236/81 </w:t>
      </w:r>
      <w:r w:rsidRPr="00315A15">
        <w:rPr>
          <w:rFonts w:ascii="David" w:hAnsi="David" w:cs="David"/>
          <w:b/>
          <w:bCs/>
          <w:sz w:val="24"/>
          <w:szCs w:val="24"/>
          <w:rtl/>
        </w:rPr>
        <w:t>לסרי נ' צ</w:t>
      </w:r>
      <w:r w:rsidRPr="00315A15">
        <w:rPr>
          <w:rFonts w:ascii="David" w:hAnsi="David" w:cs="David"/>
          <w:b/>
          <w:bCs/>
          <w:sz w:val="24"/>
          <w:szCs w:val="24"/>
          <w:rtl/>
        </w:rPr>
        <w:t>יון חברה לביטוח בע"מ</w:t>
      </w:r>
      <w:r w:rsidRPr="00315A15">
        <w:rPr>
          <w:rFonts w:ascii="David" w:hAnsi="David" w:cs="David"/>
          <w:sz w:val="24"/>
          <w:szCs w:val="24"/>
          <w:rtl/>
        </w:rPr>
        <w:t>, מב (3) 705.</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1535/13 </w:t>
      </w:r>
      <w:r w:rsidRPr="00315A15">
        <w:rPr>
          <w:rFonts w:ascii="David" w:hAnsi="David" w:cs="David"/>
          <w:b/>
          <w:bCs/>
          <w:sz w:val="24"/>
          <w:szCs w:val="24"/>
          <w:rtl/>
        </w:rPr>
        <w:t xml:space="preserve">מדינת ישראל נ' ציפורה איבי </w:t>
      </w:r>
      <w:r w:rsidRPr="00315A15">
        <w:rPr>
          <w:rFonts w:ascii="David" w:hAnsi="David" w:cs="David"/>
          <w:sz w:val="24"/>
          <w:szCs w:val="24"/>
          <w:rtl/>
        </w:rPr>
        <w:t>(פורסם בנבו, 03.09.2015).</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593/81 </w:t>
      </w:r>
      <w:r w:rsidRPr="00315A15">
        <w:rPr>
          <w:rFonts w:ascii="David" w:hAnsi="David" w:cs="David"/>
          <w:b/>
          <w:bCs/>
          <w:sz w:val="24"/>
          <w:szCs w:val="24"/>
          <w:rtl/>
        </w:rPr>
        <w:t xml:space="preserve">מפעלי רכב אשדוד בע"מ נ' צידיק ז"ל, </w:t>
      </w:r>
      <w:r w:rsidRPr="00315A15">
        <w:rPr>
          <w:rFonts w:ascii="David" w:hAnsi="David" w:cs="David"/>
          <w:sz w:val="24"/>
          <w:szCs w:val="24"/>
          <w:rtl/>
        </w:rPr>
        <w:t>פ"ד מא(3) 169, 192-189 (1987).</w:t>
      </w:r>
    </w:p>
    <w:p w:rsidR="00315897" w:rsidRPr="00315A15" w:rsidRDefault="00BE211D" w:rsidP="004B6065">
      <w:pPr>
        <w:pStyle w:val="a5"/>
        <w:spacing w:after="0" w:line="276" w:lineRule="auto"/>
        <w:jc w:val="both"/>
        <w:rPr>
          <w:rFonts w:ascii="David" w:hAnsi="David" w:cs="David" w:hint="default"/>
          <w:sz w:val="24"/>
          <w:szCs w:val="24"/>
          <w:rtl/>
        </w:rPr>
      </w:pPr>
      <w:r w:rsidRPr="00315A15">
        <w:rPr>
          <w:rFonts w:ascii="David" w:hAnsi="David" w:cs="David"/>
          <w:sz w:val="24"/>
          <w:szCs w:val="24"/>
          <w:rtl/>
        </w:rPr>
        <w:t xml:space="preserve">ע"א 2061/90 </w:t>
      </w:r>
      <w:r w:rsidRPr="00315A15">
        <w:rPr>
          <w:rFonts w:ascii="David" w:hAnsi="David" w:cs="David"/>
          <w:b/>
          <w:bCs/>
          <w:sz w:val="24"/>
          <w:szCs w:val="24"/>
          <w:rtl/>
        </w:rPr>
        <w:t>מרצ'לי נ' מדינת ישראל</w:t>
      </w:r>
      <w:r w:rsidRPr="00315A15">
        <w:rPr>
          <w:rFonts w:ascii="David" w:hAnsi="David" w:cs="David"/>
          <w:sz w:val="24"/>
          <w:szCs w:val="24"/>
          <w:rtl/>
        </w:rPr>
        <w:t xml:space="preserve">, פ"ד מז(1) 802, 808- 821 (1993). </w:t>
      </w:r>
    </w:p>
    <w:p w:rsidR="00315897" w:rsidRPr="00315A15" w:rsidRDefault="00BE211D" w:rsidP="004B6065">
      <w:pPr>
        <w:pStyle w:val="a5"/>
        <w:spacing w:after="0" w:line="276" w:lineRule="auto"/>
        <w:jc w:val="both"/>
        <w:rPr>
          <w:rFonts w:ascii="David" w:hAnsi="David" w:cs="David" w:hint="default"/>
          <w:sz w:val="24"/>
          <w:szCs w:val="24"/>
          <w:rtl/>
        </w:rPr>
      </w:pPr>
      <w:r w:rsidRPr="00315A15">
        <w:rPr>
          <w:rFonts w:ascii="David" w:hAnsi="David" w:cs="David"/>
          <w:sz w:val="24"/>
          <w:szCs w:val="24"/>
          <w:rtl/>
        </w:rPr>
        <w:t xml:space="preserve">ע"א 1303/09 </w:t>
      </w:r>
      <w:r w:rsidRPr="00315A15">
        <w:rPr>
          <w:rFonts w:ascii="David" w:hAnsi="David" w:cs="David"/>
          <w:b/>
          <w:bCs/>
          <w:sz w:val="24"/>
          <w:szCs w:val="24"/>
          <w:rtl/>
        </w:rPr>
        <w:t xml:space="preserve">מרגלית קדוש נ' בית החולים ביקור חולים, </w:t>
      </w:r>
      <w:r w:rsidRPr="00315A15">
        <w:rPr>
          <w:rFonts w:ascii="David" w:hAnsi="David" w:cs="David"/>
          <w:sz w:val="24"/>
          <w:szCs w:val="24"/>
          <w:rtl/>
        </w:rPr>
        <w:t>(פורסם בנבו, 5.3.2012), בעמ' 12.</w:t>
      </w:r>
    </w:p>
    <w:p w:rsidR="00315897" w:rsidRPr="00315A15" w:rsidRDefault="00BE211D" w:rsidP="004B6065">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4960/04 </w:t>
      </w:r>
      <w:r w:rsidRPr="00315A15">
        <w:rPr>
          <w:rFonts w:ascii="David" w:hAnsi="David" w:cs="David"/>
          <w:b/>
          <w:bCs/>
          <w:sz w:val="24"/>
          <w:szCs w:val="24"/>
          <w:rtl/>
        </w:rPr>
        <w:t xml:space="preserve">סידי נ' קופת חולים של ההסתדרות הכללית </w:t>
      </w:r>
      <w:r w:rsidRPr="00315A15">
        <w:rPr>
          <w:rFonts w:ascii="David" w:hAnsi="David" w:cs="David"/>
          <w:sz w:val="24"/>
          <w:szCs w:val="24"/>
          <w:rtl/>
        </w:rPr>
        <w:t>(פורסם בנבו, 19.2.2005).</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lastRenderedPageBreak/>
        <w:t xml:space="preserve">ע"א 248/86 </w:t>
      </w:r>
      <w:r w:rsidRPr="00315A15">
        <w:rPr>
          <w:rFonts w:ascii="David" w:hAnsi="David" w:cs="David"/>
          <w:b/>
          <w:bCs/>
          <w:sz w:val="24"/>
          <w:szCs w:val="24"/>
          <w:rtl/>
        </w:rPr>
        <w:t xml:space="preserve">עיזבון חננשוילי נ' רותם חברה לביטוח בע"מ, </w:t>
      </w:r>
      <w:r w:rsidRPr="00315A15">
        <w:rPr>
          <w:rFonts w:ascii="David" w:hAnsi="David" w:cs="David"/>
          <w:sz w:val="24"/>
          <w:szCs w:val="24"/>
          <w:rtl/>
        </w:rPr>
        <w:t>פ"ד מה(2) ,(1991).</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243/83 </w:t>
      </w:r>
      <w:r w:rsidRPr="00315A15">
        <w:rPr>
          <w:rFonts w:ascii="David" w:hAnsi="David" w:cs="David"/>
          <w:b/>
          <w:bCs/>
          <w:sz w:val="24"/>
          <w:szCs w:val="24"/>
          <w:rtl/>
        </w:rPr>
        <w:t xml:space="preserve">עיריית ירושלים נ' אלי </w:t>
      </w:r>
      <w:r w:rsidRPr="00315A15">
        <w:rPr>
          <w:rFonts w:ascii="David" w:hAnsi="David" w:cs="David"/>
          <w:b/>
          <w:bCs/>
          <w:sz w:val="24"/>
          <w:szCs w:val="24"/>
          <w:rtl/>
        </w:rPr>
        <w:t>גורדון</w:t>
      </w:r>
      <w:r w:rsidRPr="00315A15">
        <w:rPr>
          <w:rFonts w:ascii="David" w:hAnsi="David" w:cs="David"/>
          <w:sz w:val="24"/>
          <w:szCs w:val="24"/>
          <w:rtl/>
        </w:rPr>
        <w:t>, לט (1) 113, בעמ' 132, (פורסם בנבו, 11.02.1985).</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2781/93 </w:t>
      </w:r>
      <w:r w:rsidRPr="00315A15">
        <w:rPr>
          <w:rFonts w:ascii="David" w:hAnsi="David" w:cs="David"/>
          <w:b/>
          <w:bCs/>
          <w:sz w:val="24"/>
          <w:szCs w:val="24"/>
          <w:rtl/>
        </w:rPr>
        <w:t>עלי דעקה נ' בית החולים "כרמל" חיפה</w:t>
      </w:r>
      <w:r w:rsidRPr="00315A15">
        <w:rPr>
          <w:rFonts w:ascii="David" w:hAnsi="David" w:cs="David"/>
          <w:sz w:val="24"/>
          <w:szCs w:val="24"/>
          <w:rtl/>
        </w:rPr>
        <w:t xml:space="preserve">, פ"ד נג(4) 526, 573-575 (1999).  </w:t>
      </w:r>
    </w:p>
    <w:p w:rsidR="00315897" w:rsidRPr="00315A15" w:rsidRDefault="00BE211D" w:rsidP="00315897">
      <w:pPr>
        <w:pStyle w:val="a5"/>
        <w:spacing w:after="0" w:line="276" w:lineRule="auto"/>
        <w:jc w:val="both"/>
        <w:rPr>
          <w:rFonts w:ascii="David" w:hAnsi="David" w:cs="David" w:hint="default"/>
          <w:sz w:val="24"/>
          <w:szCs w:val="24"/>
          <w:rtl/>
        </w:rPr>
      </w:pPr>
      <w:r w:rsidRPr="00315A15">
        <w:rPr>
          <w:rFonts w:ascii="David" w:hAnsi="David" w:cs="David"/>
          <w:sz w:val="24"/>
          <w:szCs w:val="24"/>
          <w:rtl/>
        </w:rPr>
        <w:t>ע"א 11</w:t>
      </w:r>
      <w:r w:rsidRPr="00315A15">
        <w:rPr>
          <w:rFonts w:ascii="David" w:hAnsi="David" w:cs="David"/>
          <w:sz w:val="24"/>
          <w:szCs w:val="24"/>
        </w:rPr>
        <w:t>/</w:t>
      </w:r>
      <w:r w:rsidRPr="00315A15">
        <w:rPr>
          <w:rFonts w:ascii="David" w:hAnsi="David" w:cs="David"/>
          <w:sz w:val="24"/>
          <w:szCs w:val="24"/>
          <w:rtl/>
        </w:rPr>
        <w:t xml:space="preserve">1167 </w:t>
      </w:r>
      <w:r w:rsidRPr="00315A15">
        <w:rPr>
          <w:rFonts w:ascii="David" w:hAnsi="David" w:cs="David"/>
          <w:b/>
          <w:bCs/>
          <w:sz w:val="24"/>
          <w:szCs w:val="24"/>
          <w:rtl/>
        </w:rPr>
        <w:t>פלוני נ</w:t>
      </w:r>
      <w:r w:rsidRPr="00315A15">
        <w:rPr>
          <w:rFonts w:ascii="David" w:hAnsi="David" w:cs="David"/>
          <w:b/>
          <w:bCs/>
          <w:sz w:val="24"/>
          <w:szCs w:val="24"/>
        </w:rPr>
        <w:t>'</w:t>
      </w:r>
      <w:r w:rsidRPr="00315A15">
        <w:rPr>
          <w:rFonts w:ascii="David" w:hAnsi="David" w:cs="David"/>
          <w:b/>
          <w:bCs/>
          <w:sz w:val="24"/>
          <w:szCs w:val="24"/>
          <w:rtl/>
        </w:rPr>
        <w:t xml:space="preserve"> פלוני </w:t>
      </w:r>
      <w:r w:rsidRPr="00315A15">
        <w:rPr>
          <w:rFonts w:ascii="David" w:hAnsi="David" w:cs="David"/>
          <w:sz w:val="24"/>
          <w:szCs w:val="24"/>
          <w:rtl/>
        </w:rPr>
        <w:t>(פורסם בנבו, 18.11.13).</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ע"א 244/81 </w:t>
      </w:r>
      <w:r w:rsidRPr="00315A15">
        <w:rPr>
          <w:rFonts w:ascii="David" w:hAnsi="David" w:cs="David"/>
          <w:b/>
          <w:bCs/>
          <w:sz w:val="24"/>
          <w:szCs w:val="24"/>
          <w:rtl/>
        </w:rPr>
        <w:t>פתאל נ' קופת חולים של ההסתדרות הכללית של העובדים בארץ ישר</w:t>
      </w:r>
      <w:r w:rsidRPr="00315A15">
        <w:rPr>
          <w:rFonts w:ascii="David" w:hAnsi="David" w:cs="David"/>
          <w:b/>
          <w:bCs/>
          <w:sz w:val="24"/>
          <w:szCs w:val="24"/>
          <w:rtl/>
        </w:rPr>
        <w:t xml:space="preserve">אל, </w:t>
      </w:r>
      <w:r w:rsidRPr="00315A15">
        <w:rPr>
          <w:rFonts w:ascii="David" w:hAnsi="David" w:cs="David"/>
          <w:sz w:val="24"/>
          <w:szCs w:val="24"/>
          <w:rtl/>
        </w:rPr>
        <w:t>פ"ד לח (3) 673 (1984).</w:t>
      </w:r>
    </w:p>
    <w:p w:rsidR="00315897" w:rsidRPr="00315A15" w:rsidRDefault="00BE211D" w:rsidP="00315897">
      <w:pPr>
        <w:spacing w:after="0" w:line="276" w:lineRule="auto"/>
        <w:jc w:val="both"/>
        <w:rPr>
          <w:rFonts w:ascii="David" w:hAnsi="David" w:cs="David" w:hint="default"/>
          <w:sz w:val="24"/>
          <w:szCs w:val="24"/>
        </w:rPr>
      </w:pPr>
      <w:r w:rsidRPr="00315A15">
        <w:rPr>
          <w:rFonts w:ascii="David" w:hAnsi="David" w:cs="David"/>
          <w:sz w:val="24"/>
          <w:szCs w:val="24"/>
          <w:rtl/>
        </w:rPr>
        <w:t xml:space="preserve">ע"א 461/62 </w:t>
      </w:r>
      <w:r w:rsidRPr="00315A15">
        <w:rPr>
          <w:rFonts w:ascii="David" w:hAnsi="David" w:cs="David"/>
          <w:b/>
          <w:bCs/>
          <w:sz w:val="24"/>
          <w:szCs w:val="24"/>
          <w:rtl/>
        </w:rPr>
        <w:t xml:space="preserve">צים חברת השייט הישראלי בע"מ נ' מזאיר, </w:t>
      </w:r>
      <w:r w:rsidRPr="00315A15">
        <w:rPr>
          <w:rFonts w:ascii="David" w:hAnsi="David" w:cs="David"/>
          <w:sz w:val="24"/>
          <w:szCs w:val="24"/>
          <w:rtl/>
        </w:rPr>
        <w:t>פ"ד יז 1319, 1333 (1963).</w:t>
      </w:r>
    </w:p>
    <w:p w:rsidR="00315897" w:rsidRPr="00315A15" w:rsidRDefault="00BE211D" w:rsidP="00315897">
      <w:pPr>
        <w:pStyle w:val="a5"/>
        <w:spacing w:after="0" w:line="276" w:lineRule="auto"/>
        <w:jc w:val="both"/>
        <w:rPr>
          <w:rFonts w:ascii="David" w:hAnsi="David" w:cs="David" w:hint="default"/>
          <w:sz w:val="24"/>
          <w:szCs w:val="24"/>
        </w:rPr>
      </w:pPr>
      <w:r w:rsidRPr="00315A15">
        <w:rPr>
          <w:rFonts w:ascii="David" w:hAnsi="David" w:cs="David"/>
          <w:sz w:val="24"/>
          <w:szCs w:val="24"/>
          <w:rtl/>
        </w:rPr>
        <w:t xml:space="preserve">ע"א 8650/08 </w:t>
      </w:r>
      <w:r w:rsidRPr="00315A15">
        <w:rPr>
          <w:rFonts w:ascii="David" w:hAnsi="David" w:cs="David"/>
          <w:b/>
          <w:bCs/>
          <w:sz w:val="24"/>
          <w:szCs w:val="24"/>
          <w:rtl/>
        </w:rPr>
        <w:t>רפאלוב נ' מדינת ישראל</w:t>
      </w:r>
      <w:r w:rsidRPr="00315A15">
        <w:rPr>
          <w:rFonts w:ascii="David" w:hAnsi="David" w:cs="David"/>
          <w:sz w:val="24"/>
          <w:szCs w:val="24"/>
          <w:rtl/>
        </w:rPr>
        <w:t>,</w:t>
      </w:r>
      <w:r w:rsidRPr="00315A15">
        <w:rPr>
          <w:rFonts w:ascii="David" w:hAnsi="David" w:cs="David"/>
          <w:b/>
          <w:bCs/>
          <w:sz w:val="24"/>
          <w:szCs w:val="24"/>
          <w:rtl/>
        </w:rPr>
        <w:t xml:space="preserve"> </w:t>
      </w:r>
      <w:r w:rsidRPr="00315A15">
        <w:rPr>
          <w:rFonts w:ascii="David" w:hAnsi="David" w:cs="David"/>
          <w:sz w:val="24"/>
          <w:szCs w:val="24"/>
          <w:rtl/>
        </w:rPr>
        <w:t>פסקאות 32- 42 לפסק דינו של השופט מלצר (פורסם בנבו, 17.7.13).</w:t>
      </w:r>
    </w:p>
    <w:p w:rsidR="00315897" w:rsidRPr="00315A15" w:rsidRDefault="00BE211D" w:rsidP="00315897">
      <w:pPr>
        <w:pStyle w:val="a5"/>
        <w:spacing w:after="0" w:line="276" w:lineRule="auto"/>
        <w:jc w:val="both"/>
        <w:rPr>
          <w:rFonts w:ascii="David" w:hAnsi="David" w:cs="David" w:hint="default"/>
          <w:sz w:val="24"/>
          <w:szCs w:val="24"/>
        </w:rPr>
      </w:pPr>
      <w:r w:rsidRPr="00315A15">
        <w:rPr>
          <w:rFonts w:ascii="David" w:hAnsi="David" w:cs="David"/>
          <w:sz w:val="24"/>
          <w:szCs w:val="24"/>
          <w:rtl/>
        </w:rPr>
        <w:t xml:space="preserve">עת"מ (ת"א) 40137-07-13 </w:t>
      </w:r>
      <w:r w:rsidRPr="00315A15">
        <w:rPr>
          <w:rFonts w:ascii="David" w:hAnsi="David" w:cs="David"/>
          <w:b/>
          <w:bCs/>
          <w:sz w:val="24"/>
          <w:szCs w:val="24"/>
          <w:rtl/>
        </w:rPr>
        <w:t>עמותת הורות משותפת-טובת הילד נ' המו</w:t>
      </w:r>
      <w:r w:rsidRPr="00315A15">
        <w:rPr>
          <w:rFonts w:ascii="David" w:hAnsi="David" w:cs="David"/>
          <w:b/>
          <w:bCs/>
          <w:sz w:val="24"/>
          <w:szCs w:val="24"/>
          <w:rtl/>
        </w:rPr>
        <w:t>סד לביטוח לאומי</w:t>
      </w:r>
      <w:r w:rsidRPr="00315A15">
        <w:rPr>
          <w:rFonts w:ascii="David" w:hAnsi="David" w:cs="David"/>
          <w:sz w:val="24"/>
          <w:szCs w:val="24"/>
          <w:rtl/>
        </w:rPr>
        <w:t>,</w:t>
      </w:r>
      <w:r>
        <w:rPr>
          <w:rFonts w:ascii="David" w:hAnsi="David" w:cs="David"/>
          <w:sz w:val="24"/>
          <w:szCs w:val="24"/>
          <w:rtl/>
        </w:rPr>
        <w:t xml:space="preserve"> (פורסם בנבו, 8.7.2014).</w:t>
      </w:r>
    </w:p>
    <w:p w:rsidR="00315897" w:rsidRPr="00315A15" w:rsidRDefault="00BE211D" w:rsidP="00315897">
      <w:pPr>
        <w:pStyle w:val="a5"/>
        <w:spacing w:after="0" w:line="276" w:lineRule="auto"/>
        <w:jc w:val="both"/>
        <w:rPr>
          <w:rFonts w:ascii="David" w:hAnsi="David" w:cs="David" w:hint="default"/>
          <w:sz w:val="24"/>
          <w:szCs w:val="24"/>
          <w:rtl/>
        </w:rPr>
      </w:pPr>
      <w:r w:rsidRPr="00315A15">
        <w:rPr>
          <w:rFonts w:ascii="David" w:hAnsi="David" w:cs="David"/>
          <w:sz w:val="24"/>
          <w:szCs w:val="24"/>
          <w:rtl/>
        </w:rPr>
        <w:t>פס"ד 91</w:t>
      </w:r>
      <w:r w:rsidRPr="00315A15">
        <w:rPr>
          <w:rFonts w:ascii="David" w:hAnsi="David" w:cs="David"/>
          <w:sz w:val="24"/>
          <w:szCs w:val="24"/>
        </w:rPr>
        <w:t>/</w:t>
      </w:r>
      <w:r w:rsidRPr="00315A15">
        <w:rPr>
          <w:rFonts w:ascii="David" w:hAnsi="David" w:cs="David"/>
          <w:sz w:val="24"/>
          <w:szCs w:val="24"/>
          <w:rtl/>
        </w:rPr>
        <w:t xml:space="preserve">915 </w:t>
      </w:r>
      <w:r w:rsidRPr="00315A15">
        <w:rPr>
          <w:rFonts w:ascii="David" w:hAnsi="David" w:cs="David"/>
          <w:b/>
          <w:bCs/>
          <w:sz w:val="24"/>
          <w:szCs w:val="24"/>
          <w:rtl/>
        </w:rPr>
        <w:t>מדינת ישראל נ</w:t>
      </w:r>
      <w:r w:rsidRPr="00315A15">
        <w:rPr>
          <w:rFonts w:ascii="David" w:hAnsi="David" w:cs="David"/>
          <w:b/>
          <w:bCs/>
          <w:sz w:val="24"/>
          <w:szCs w:val="24"/>
        </w:rPr>
        <w:t>'</w:t>
      </w:r>
      <w:r w:rsidRPr="00315A15">
        <w:rPr>
          <w:rFonts w:ascii="David" w:hAnsi="David" w:cs="David"/>
          <w:b/>
          <w:bCs/>
          <w:sz w:val="24"/>
          <w:szCs w:val="24"/>
          <w:rtl/>
        </w:rPr>
        <w:t xml:space="preserve"> לוי</w:t>
      </w:r>
      <w:r w:rsidRPr="00315A15">
        <w:rPr>
          <w:rFonts w:ascii="David" w:hAnsi="David" w:cs="David"/>
          <w:sz w:val="24"/>
          <w:szCs w:val="24"/>
          <w:rtl/>
        </w:rPr>
        <w:t xml:space="preserve">, פ"ד מח(3) 45 (1994). </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רע"א 4512/13 </w:t>
      </w:r>
      <w:r w:rsidRPr="00315A15">
        <w:rPr>
          <w:rFonts w:ascii="David" w:hAnsi="David" w:cs="David"/>
          <w:b/>
          <w:bCs/>
          <w:sz w:val="24"/>
          <w:szCs w:val="24"/>
          <w:rtl/>
        </w:rPr>
        <w:t>בית החולים אגודת הסהר האדום נ' פלוני</w:t>
      </w:r>
      <w:r w:rsidRPr="00315A15">
        <w:rPr>
          <w:rFonts w:ascii="David" w:hAnsi="David" w:cs="David"/>
          <w:sz w:val="24"/>
          <w:szCs w:val="24"/>
          <w:rtl/>
        </w:rPr>
        <w:t>, (פורסם בנבו 28.8.2014).</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רע"א 9444/12 </w:t>
      </w:r>
      <w:r w:rsidRPr="00315A15">
        <w:rPr>
          <w:rFonts w:ascii="David" w:hAnsi="David" w:cs="David"/>
          <w:b/>
          <w:bCs/>
          <w:sz w:val="24"/>
          <w:szCs w:val="24"/>
          <w:rtl/>
        </w:rPr>
        <w:t>ד"ר דן זאבי נ' פלוני</w:t>
      </w:r>
      <w:r w:rsidRPr="00315A15">
        <w:rPr>
          <w:rFonts w:ascii="David" w:hAnsi="David" w:cs="David"/>
          <w:sz w:val="24"/>
          <w:szCs w:val="24"/>
          <w:rtl/>
        </w:rPr>
        <w:t>, (פורסם בנבו 08.04.2013).</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רע"א 1272/05 </w:t>
      </w:r>
      <w:r w:rsidRPr="00315A15">
        <w:rPr>
          <w:rFonts w:ascii="David" w:hAnsi="David" w:cs="David"/>
          <w:b/>
          <w:bCs/>
          <w:sz w:val="24"/>
          <w:szCs w:val="24"/>
          <w:rtl/>
        </w:rPr>
        <w:t>כרמי נ' סבג</w:t>
      </w:r>
      <w:r w:rsidRPr="00315A15">
        <w:rPr>
          <w:rFonts w:ascii="David" w:hAnsi="David" w:cs="David"/>
          <w:sz w:val="24"/>
          <w:szCs w:val="24"/>
          <w:rtl/>
        </w:rPr>
        <w:t xml:space="preserve">, </w:t>
      </w:r>
      <w:r w:rsidRPr="00315A15">
        <w:rPr>
          <w:rFonts w:ascii="David" w:hAnsi="David" w:cs="David"/>
          <w:sz w:val="24"/>
          <w:szCs w:val="24"/>
          <w:rtl/>
        </w:rPr>
        <w:t>פ"ד סב(3) 396.</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רע"א 6582/10 </w:t>
      </w:r>
      <w:r w:rsidRPr="00315A15">
        <w:rPr>
          <w:rFonts w:ascii="David" w:hAnsi="David" w:cs="David"/>
          <w:b/>
          <w:bCs/>
          <w:sz w:val="24"/>
          <w:szCs w:val="24"/>
          <w:rtl/>
        </w:rPr>
        <w:t xml:space="preserve">מדינת ישראל נ' נבילי, </w:t>
      </w:r>
      <w:r w:rsidRPr="00315A15">
        <w:rPr>
          <w:rFonts w:ascii="David" w:hAnsi="David" w:cs="David"/>
          <w:sz w:val="24"/>
          <w:szCs w:val="24"/>
          <w:rtl/>
        </w:rPr>
        <w:t>פס' 7 (פורסם בנבו, 27.12.2011).</w:t>
      </w:r>
    </w:p>
    <w:p w:rsidR="00315897" w:rsidRPr="00315A15" w:rsidRDefault="00BE211D" w:rsidP="00315897">
      <w:pPr>
        <w:pStyle w:val="a5"/>
        <w:spacing w:after="0" w:line="276" w:lineRule="auto"/>
        <w:jc w:val="both"/>
        <w:rPr>
          <w:rFonts w:ascii="David" w:hAnsi="David" w:cs="David" w:hint="default"/>
          <w:sz w:val="24"/>
          <w:szCs w:val="24"/>
          <w:rtl/>
        </w:rPr>
      </w:pPr>
      <w:r w:rsidRPr="00315A15">
        <w:rPr>
          <w:rFonts w:ascii="David" w:hAnsi="David" w:cs="David"/>
          <w:sz w:val="24"/>
          <w:szCs w:val="24"/>
          <w:rtl/>
        </w:rPr>
        <w:t xml:space="preserve">רע"א 4288/15 </w:t>
      </w:r>
      <w:r w:rsidRPr="00315A15">
        <w:rPr>
          <w:rFonts w:ascii="David" w:hAnsi="David" w:cs="David"/>
          <w:b/>
          <w:bCs/>
          <w:sz w:val="24"/>
          <w:szCs w:val="24"/>
          <w:rtl/>
        </w:rPr>
        <w:t xml:space="preserve">מכבי שירותי בריאות נ' פלוני, </w:t>
      </w:r>
      <w:r w:rsidRPr="00315A15">
        <w:rPr>
          <w:rFonts w:ascii="David" w:hAnsi="David" w:cs="David"/>
          <w:sz w:val="24"/>
          <w:szCs w:val="24"/>
          <w:rtl/>
        </w:rPr>
        <w:t>(פורסם בנבו 28.8.2016).</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רע"א 369/57 </w:t>
      </w:r>
      <w:r w:rsidRPr="00315A15">
        <w:rPr>
          <w:rFonts w:ascii="David" w:hAnsi="David" w:cs="David"/>
          <w:b/>
          <w:bCs/>
          <w:sz w:val="24"/>
          <w:szCs w:val="24"/>
          <w:rtl/>
        </w:rPr>
        <w:t xml:space="preserve">נסברג נ' פלוס, </w:t>
      </w:r>
      <w:r w:rsidRPr="00315A15">
        <w:rPr>
          <w:rFonts w:ascii="David" w:hAnsi="David" w:cs="David"/>
          <w:sz w:val="24"/>
          <w:szCs w:val="24"/>
          <w:rtl/>
        </w:rPr>
        <w:t>פ"ד יג 584, 586-587 (1959).</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רע"א 5156/10 </w:t>
      </w:r>
      <w:r w:rsidRPr="00315A15">
        <w:rPr>
          <w:rFonts w:ascii="David" w:hAnsi="David" w:cs="David"/>
          <w:b/>
          <w:bCs/>
          <w:sz w:val="24"/>
          <w:szCs w:val="24"/>
          <w:rtl/>
        </w:rPr>
        <w:t>עזבון טאלב נ' מדינת ישראל</w:t>
      </w:r>
      <w:r w:rsidRPr="00315A15">
        <w:rPr>
          <w:rFonts w:ascii="David" w:hAnsi="David" w:cs="David"/>
          <w:sz w:val="24"/>
          <w:szCs w:val="24"/>
          <w:rtl/>
        </w:rPr>
        <w:t>, פס' טו (פורסם</w:t>
      </w:r>
      <w:r w:rsidRPr="00315A15">
        <w:rPr>
          <w:rFonts w:ascii="David" w:hAnsi="David" w:cs="David"/>
          <w:sz w:val="24"/>
          <w:szCs w:val="24"/>
          <w:rtl/>
        </w:rPr>
        <w:t xml:space="preserve"> בנבו, 6.8.2012).</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רע"א 7490/14 </w:t>
      </w:r>
      <w:r w:rsidRPr="00315A15">
        <w:rPr>
          <w:rFonts w:ascii="David" w:hAnsi="David" w:cs="David"/>
          <w:b/>
          <w:bCs/>
          <w:sz w:val="24"/>
          <w:szCs w:val="24"/>
          <w:rtl/>
        </w:rPr>
        <w:t xml:space="preserve">שירותי בריאות כללית נ' פלונית, </w:t>
      </w:r>
      <w:r w:rsidRPr="00315A15">
        <w:rPr>
          <w:rFonts w:ascii="David" w:hAnsi="David" w:cs="David"/>
          <w:sz w:val="24"/>
          <w:szCs w:val="24"/>
          <w:rtl/>
        </w:rPr>
        <w:t>(פורסם בנבו 28.12.2014).</w:t>
      </w:r>
    </w:p>
    <w:p w:rsidR="00315897" w:rsidRPr="00315A15" w:rsidRDefault="00BE211D" w:rsidP="00315897">
      <w:pPr>
        <w:pStyle w:val="a5"/>
        <w:spacing w:after="0" w:line="276" w:lineRule="auto"/>
        <w:jc w:val="both"/>
        <w:rPr>
          <w:rFonts w:ascii="David" w:hAnsi="David" w:cs="David" w:hint="default"/>
          <w:sz w:val="24"/>
          <w:szCs w:val="24"/>
          <w:rtl/>
        </w:rPr>
      </w:pPr>
      <w:r w:rsidRPr="00315A15">
        <w:rPr>
          <w:rFonts w:ascii="David" w:hAnsi="David" w:cs="David"/>
          <w:sz w:val="24"/>
          <w:szCs w:val="24"/>
          <w:rtl/>
        </w:rPr>
        <w:t xml:space="preserve">ת"א (מחוז י-ם) 22563-07-12 </w:t>
      </w:r>
      <w:r w:rsidRPr="00315A15">
        <w:rPr>
          <w:rFonts w:ascii="David" w:hAnsi="David" w:cs="David"/>
          <w:b/>
          <w:bCs/>
          <w:sz w:val="24"/>
          <w:szCs w:val="24"/>
          <w:rtl/>
        </w:rPr>
        <w:t xml:space="preserve">אשתייה נ' מדינת ישראל, </w:t>
      </w:r>
      <w:r w:rsidRPr="00315A15">
        <w:rPr>
          <w:rFonts w:ascii="David" w:hAnsi="David" w:cs="David"/>
          <w:sz w:val="24"/>
          <w:szCs w:val="24"/>
          <w:rtl/>
        </w:rPr>
        <w:t>פס' 31 (פורסם בנבו, 24.10.2013).</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תא (ת"א) 4027/10 </w:t>
      </w:r>
      <w:r w:rsidRPr="00315A15">
        <w:rPr>
          <w:rFonts w:ascii="David" w:hAnsi="David" w:cs="David"/>
          <w:b/>
          <w:bCs/>
          <w:sz w:val="24"/>
          <w:szCs w:val="24"/>
          <w:rtl/>
        </w:rPr>
        <w:t xml:space="preserve">ד"ר פריש ליאון נ' ר.ע, </w:t>
      </w:r>
      <w:r w:rsidRPr="00315A15">
        <w:rPr>
          <w:rFonts w:ascii="David" w:hAnsi="David" w:cs="David"/>
          <w:sz w:val="24"/>
          <w:szCs w:val="24"/>
          <w:rtl/>
        </w:rPr>
        <w:t>(פורסם בנבו, 18.11.2012).</w:t>
      </w:r>
    </w:p>
    <w:p w:rsidR="00315897" w:rsidRPr="00315A15" w:rsidRDefault="00BE211D" w:rsidP="00315897">
      <w:pPr>
        <w:pStyle w:val="a5"/>
        <w:spacing w:after="0" w:line="276" w:lineRule="auto"/>
        <w:jc w:val="both"/>
        <w:rPr>
          <w:rFonts w:ascii="David" w:hAnsi="David" w:cs="David" w:hint="default"/>
          <w:sz w:val="24"/>
          <w:szCs w:val="24"/>
          <w:rtl/>
        </w:rPr>
      </w:pPr>
      <w:r w:rsidRPr="00315A15">
        <w:rPr>
          <w:rFonts w:ascii="David" w:hAnsi="David" w:cs="David"/>
          <w:sz w:val="24"/>
          <w:szCs w:val="24"/>
          <w:rtl/>
        </w:rPr>
        <w:t>ת"א (מחוזי חי') 1256</w:t>
      </w:r>
      <w:r w:rsidRPr="00315A15">
        <w:rPr>
          <w:rFonts w:ascii="David" w:hAnsi="David" w:cs="David"/>
          <w:sz w:val="24"/>
          <w:szCs w:val="24"/>
          <w:rtl/>
        </w:rPr>
        <w:t xml:space="preserve">6-09-09 </w:t>
      </w:r>
      <w:r w:rsidRPr="00315A15">
        <w:rPr>
          <w:rFonts w:ascii="David" w:hAnsi="David" w:cs="David"/>
          <w:b/>
          <w:bCs/>
          <w:sz w:val="24"/>
          <w:szCs w:val="24"/>
          <w:rtl/>
        </w:rPr>
        <w:t xml:space="preserve">מדינת ישראל – משרד הביטחון נ' סמארה, </w:t>
      </w:r>
      <w:r w:rsidRPr="00315A15">
        <w:rPr>
          <w:rFonts w:ascii="David" w:hAnsi="David" w:cs="David"/>
          <w:sz w:val="24"/>
          <w:szCs w:val="24"/>
          <w:rtl/>
        </w:rPr>
        <w:t>פס' 5 (פורסם בנבו, 21.12.2009).</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ת"א (מחוזי י-ם) 8208/06 </w:t>
      </w:r>
      <w:r w:rsidRPr="00315A15">
        <w:rPr>
          <w:rFonts w:ascii="David" w:hAnsi="David" w:cs="David"/>
          <w:b/>
          <w:bCs/>
          <w:sz w:val="24"/>
          <w:szCs w:val="24"/>
          <w:rtl/>
        </w:rPr>
        <w:t xml:space="preserve">סבגיאן נ' מכבי שירותי בריאות </w:t>
      </w:r>
      <w:r w:rsidRPr="00315A15">
        <w:rPr>
          <w:rFonts w:ascii="David" w:hAnsi="David" w:cs="David"/>
          <w:sz w:val="24"/>
          <w:szCs w:val="24"/>
          <w:rtl/>
        </w:rPr>
        <w:t xml:space="preserve">(פורסם בנבו, 29.1.2009), </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 xml:space="preserve">ת"א (מרכז) 53789-07-15 </w:t>
      </w:r>
      <w:r w:rsidRPr="00315A15">
        <w:rPr>
          <w:rFonts w:ascii="David" w:hAnsi="David" w:cs="David"/>
          <w:b/>
          <w:bCs/>
          <w:sz w:val="24"/>
          <w:szCs w:val="24"/>
          <w:rtl/>
        </w:rPr>
        <w:t xml:space="preserve">קופת חולים מאוחדת נ' פלוני (קטין), </w:t>
      </w:r>
      <w:r w:rsidRPr="00315A15">
        <w:rPr>
          <w:rFonts w:ascii="David" w:hAnsi="David" w:cs="David"/>
          <w:sz w:val="24"/>
          <w:szCs w:val="24"/>
        </w:rPr>
        <w:t>)</w:t>
      </w:r>
      <w:r w:rsidRPr="00315A15">
        <w:rPr>
          <w:rFonts w:ascii="David" w:hAnsi="David" w:cs="David"/>
          <w:sz w:val="24"/>
          <w:szCs w:val="24"/>
          <w:rtl/>
        </w:rPr>
        <w:t>פורסם בנבו 14.12.17).</w:t>
      </w:r>
    </w:p>
    <w:p w:rsidR="00315897" w:rsidRPr="00315A15" w:rsidRDefault="00BE211D" w:rsidP="00315897">
      <w:pPr>
        <w:spacing w:after="0" w:line="276" w:lineRule="auto"/>
        <w:jc w:val="both"/>
        <w:rPr>
          <w:rFonts w:ascii="David" w:hAnsi="David" w:cs="David" w:hint="default"/>
          <w:sz w:val="24"/>
          <w:szCs w:val="24"/>
          <w:rtl/>
        </w:rPr>
      </w:pPr>
      <w:r w:rsidRPr="00315A15">
        <w:rPr>
          <w:rFonts w:ascii="David" w:hAnsi="David" w:cs="David"/>
          <w:sz w:val="24"/>
          <w:szCs w:val="24"/>
          <w:rtl/>
        </w:rPr>
        <w:t>ת"א (מחוזי ב"ש) 334</w:t>
      </w:r>
      <w:r w:rsidRPr="00315A15">
        <w:rPr>
          <w:rFonts w:ascii="David" w:hAnsi="David" w:cs="David"/>
          <w:sz w:val="24"/>
          <w:szCs w:val="24"/>
          <w:rtl/>
        </w:rPr>
        <w:t xml:space="preserve">4/04 </w:t>
      </w:r>
      <w:r w:rsidRPr="00315A15">
        <w:rPr>
          <w:rFonts w:ascii="David" w:hAnsi="David" w:cs="David"/>
          <w:b/>
          <w:bCs/>
          <w:sz w:val="24"/>
          <w:szCs w:val="24"/>
          <w:rtl/>
        </w:rPr>
        <w:t xml:space="preserve">ר.וו (קטין) נ' מכבי שירותי בריאות </w:t>
      </w:r>
      <w:r w:rsidRPr="00315A15">
        <w:rPr>
          <w:rFonts w:ascii="David" w:hAnsi="David" w:cs="David"/>
          <w:sz w:val="24"/>
          <w:szCs w:val="24"/>
          <w:rtl/>
        </w:rPr>
        <w:t>(פורסם בנבו, 31.8.2008).</w:t>
      </w:r>
    </w:p>
    <w:p w:rsidR="00315897" w:rsidRDefault="00315897" w:rsidP="00315897">
      <w:pPr>
        <w:rPr>
          <w:rFonts w:hint="default"/>
          <w:rtl/>
        </w:rPr>
      </w:pPr>
    </w:p>
    <w:p w:rsidR="00315897" w:rsidRPr="00A35606" w:rsidRDefault="00BE211D" w:rsidP="00315897">
      <w:pPr>
        <w:rPr>
          <w:rFonts w:ascii="David" w:hAnsi="David" w:cs="David" w:hint="default"/>
          <w:b/>
          <w:bCs/>
          <w:sz w:val="24"/>
          <w:szCs w:val="24"/>
          <w:u w:val="single"/>
          <w:rtl/>
        </w:rPr>
      </w:pPr>
      <w:r w:rsidRPr="00A35606">
        <w:rPr>
          <w:rFonts w:ascii="David" w:hAnsi="David" w:cs="David"/>
          <w:b/>
          <w:bCs/>
          <w:sz w:val="24"/>
          <w:szCs w:val="24"/>
          <w:u w:val="single"/>
          <w:rtl/>
        </w:rPr>
        <w:t>פסיקה לועזית:</w:t>
      </w:r>
    </w:p>
    <w:p w:rsidR="00315897" w:rsidRPr="00A35606" w:rsidRDefault="00BE211D" w:rsidP="00315897">
      <w:pPr>
        <w:pStyle w:val="a5"/>
        <w:spacing w:after="0" w:line="276" w:lineRule="auto"/>
        <w:jc w:val="right"/>
        <w:rPr>
          <w:rFonts w:ascii="David" w:hAnsi="David" w:cs="David" w:hint="default"/>
          <w:sz w:val="24"/>
          <w:szCs w:val="24"/>
          <w:rtl/>
        </w:rPr>
      </w:pPr>
      <w:r w:rsidRPr="00A35606">
        <w:rPr>
          <w:rFonts w:ascii="David" w:hAnsi="David" w:cs="David"/>
          <w:b/>
          <w:bCs/>
          <w:sz w:val="24"/>
          <w:szCs w:val="24"/>
        </w:rPr>
        <w:t>Anns v. Merton London Borough Council</w:t>
      </w:r>
      <w:r w:rsidRPr="00A35606">
        <w:rPr>
          <w:rFonts w:ascii="David" w:hAnsi="David" w:cs="David"/>
          <w:sz w:val="24"/>
          <w:szCs w:val="24"/>
        </w:rPr>
        <w:t xml:space="preserve"> [1978] </w:t>
      </w:r>
    </w:p>
    <w:p w:rsidR="00315897" w:rsidRPr="00A35606" w:rsidRDefault="00BE211D" w:rsidP="00315897">
      <w:pPr>
        <w:pStyle w:val="a5"/>
        <w:spacing w:after="0" w:line="276" w:lineRule="auto"/>
        <w:jc w:val="right"/>
        <w:rPr>
          <w:rFonts w:ascii="David" w:hAnsi="David" w:cs="David" w:hint="default"/>
          <w:sz w:val="24"/>
          <w:szCs w:val="24"/>
          <w:rtl/>
        </w:rPr>
      </w:pPr>
      <w:r w:rsidRPr="00A35606">
        <w:rPr>
          <w:rFonts w:ascii="David" w:hAnsi="David" w:cs="David"/>
          <w:b/>
          <w:bCs/>
          <w:sz w:val="24"/>
          <w:szCs w:val="24"/>
        </w:rPr>
        <w:t>Council v. Heyman</w:t>
      </w:r>
      <w:r w:rsidRPr="00A35606">
        <w:rPr>
          <w:rFonts w:ascii="David" w:hAnsi="David" w:cs="David"/>
          <w:sz w:val="24"/>
          <w:szCs w:val="24"/>
        </w:rPr>
        <w:t xml:space="preserve"> [1985] 59 A.L.J.R 564 </w:t>
      </w:r>
    </w:p>
    <w:p w:rsidR="00315897" w:rsidRPr="00A35606" w:rsidRDefault="00BE211D" w:rsidP="00315897">
      <w:pPr>
        <w:spacing w:after="0" w:line="276" w:lineRule="auto"/>
        <w:jc w:val="right"/>
        <w:rPr>
          <w:rFonts w:ascii="David" w:hAnsi="David" w:cs="David" w:hint="default"/>
          <w:sz w:val="24"/>
          <w:szCs w:val="24"/>
          <w:rtl/>
        </w:rPr>
      </w:pPr>
      <w:r w:rsidRPr="00A35606">
        <w:rPr>
          <w:rFonts w:ascii="David" w:hAnsi="David" w:cs="David"/>
          <w:b/>
          <w:bCs/>
          <w:sz w:val="24"/>
          <w:szCs w:val="24"/>
        </w:rPr>
        <w:t>Curran v. Northern Ireland Co-ownership Hosing Association</w:t>
      </w:r>
      <w:r w:rsidRPr="00A35606">
        <w:rPr>
          <w:rFonts w:ascii="David" w:hAnsi="David" w:cs="David"/>
          <w:sz w:val="24"/>
          <w:szCs w:val="24"/>
        </w:rPr>
        <w:t xml:space="preserve"> [1987]</w:t>
      </w:r>
      <w:r w:rsidRPr="00A35606">
        <w:rPr>
          <w:rFonts w:ascii="David" w:hAnsi="David" w:cs="David"/>
          <w:b/>
          <w:bCs/>
          <w:sz w:val="24"/>
          <w:szCs w:val="24"/>
        </w:rPr>
        <w:t xml:space="preserve"> </w:t>
      </w:r>
    </w:p>
    <w:p w:rsidR="00315897" w:rsidRPr="00A35606" w:rsidRDefault="00BE211D" w:rsidP="00315897">
      <w:pPr>
        <w:spacing w:after="0" w:line="276" w:lineRule="auto"/>
        <w:jc w:val="right"/>
        <w:rPr>
          <w:rFonts w:hint="default"/>
          <w:sz w:val="24"/>
          <w:szCs w:val="24"/>
          <w:rtl/>
        </w:rPr>
      </w:pPr>
      <w:r w:rsidRPr="00A35606">
        <w:rPr>
          <w:rFonts w:ascii="David" w:hAnsi="David" w:cs="David"/>
          <w:b/>
          <w:bCs/>
          <w:sz w:val="24"/>
          <w:szCs w:val="24"/>
        </w:rPr>
        <w:t xml:space="preserve">East Suffolk Rivers </w:t>
      </w:r>
      <w:r w:rsidRPr="00A35606">
        <w:rPr>
          <w:rFonts w:ascii="David" w:hAnsi="David" w:cs="David"/>
          <w:b/>
          <w:bCs/>
          <w:sz w:val="24"/>
          <w:szCs w:val="24"/>
        </w:rPr>
        <w:t>Catchment Board v.</w:t>
      </w:r>
      <w:r w:rsidRPr="00A35606">
        <w:rPr>
          <w:rFonts w:ascii="David" w:hAnsi="David" w:cs="David"/>
          <w:sz w:val="24"/>
          <w:szCs w:val="24"/>
        </w:rPr>
        <w:t xml:space="preserve"> Kent [1941] </w:t>
      </w:r>
    </w:p>
    <w:p w:rsidR="00315897" w:rsidRPr="00A35606" w:rsidRDefault="00BE211D" w:rsidP="00315897">
      <w:pPr>
        <w:spacing w:after="0" w:line="276" w:lineRule="auto"/>
        <w:jc w:val="right"/>
        <w:rPr>
          <w:rFonts w:hint="default"/>
          <w:sz w:val="24"/>
          <w:szCs w:val="24"/>
          <w:rtl/>
        </w:rPr>
      </w:pPr>
      <w:r w:rsidRPr="00A35606">
        <w:rPr>
          <w:rFonts w:ascii="David" w:hAnsi="David" w:cs="David"/>
          <w:b/>
          <w:bCs/>
          <w:sz w:val="24"/>
          <w:szCs w:val="24"/>
        </w:rPr>
        <w:t>Lonrho Ltd v. Shell Petroleum Co. Ltd</w:t>
      </w:r>
      <w:r w:rsidRPr="00A35606">
        <w:rPr>
          <w:rFonts w:ascii="David" w:hAnsi="David" w:cs="David"/>
          <w:sz w:val="24"/>
          <w:szCs w:val="24"/>
        </w:rPr>
        <w:t xml:space="preserve">. (No. 2) </w:t>
      </w:r>
    </w:p>
    <w:p w:rsidR="00315897" w:rsidRPr="00A35606" w:rsidRDefault="00BE211D" w:rsidP="00315897">
      <w:pPr>
        <w:spacing w:after="0" w:line="276" w:lineRule="auto"/>
        <w:jc w:val="right"/>
        <w:rPr>
          <w:rFonts w:hint="default"/>
          <w:sz w:val="24"/>
          <w:szCs w:val="24"/>
          <w:rtl/>
        </w:rPr>
      </w:pPr>
      <w:r w:rsidRPr="00A35606">
        <w:rPr>
          <w:rFonts w:ascii="David" w:hAnsi="David" w:cs="David"/>
          <w:b/>
          <w:bCs/>
          <w:sz w:val="24"/>
          <w:szCs w:val="24"/>
        </w:rPr>
        <w:t>Pruitt v. Allied Chemical Corp</w:t>
      </w:r>
      <w:r w:rsidRPr="00A35606">
        <w:rPr>
          <w:rFonts w:ascii="David" w:hAnsi="David" w:cs="David"/>
          <w:sz w:val="24"/>
          <w:szCs w:val="24"/>
        </w:rPr>
        <w:t xml:space="preserve"> (1981).</w:t>
      </w:r>
    </w:p>
    <w:p w:rsidR="00315897" w:rsidRPr="00C01770" w:rsidRDefault="00315897" w:rsidP="00315897">
      <w:pPr>
        <w:rPr>
          <w:rFonts w:ascii="David" w:hAnsi="David" w:cs="David" w:hint="default"/>
          <w:b/>
          <w:bCs/>
          <w:sz w:val="24"/>
          <w:szCs w:val="24"/>
          <w:u w:val="single"/>
          <w:rtl/>
        </w:rPr>
      </w:pPr>
    </w:p>
    <w:p w:rsidR="00315897" w:rsidRDefault="00BE211D" w:rsidP="00315897">
      <w:pPr>
        <w:pStyle w:val="a5"/>
        <w:spacing w:after="0"/>
        <w:rPr>
          <w:rFonts w:ascii="David" w:hAnsi="David" w:cs="David" w:hint="default"/>
          <w:b/>
          <w:bCs/>
          <w:sz w:val="24"/>
          <w:szCs w:val="24"/>
          <w:u w:val="single"/>
          <w:rtl/>
        </w:rPr>
      </w:pPr>
      <w:r w:rsidRPr="00803D8A">
        <w:rPr>
          <w:rFonts w:ascii="David" w:hAnsi="David" w:cs="David"/>
          <w:b/>
          <w:bCs/>
          <w:sz w:val="24"/>
          <w:szCs w:val="24"/>
          <w:u w:val="single"/>
          <w:rtl/>
        </w:rPr>
        <w:t>חקיקה:</w:t>
      </w:r>
    </w:p>
    <w:p w:rsidR="00315897" w:rsidRDefault="00315897" w:rsidP="00315897">
      <w:pPr>
        <w:rPr>
          <w:rFonts w:ascii="David" w:hAnsi="David" w:cs="David" w:hint="default"/>
          <w:rtl/>
        </w:rPr>
      </w:pPr>
    </w:p>
    <w:p w:rsidR="00315897" w:rsidRPr="00C43F58" w:rsidRDefault="00BE211D" w:rsidP="00315897">
      <w:pPr>
        <w:spacing w:after="0" w:line="276" w:lineRule="auto"/>
        <w:rPr>
          <w:rFonts w:hint="default"/>
          <w:sz w:val="24"/>
          <w:szCs w:val="24"/>
          <w:rtl/>
        </w:rPr>
      </w:pPr>
      <w:r w:rsidRPr="00C43F58">
        <w:rPr>
          <w:rFonts w:ascii="David" w:hAnsi="David" w:cs="David"/>
          <w:sz w:val="24"/>
          <w:szCs w:val="24"/>
          <w:rtl/>
        </w:rPr>
        <w:t>חוק ביטוח בריאות ממלכתי, תשנ"ד-1994.</w:t>
      </w:r>
    </w:p>
    <w:p w:rsidR="00315897" w:rsidRPr="00C43F58" w:rsidRDefault="00BE211D" w:rsidP="00315897">
      <w:pPr>
        <w:pStyle w:val="a5"/>
        <w:spacing w:after="0" w:line="276" w:lineRule="auto"/>
        <w:rPr>
          <w:rFonts w:ascii="David" w:hAnsi="David" w:cs="David" w:hint="default"/>
          <w:b/>
          <w:bCs/>
          <w:sz w:val="24"/>
          <w:szCs w:val="24"/>
          <w:u w:val="single"/>
          <w:rtl/>
        </w:rPr>
      </w:pPr>
      <w:r w:rsidRPr="00C43F58">
        <w:rPr>
          <w:rFonts w:ascii="David" w:hAnsi="David" w:cs="David"/>
          <w:sz w:val="24"/>
          <w:szCs w:val="24"/>
          <w:rtl/>
        </w:rPr>
        <w:t>חוק ההתיישנות, תשי"ח-1958</w:t>
      </w:r>
    </w:p>
    <w:p w:rsidR="00315897" w:rsidRPr="00C43F58" w:rsidRDefault="00BE211D" w:rsidP="00315897">
      <w:pPr>
        <w:spacing w:after="0" w:line="276" w:lineRule="auto"/>
        <w:rPr>
          <w:rFonts w:ascii="David" w:hAnsi="David" w:cs="David" w:hint="default"/>
          <w:sz w:val="24"/>
          <w:szCs w:val="24"/>
          <w:rtl/>
        </w:rPr>
      </w:pPr>
      <w:r w:rsidRPr="00C43F58">
        <w:rPr>
          <w:rFonts w:ascii="David" w:hAnsi="David" w:cs="David"/>
          <w:sz w:val="24"/>
          <w:szCs w:val="24"/>
          <w:rtl/>
        </w:rPr>
        <w:t>חוק הנזקים האזרחיים (אחריות המדינה), תשי"ב-1952.</w:t>
      </w:r>
    </w:p>
    <w:p w:rsidR="00315897" w:rsidRPr="00C43F58" w:rsidRDefault="00BE211D" w:rsidP="00315897">
      <w:pPr>
        <w:spacing w:after="0" w:line="276" w:lineRule="auto"/>
        <w:rPr>
          <w:rFonts w:hint="default"/>
          <w:sz w:val="24"/>
          <w:szCs w:val="24"/>
          <w:rtl/>
        </w:rPr>
      </w:pPr>
      <w:r w:rsidRPr="00C43F58">
        <w:rPr>
          <w:rFonts w:ascii="David" w:hAnsi="David" w:cs="David"/>
          <w:sz w:val="24"/>
          <w:szCs w:val="24"/>
          <w:rtl/>
        </w:rPr>
        <w:t>חוק לפיצוי נפגעי</w:t>
      </w:r>
      <w:r w:rsidRPr="00C43F58">
        <w:rPr>
          <w:rFonts w:ascii="David" w:hAnsi="David" w:cs="David"/>
          <w:sz w:val="24"/>
          <w:szCs w:val="24"/>
          <w:rtl/>
        </w:rPr>
        <w:t xml:space="preserve"> גזזת, תשנ"ד – 1994.</w:t>
      </w:r>
    </w:p>
    <w:p w:rsidR="004B6065" w:rsidRDefault="00BE211D" w:rsidP="00D7556C">
      <w:pPr>
        <w:pStyle w:val="a5"/>
        <w:spacing w:after="0" w:line="276" w:lineRule="auto"/>
        <w:rPr>
          <w:rFonts w:ascii="David" w:hAnsi="David" w:cs="David" w:hint="default"/>
          <w:sz w:val="24"/>
          <w:szCs w:val="24"/>
          <w:rtl/>
        </w:rPr>
      </w:pPr>
      <w:r w:rsidRPr="00C43F58">
        <w:rPr>
          <w:rFonts w:ascii="David" w:hAnsi="David" w:cs="David"/>
          <w:sz w:val="24"/>
          <w:szCs w:val="24"/>
          <w:rtl/>
        </w:rPr>
        <w:t>פקודת הנזיקין [נוסח חדש], תשכ"ח- (1968).</w:t>
      </w:r>
    </w:p>
    <w:p w:rsidR="00F273EE" w:rsidRDefault="00F273EE" w:rsidP="00D7556C">
      <w:pPr>
        <w:pStyle w:val="a5"/>
        <w:spacing w:after="0" w:line="276" w:lineRule="auto"/>
        <w:rPr>
          <w:rFonts w:ascii="David" w:hAnsi="David" w:cs="David" w:hint="default"/>
          <w:sz w:val="24"/>
          <w:szCs w:val="24"/>
          <w:rtl/>
        </w:rPr>
      </w:pPr>
    </w:p>
    <w:p w:rsidR="00F273EE" w:rsidRDefault="00F273EE" w:rsidP="00D7556C">
      <w:pPr>
        <w:pStyle w:val="a5"/>
        <w:spacing w:after="0" w:line="276" w:lineRule="auto"/>
        <w:rPr>
          <w:rFonts w:ascii="David" w:hAnsi="David" w:cs="David" w:hint="default"/>
          <w:sz w:val="24"/>
          <w:szCs w:val="24"/>
          <w:rtl/>
        </w:rPr>
      </w:pPr>
    </w:p>
    <w:p w:rsidR="004B6065" w:rsidRDefault="004B6065" w:rsidP="00315897">
      <w:pPr>
        <w:pStyle w:val="a5"/>
        <w:spacing w:after="0" w:line="276" w:lineRule="auto"/>
        <w:rPr>
          <w:rFonts w:ascii="David" w:hAnsi="David" w:cs="David" w:hint="default"/>
          <w:sz w:val="24"/>
          <w:szCs w:val="24"/>
          <w:rtl/>
        </w:rPr>
      </w:pPr>
    </w:p>
    <w:p w:rsidR="006254B2" w:rsidRDefault="006254B2" w:rsidP="00315897">
      <w:pPr>
        <w:pStyle w:val="a5"/>
        <w:spacing w:after="0" w:line="276" w:lineRule="auto"/>
        <w:rPr>
          <w:rFonts w:ascii="David" w:hAnsi="David" w:cs="David" w:hint="default"/>
          <w:sz w:val="24"/>
          <w:szCs w:val="24"/>
          <w:rtl/>
        </w:rPr>
      </w:pPr>
    </w:p>
    <w:p w:rsidR="006254B2" w:rsidRDefault="006254B2" w:rsidP="00315897">
      <w:pPr>
        <w:pStyle w:val="a5"/>
        <w:spacing w:after="0" w:line="276" w:lineRule="auto"/>
        <w:rPr>
          <w:rFonts w:ascii="David" w:hAnsi="David" w:cs="David" w:hint="default"/>
          <w:sz w:val="24"/>
          <w:szCs w:val="24"/>
          <w:rtl/>
        </w:rPr>
      </w:pPr>
      <w:bookmarkStart w:id="1" w:name="_GoBack"/>
      <w:bookmarkEnd w:id="1"/>
    </w:p>
    <w:p w:rsidR="00315897" w:rsidRDefault="00BE211D" w:rsidP="00315897">
      <w:pPr>
        <w:pStyle w:val="a5"/>
        <w:spacing w:after="0" w:line="276" w:lineRule="auto"/>
        <w:rPr>
          <w:rFonts w:ascii="David" w:hAnsi="David" w:cs="David" w:hint="default"/>
          <w:b/>
          <w:bCs/>
          <w:sz w:val="24"/>
          <w:szCs w:val="24"/>
          <w:u w:val="single"/>
          <w:rtl/>
        </w:rPr>
      </w:pPr>
      <w:r>
        <w:rPr>
          <w:rFonts w:ascii="David" w:hAnsi="David" w:cs="David"/>
          <w:b/>
          <w:bCs/>
          <w:sz w:val="24"/>
          <w:szCs w:val="24"/>
          <w:u w:val="single"/>
          <w:rtl/>
        </w:rPr>
        <w:lastRenderedPageBreak/>
        <w:t>מקורות אינטרנטיים:</w:t>
      </w:r>
    </w:p>
    <w:p w:rsidR="00315897" w:rsidRPr="00C36727" w:rsidRDefault="00315897" w:rsidP="00315897">
      <w:pPr>
        <w:pStyle w:val="a5"/>
        <w:spacing w:after="0" w:line="276" w:lineRule="auto"/>
        <w:rPr>
          <w:rFonts w:ascii="David" w:hAnsi="David" w:cs="David" w:hint="default"/>
          <w:b/>
          <w:bCs/>
          <w:sz w:val="24"/>
          <w:szCs w:val="24"/>
          <w:u w:val="single"/>
        </w:rPr>
      </w:pPr>
    </w:p>
    <w:p w:rsidR="00315897" w:rsidRDefault="00BE211D" w:rsidP="00315897">
      <w:pPr>
        <w:spacing w:after="0" w:line="276" w:lineRule="auto"/>
        <w:jc w:val="both"/>
        <w:rPr>
          <w:rFonts w:ascii="David" w:hAnsi="David" w:cs="David" w:hint="default"/>
          <w:sz w:val="24"/>
          <w:szCs w:val="24"/>
          <w:rtl/>
        </w:rPr>
      </w:pPr>
      <w:r w:rsidRPr="00C36727">
        <w:rPr>
          <w:rFonts w:ascii="David" w:hAnsi="David" w:cs="David"/>
          <w:sz w:val="24"/>
          <w:szCs w:val="24"/>
          <w:rtl/>
        </w:rPr>
        <w:t xml:space="preserve">דנה וילר-פולק, סערת העולות מאתיופיה: "אמרו שלא צריך ללדת הרבה", </w:t>
      </w:r>
      <w:r w:rsidRPr="00C36727">
        <w:rPr>
          <w:rFonts w:ascii="David" w:hAnsi="David" w:cs="David"/>
          <w:b/>
          <w:bCs/>
          <w:sz w:val="24"/>
          <w:szCs w:val="24"/>
          <w:rtl/>
        </w:rPr>
        <w:t>הארץ</w:t>
      </w:r>
      <w:r w:rsidRPr="00C36727">
        <w:rPr>
          <w:rFonts w:ascii="David" w:hAnsi="David" w:cs="David"/>
          <w:sz w:val="24"/>
          <w:szCs w:val="24"/>
          <w:rtl/>
        </w:rPr>
        <w:t xml:space="preserve">, 9.12.2012 </w:t>
      </w:r>
      <w:hyperlink r:id="rId14" w:history="1">
        <w:r w:rsidRPr="00C36727">
          <w:rPr>
            <w:rStyle w:val="Hyperlink"/>
            <w:rFonts w:ascii="David" w:hAnsi="David" w:cs="David" w:hint="eastAsia"/>
            <w:sz w:val="24"/>
            <w:szCs w:val="24"/>
          </w:rPr>
          <w:t>www.news.walla.co.il/item/2594896</w:t>
        </w:r>
      </w:hyperlink>
      <w:r w:rsidRPr="00C36727">
        <w:rPr>
          <w:rFonts w:ascii="David" w:hAnsi="David" w:cs="David"/>
          <w:sz w:val="24"/>
          <w:szCs w:val="24"/>
          <w:rtl/>
        </w:rPr>
        <w:t xml:space="preserve"> , (נבדק לאחרונה ב- 1.10.2018).</w:t>
      </w:r>
    </w:p>
    <w:p w:rsidR="00315897" w:rsidRPr="00C36727" w:rsidRDefault="00315897" w:rsidP="00315897">
      <w:pPr>
        <w:spacing w:after="0" w:line="276" w:lineRule="auto"/>
        <w:jc w:val="both"/>
        <w:rPr>
          <w:rFonts w:ascii="David" w:hAnsi="David" w:cs="David" w:hint="default"/>
          <w:sz w:val="24"/>
          <w:szCs w:val="24"/>
          <w:rtl/>
        </w:rPr>
      </w:pPr>
    </w:p>
    <w:p w:rsidR="00315897" w:rsidRDefault="00BE211D" w:rsidP="00315897">
      <w:pPr>
        <w:spacing w:after="0" w:line="276" w:lineRule="auto"/>
        <w:jc w:val="both"/>
        <w:rPr>
          <w:rFonts w:ascii="David" w:hAnsi="David" w:cs="David" w:hint="default"/>
          <w:sz w:val="24"/>
          <w:szCs w:val="24"/>
          <w:rtl/>
        </w:rPr>
      </w:pPr>
      <w:r w:rsidRPr="00C36727">
        <w:rPr>
          <w:rFonts w:ascii="David" w:hAnsi="David" w:cs="David"/>
          <w:sz w:val="24"/>
          <w:szCs w:val="24"/>
          <w:rtl/>
        </w:rPr>
        <w:t xml:space="preserve">התיישנות תביעות הולדה בעוולה, עד מתי ניתן לתבוע, </w:t>
      </w:r>
      <w:hyperlink r:id="rId15" w:history="1">
        <w:r w:rsidRPr="00C36727">
          <w:rPr>
            <w:rStyle w:val="Hyperlink"/>
            <w:rFonts w:ascii="David" w:hAnsi="David" w:cs="David" w:hint="eastAsia"/>
            <w:sz w:val="24"/>
            <w:szCs w:val="24"/>
          </w:rPr>
          <w:t>www.iz-law.com/blog</w:t>
        </w:r>
      </w:hyperlink>
      <w:r w:rsidRPr="00C36727">
        <w:rPr>
          <w:rFonts w:ascii="David" w:hAnsi="David" w:cs="David"/>
          <w:sz w:val="24"/>
          <w:szCs w:val="24"/>
          <w:rtl/>
        </w:rPr>
        <w:t xml:space="preserve"> , (נבדק לאחרונה ב-1.10.2018).</w:t>
      </w:r>
    </w:p>
    <w:p w:rsidR="00315897" w:rsidRPr="00C36727" w:rsidRDefault="00315897" w:rsidP="00315897">
      <w:pPr>
        <w:spacing w:after="0" w:line="276" w:lineRule="auto"/>
        <w:jc w:val="both"/>
        <w:rPr>
          <w:rFonts w:ascii="David" w:hAnsi="David" w:cs="David" w:hint="default"/>
          <w:sz w:val="24"/>
          <w:szCs w:val="24"/>
          <w:rtl/>
        </w:rPr>
      </w:pPr>
    </w:p>
    <w:p w:rsidR="00315897" w:rsidRPr="00C36727" w:rsidRDefault="00BE211D" w:rsidP="00315897">
      <w:pPr>
        <w:pStyle w:val="a5"/>
        <w:spacing w:after="0" w:line="276" w:lineRule="auto"/>
        <w:jc w:val="both"/>
        <w:rPr>
          <w:rFonts w:ascii="David" w:hAnsi="David" w:cs="David" w:hint="default"/>
          <w:sz w:val="24"/>
          <w:szCs w:val="24"/>
          <w:rtl/>
        </w:rPr>
      </w:pPr>
      <w:r w:rsidRPr="00C36727">
        <w:rPr>
          <w:rFonts w:ascii="David" w:hAnsi="David" w:cs="David"/>
          <w:sz w:val="24"/>
          <w:szCs w:val="24"/>
          <w:rtl/>
        </w:rPr>
        <w:t xml:space="preserve">טלילה נשר, המדינה מודה: נשים אתיופיות טופלו למניעת הריון באופן פסול, </w:t>
      </w:r>
      <w:r w:rsidRPr="00C36727">
        <w:rPr>
          <w:rFonts w:ascii="David" w:hAnsi="David" w:cs="David"/>
          <w:b/>
          <w:bCs/>
          <w:sz w:val="24"/>
          <w:szCs w:val="24"/>
          <w:rtl/>
        </w:rPr>
        <w:t>הארץ</w:t>
      </w:r>
      <w:r w:rsidRPr="00C36727">
        <w:rPr>
          <w:rFonts w:ascii="David" w:hAnsi="David" w:cs="David"/>
          <w:sz w:val="24"/>
          <w:szCs w:val="24"/>
          <w:rtl/>
        </w:rPr>
        <w:t xml:space="preserve">, 27.1.2013 </w:t>
      </w:r>
      <w:hyperlink r:id="rId16" w:history="1">
        <w:r w:rsidRPr="00C36727">
          <w:rPr>
            <w:rStyle w:val="Hyperlink"/>
            <w:rFonts w:ascii="David" w:hAnsi="David" w:cs="David" w:hint="eastAsia"/>
            <w:sz w:val="24"/>
            <w:szCs w:val="24"/>
          </w:rPr>
          <w:t>www.haaretz.co.il/news/education/1.1915537</w:t>
        </w:r>
      </w:hyperlink>
      <w:r w:rsidRPr="00C36727">
        <w:rPr>
          <w:rFonts w:ascii="David" w:hAnsi="David" w:cs="David"/>
          <w:sz w:val="24"/>
          <w:szCs w:val="24"/>
          <w:rtl/>
        </w:rPr>
        <w:t xml:space="preserve"> (נבדק לאחרונה ב -1.10.2018).</w:t>
      </w:r>
    </w:p>
    <w:p w:rsidR="00315897" w:rsidRPr="00C36727" w:rsidRDefault="00315897" w:rsidP="00315897">
      <w:pPr>
        <w:spacing w:after="0" w:line="276" w:lineRule="auto"/>
        <w:jc w:val="both"/>
        <w:rPr>
          <w:rFonts w:ascii="David" w:hAnsi="David" w:cs="David" w:hint="default"/>
          <w:sz w:val="24"/>
          <w:szCs w:val="24"/>
          <w:rtl/>
        </w:rPr>
      </w:pPr>
    </w:p>
    <w:p w:rsidR="00315897" w:rsidRPr="00C36727" w:rsidRDefault="00BE211D" w:rsidP="00315897">
      <w:pPr>
        <w:pStyle w:val="a5"/>
        <w:spacing w:after="0" w:line="276" w:lineRule="auto"/>
        <w:jc w:val="both"/>
        <w:rPr>
          <w:rFonts w:ascii="David" w:hAnsi="David" w:cs="David" w:hint="default"/>
          <w:sz w:val="24"/>
          <w:szCs w:val="24"/>
          <w:rtl/>
        </w:rPr>
      </w:pPr>
      <w:r w:rsidRPr="00C36727">
        <w:rPr>
          <w:rFonts w:ascii="David" w:hAnsi="David" w:cs="David"/>
          <w:sz w:val="24"/>
          <w:szCs w:val="24"/>
          <w:rtl/>
        </w:rPr>
        <w:t xml:space="preserve">מרכז המחקר והמידע בכנסת, סוגיית מתן דפו-פרוברה לנשים יוצאות אתיופיה, פורסם ב22.5.2013 </w:t>
      </w:r>
      <w:r w:rsidRPr="00C36727">
        <w:rPr>
          <w:rFonts w:ascii="David" w:hAnsi="David" w:cs="David"/>
          <w:sz w:val="24"/>
          <w:szCs w:val="24"/>
        </w:rPr>
        <w:t xml:space="preserve">  </w:t>
      </w:r>
      <w:hyperlink r:id="rId17" w:history="1">
        <w:r w:rsidRPr="00C36727">
          <w:rPr>
            <w:rStyle w:val="Hyperlink"/>
            <w:rFonts w:ascii="David" w:hAnsi="David" w:cs="David" w:hint="eastAsia"/>
            <w:sz w:val="24"/>
            <w:szCs w:val="24"/>
          </w:rPr>
          <w:t>www.knesset.gov.il/mmm/data/pdf/m03219.pdf</w:t>
        </w:r>
      </w:hyperlink>
      <w:r w:rsidRPr="00C36727">
        <w:rPr>
          <w:rFonts w:ascii="David" w:hAnsi="David" w:cs="David"/>
          <w:sz w:val="24"/>
          <w:szCs w:val="24"/>
          <w:rtl/>
        </w:rPr>
        <w:t xml:space="preserve"> (נבדק לאחרונה ב-1.10.2018).</w:t>
      </w:r>
    </w:p>
    <w:p w:rsidR="00315897" w:rsidRPr="00C36727" w:rsidRDefault="00315897" w:rsidP="00315897">
      <w:pPr>
        <w:pStyle w:val="a5"/>
        <w:spacing w:after="0" w:line="276" w:lineRule="auto"/>
        <w:jc w:val="both"/>
        <w:rPr>
          <w:rFonts w:ascii="David" w:hAnsi="David" w:cs="David" w:hint="default"/>
          <w:sz w:val="24"/>
          <w:szCs w:val="24"/>
          <w:rtl/>
        </w:rPr>
      </w:pPr>
    </w:p>
    <w:p w:rsidR="00315897" w:rsidRPr="00C36727" w:rsidRDefault="00BE211D" w:rsidP="00315897">
      <w:pPr>
        <w:spacing w:after="0" w:line="276" w:lineRule="auto"/>
        <w:jc w:val="both"/>
        <w:rPr>
          <w:rFonts w:ascii="David" w:hAnsi="David" w:cs="David" w:hint="default"/>
          <w:sz w:val="24"/>
          <w:szCs w:val="24"/>
          <w:rtl/>
        </w:rPr>
      </w:pPr>
      <w:r w:rsidRPr="00C36727">
        <w:rPr>
          <w:rFonts w:ascii="David" w:hAnsi="David" w:cs="David"/>
          <w:sz w:val="24"/>
          <w:szCs w:val="24"/>
          <w:rtl/>
        </w:rPr>
        <w:t xml:space="preserve">עו"ד אברי רב-הון, העליון קבע המדינה הפרה את חובתה כלפי חולי הגזזת, 7.9.2015 </w:t>
      </w:r>
      <w:hyperlink r:id="rId18" w:history="1">
        <w:r w:rsidRPr="00C36727">
          <w:rPr>
            <w:rStyle w:val="Hyperlink"/>
            <w:rFonts w:ascii="David" w:hAnsi="David" w:cs="David" w:hint="eastAsia"/>
            <w:sz w:val="24"/>
            <w:szCs w:val="24"/>
          </w:rPr>
          <w:t>www.psakdin.</w:t>
        </w:r>
        <w:r w:rsidRPr="00C36727">
          <w:rPr>
            <w:rStyle w:val="Hyperlink"/>
            <w:rFonts w:ascii="David" w:hAnsi="David" w:cs="David" w:hint="eastAsia"/>
            <w:sz w:val="24"/>
            <w:szCs w:val="24"/>
          </w:rPr>
          <w:t>co.il/Document</w:t>
        </w:r>
      </w:hyperlink>
      <w:r w:rsidRPr="00C36727">
        <w:rPr>
          <w:rFonts w:ascii="David" w:hAnsi="David" w:cs="David"/>
          <w:sz w:val="24"/>
          <w:szCs w:val="24"/>
          <w:rtl/>
        </w:rPr>
        <w:t xml:space="preserve"> , (נבדק לאחרונה ב- 1.10.2018).</w:t>
      </w:r>
    </w:p>
    <w:p w:rsidR="00315897" w:rsidRPr="00C36727" w:rsidRDefault="00315897" w:rsidP="00315897">
      <w:pPr>
        <w:pStyle w:val="a5"/>
        <w:spacing w:after="0" w:line="276" w:lineRule="auto"/>
        <w:jc w:val="both"/>
        <w:rPr>
          <w:rFonts w:ascii="David" w:hAnsi="David" w:cs="David" w:hint="default"/>
          <w:sz w:val="24"/>
          <w:szCs w:val="24"/>
          <w:rtl/>
        </w:rPr>
      </w:pPr>
    </w:p>
    <w:p w:rsidR="00315897" w:rsidRPr="00315897" w:rsidRDefault="00BE211D" w:rsidP="00315897">
      <w:pPr>
        <w:spacing w:after="0" w:line="276" w:lineRule="auto"/>
        <w:jc w:val="both"/>
        <w:rPr>
          <w:rFonts w:ascii="David" w:hAnsi="David" w:cs="David" w:hint="default"/>
          <w:sz w:val="24"/>
          <w:szCs w:val="24"/>
          <w:rtl/>
        </w:rPr>
      </w:pPr>
      <w:hyperlink r:id="rId19" w:history="1">
        <w:r w:rsidR="00D71681" w:rsidRPr="00315897">
          <w:rPr>
            <w:rStyle w:val="Hyperlink"/>
            <w:rFonts w:ascii="David" w:hAnsi="David" w:cs="David" w:hint="eastAsia"/>
            <w:color w:val="auto"/>
            <w:sz w:val="24"/>
            <w:szCs w:val="24"/>
            <w:u w:val="none"/>
            <w:rtl/>
          </w:rPr>
          <w:t>עו"ד</w:t>
        </w:r>
      </w:hyperlink>
      <w:r w:rsidR="00D71681" w:rsidRPr="00315897">
        <w:rPr>
          <w:rStyle w:val="Hyperlink"/>
          <w:rFonts w:ascii="David" w:hAnsi="David" w:cs="David" w:hint="eastAsia"/>
          <w:color w:val="auto"/>
          <w:sz w:val="24"/>
          <w:szCs w:val="24"/>
          <w:u w:val="none"/>
          <w:rtl/>
        </w:rPr>
        <w:t xml:space="preserve"> איילת סבג, הולדה בעוולה – הלכה סופית,</w:t>
      </w:r>
      <w:r w:rsidR="00D71681" w:rsidRPr="00315897">
        <w:rPr>
          <w:rStyle w:val="Hyperlink"/>
          <w:rFonts w:ascii="David" w:hAnsi="David" w:cs="David" w:hint="eastAsia"/>
          <w:color w:val="auto"/>
          <w:sz w:val="24"/>
          <w:szCs w:val="24"/>
          <w:u w:val="none"/>
        </w:rPr>
        <w:t xml:space="preserve"> </w:t>
      </w:r>
      <w:hyperlink r:id="rId20" w:history="1">
        <w:r w:rsidR="00D71681" w:rsidRPr="00315897">
          <w:rPr>
            <w:rStyle w:val="Hyperlink"/>
            <w:rFonts w:ascii="David" w:hAnsi="David" w:cs="David" w:hint="eastAsia"/>
            <w:color w:val="auto"/>
            <w:sz w:val="24"/>
            <w:szCs w:val="24"/>
            <w:u w:val="none"/>
          </w:rPr>
          <w:t>www.sabag-law.co.il/procreation_tort_the_final_law</w:t>
        </w:r>
      </w:hyperlink>
      <w:r w:rsidR="00D71681" w:rsidRPr="00315897">
        <w:rPr>
          <w:rStyle w:val="Hyperlink"/>
          <w:rFonts w:ascii="David" w:hAnsi="David" w:cs="David" w:hint="eastAsia"/>
          <w:color w:val="auto"/>
          <w:sz w:val="24"/>
          <w:szCs w:val="24"/>
          <w:u w:val="none"/>
        </w:rPr>
        <w:t xml:space="preserve"> </w:t>
      </w:r>
      <w:r w:rsidR="00D71681" w:rsidRPr="00315897">
        <w:rPr>
          <w:rStyle w:val="Hyperlink"/>
          <w:rFonts w:ascii="David" w:hAnsi="David" w:cs="David" w:hint="eastAsia"/>
          <w:color w:val="auto"/>
          <w:sz w:val="24"/>
          <w:szCs w:val="24"/>
          <w:u w:val="none"/>
          <w:rtl/>
        </w:rPr>
        <w:t>(נבדק לאחרונה ב-1.102018).</w:t>
      </w:r>
    </w:p>
    <w:p w:rsidR="00315897" w:rsidRPr="00C36727" w:rsidRDefault="00315897" w:rsidP="00315897">
      <w:pPr>
        <w:spacing w:after="0" w:line="276" w:lineRule="auto"/>
        <w:jc w:val="both"/>
        <w:rPr>
          <w:rFonts w:ascii="David" w:hAnsi="David" w:cs="David" w:hint="default"/>
          <w:sz w:val="24"/>
          <w:szCs w:val="24"/>
          <w:rtl/>
        </w:rPr>
      </w:pPr>
    </w:p>
    <w:p w:rsidR="00315897" w:rsidRDefault="00BE211D" w:rsidP="00315897">
      <w:pPr>
        <w:spacing w:after="0" w:line="276" w:lineRule="auto"/>
        <w:jc w:val="both"/>
        <w:rPr>
          <w:rFonts w:ascii="David" w:hAnsi="David" w:cs="David" w:hint="default"/>
          <w:sz w:val="24"/>
          <w:szCs w:val="24"/>
          <w:rtl/>
        </w:rPr>
      </w:pPr>
      <w:r w:rsidRPr="00C36727">
        <w:rPr>
          <w:rFonts w:ascii="David" w:hAnsi="David" w:cs="David"/>
          <w:sz w:val="24"/>
          <w:szCs w:val="24"/>
          <w:rtl/>
        </w:rPr>
        <w:t xml:space="preserve">עו"ד אלי דורון, אחריות המדינה </w:t>
      </w:r>
      <w:hyperlink r:id="rId21" w:history="1">
        <w:r w:rsidRPr="00C36727">
          <w:rPr>
            <w:rStyle w:val="Hyperlink"/>
            <w:rFonts w:ascii="David" w:hAnsi="David" w:cs="David" w:hint="eastAsia"/>
            <w:sz w:val="24"/>
            <w:szCs w:val="24"/>
          </w:rPr>
          <w:t>www.dt-law.co.il/articles.asp?ArticleID=1340</w:t>
        </w:r>
      </w:hyperlink>
      <w:r w:rsidRPr="00C36727">
        <w:rPr>
          <w:rStyle w:val="Hyperlink"/>
          <w:rFonts w:ascii="David" w:hAnsi="David" w:cs="David" w:hint="eastAsia"/>
          <w:sz w:val="24"/>
          <w:szCs w:val="24"/>
          <w:rtl/>
        </w:rPr>
        <w:t xml:space="preserve"> </w:t>
      </w:r>
      <w:r w:rsidRPr="00C36727">
        <w:rPr>
          <w:rFonts w:ascii="David" w:hAnsi="David" w:cs="David"/>
          <w:sz w:val="24"/>
          <w:szCs w:val="24"/>
          <w:rtl/>
        </w:rPr>
        <w:t xml:space="preserve"> , (נבדק לאחרונה ב-1.10.2018).</w:t>
      </w:r>
    </w:p>
    <w:p w:rsidR="00315897" w:rsidRPr="00C36727" w:rsidRDefault="00315897" w:rsidP="00315897">
      <w:pPr>
        <w:spacing w:after="0" w:line="276" w:lineRule="auto"/>
        <w:jc w:val="both"/>
        <w:rPr>
          <w:rFonts w:ascii="David" w:hAnsi="David" w:cs="David" w:hint="default"/>
          <w:sz w:val="24"/>
          <w:szCs w:val="24"/>
          <w:rtl/>
        </w:rPr>
      </w:pPr>
    </w:p>
    <w:p w:rsidR="00315897" w:rsidRDefault="00BE211D" w:rsidP="00315897">
      <w:pPr>
        <w:spacing w:after="0" w:line="276" w:lineRule="auto"/>
        <w:jc w:val="both"/>
        <w:rPr>
          <w:rFonts w:ascii="David" w:hAnsi="David" w:cs="David" w:hint="default"/>
          <w:sz w:val="24"/>
          <w:szCs w:val="24"/>
          <w:rtl/>
        </w:rPr>
      </w:pPr>
      <w:r w:rsidRPr="00C36727">
        <w:rPr>
          <w:rFonts w:ascii="David" w:hAnsi="David" w:cs="David"/>
          <w:sz w:val="24"/>
          <w:szCs w:val="24"/>
          <w:rtl/>
        </w:rPr>
        <w:t xml:space="preserve">עו"ד דוד פייל, "הולדה בעוולה" למי כדאי לתבוע?, </w:t>
      </w:r>
      <w:r w:rsidRPr="00C36727">
        <w:rPr>
          <w:rFonts w:ascii="David" w:hAnsi="David" w:cs="David"/>
          <w:b/>
          <w:bCs/>
          <w:sz w:val="24"/>
          <w:szCs w:val="24"/>
        </w:rPr>
        <w:t>yent</w:t>
      </w:r>
      <w:r w:rsidRPr="00C36727">
        <w:rPr>
          <w:rFonts w:ascii="David" w:hAnsi="David" w:cs="David"/>
          <w:sz w:val="24"/>
          <w:szCs w:val="24"/>
          <w:rtl/>
        </w:rPr>
        <w:t xml:space="preserve"> 13.5.2015  </w:t>
      </w:r>
      <w:hyperlink r:id="rId22" w:history="1">
        <w:r w:rsidRPr="00C36727">
          <w:rPr>
            <w:rStyle w:val="Hyperlink"/>
            <w:rFonts w:ascii="David" w:hAnsi="David" w:cs="David" w:hint="eastAsia"/>
            <w:sz w:val="24"/>
            <w:szCs w:val="24"/>
          </w:rPr>
          <w:t>www.ynet.co.il/articles/0,7340,L-4656548,00.html</w:t>
        </w:r>
      </w:hyperlink>
      <w:r w:rsidRPr="00C36727">
        <w:rPr>
          <w:rFonts w:ascii="David" w:hAnsi="David" w:cs="David"/>
          <w:sz w:val="24"/>
          <w:szCs w:val="24"/>
          <w:rtl/>
        </w:rPr>
        <w:t xml:space="preserve"> , (נבדק לאחרונה ב -1.10.2018).</w:t>
      </w:r>
    </w:p>
    <w:p w:rsidR="00315897" w:rsidRPr="00C36727" w:rsidRDefault="00315897" w:rsidP="00315897">
      <w:pPr>
        <w:spacing w:after="0" w:line="276" w:lineRule="auto"/>
        <w:jc w:val="both"/>
        <w:rPr>
          <w:rFonts w:ascii="David" w:hAnsi="David" w:cs="David" w:hint="default"/>
          <w:sz w:val="24"/>
          <w:szCs w:val="24"/>
          <w:rtl/>
        </w:rPr>
      </w:pPr>
    </w:p>
    <w:p w:rsidR="00315897" w:rsidRDefault="00BE211D" w:rsidP="00315897">
      <w:pPr>
        <w:spacing w:after="0" w:line="276" w:lineRule="auto"/>
        <w:jc w:val="both"/>
        <w:rPr>
          <w:rFonts w:ascii="David" w:hAnsi="David" w:cs="David" w:hint="default"/>
          <w:sz w:val="24"/>
          <w:szCs w:val="24"/>
          <w:rtl/>
        </w:rPr>
      </w:pPr>
      <w:r w:rsidRPr="00C36727">
        <w:rPr>
          <w:rFonts w:ascii="David" w:hAnsi="David" w:cs="David"/>
          <w:sz w:val="24"/>
          <w:szCs w:val="24"/>
          <w:rtl/>
        </w:rPr>
        <w:t>עו"ד יוסי טולדנו, ביהמ"ש: ניתן להגיש תב</w:t>
      </w:r>
      <w:r w:rsidRPr="00C36727">
        <w:rPr>
          <w:rFonts w:ascii="David" w:hAnsi="David" w:cs="David"/>
          <w:sz w:val="24"/>
          <w:szCs w:val="24"/>
          <w:rtl/>
        </w:rPr>
        <w:t xml:space="preserve">יעות בגין הולדה בעוולה עד סוף 2017, </w:t>
      </w:r>
      <w:r w:rsidRPr="00C36727">
        <w:rPr>
          <w:rFonts w:ascii="David" w:hAnsi="David" w:cs="David"/>
          <w:b/>
          <w:bCs/>
          <w:sz w:val="24"/>
          <w:szCs w:val="24"/>
        </w:rPr>
        <w:t>yent</w:t>
      </w:r>
      <w:r>
        <w:rPr>
          <w:rFonts w:ascii="David" w:hAnsi="David" w:cs="David"/>
          <w:sz w:val="24"/>
          <w:szCs w:val="24"/>
          <w:rtl/>
        </w:rPr>
        <w:t>, 23.12.2017</w:t>
      </w:r>
      <w:r w:rsidRPr="00C36727">
        <w:rPr>
          <w:rFonts w:ascii="David" w:hAnsi="David" w:cs="David"/>
          <w:sz w:val="24"/>
          <w:szCs w:val="24"/>
          <w:rtl/>
        </w:rPr>
        <w:t xml:space="preserve"> , </w:t>
      </w:r>
      <w:hyperlink r:id="rId23" w:history="1">
        <w:r w:rsidRPr="00C36727">
          <w:rPr>
            <w:rStyle w:val="Hyperlink"/>
            <w:rFonts w:ascii="David" w:hAnsi="David" w:cs="David" w:hint="eastAsia"/>
            <w:sz w:val="24"/>
            <w:szCs w:val="24"/>
          </w:rPr>
          <w:t>www.ynet.co.il/articles/0,7340,L-5060108,00.html</w:t>
        </w:r>
        <w:r w:rsidRPr="00C36727">
          <w:rPr>
            <w:rStyle w:val="Hyperlink"/>
            <w:rFonts w:ascii="David" w:hAnsi="David" w:cs="David" w:hint="eastAsia"/>
            <w:sz w:val="24"/>
            <w:szCs w:val="24"/>
            <w:rtl/>
          </w:rPr>
          <w:t xml:space="preserve"> (נבדק</w:t>
        </w:r>
      </w:hyperlink>
      <w:r w:rsidRPr="00C36727">
        <w:rPr>
          <w:rFonts w:ascii="David" w:hAnsi="David" w:cs="David"/>
          <w:sz w:val="24"/>
          <w:szCs w:val="24"/>
          <w:rtl/>
        </w:rPr>
        <w:t xml:space="preserve"> לאחרונה ב1.10.2018).</w:t>
      </w:r>
    </w:p>
    <w:p w:rsidR="00315897" w:rsidRPr="00C36727" w:rsidRDefault="00315897" w:rsidP="00315897">
      <w:pPr>
        <w:spacing w:after="0" w:line="276" w:lineRule="auto"/>
        <w:jc w:val="both"/>
        <w:rPr>
          <w:rFonts w:ascii="David" w:hAnsi="David" w:cs="David" w:hint="default"/>
          <w:sz w:val="24"/>
          <w:szCs w:val="24"/>
        </w:rPr>
      </w:pPr>
    </w:p>
    <w:p w:rsidR="00315897" w:rsidRPr="00C36727" w:rsidRDefault="00BE211D" w:rsidP="00315897">
      <w:pPr>
        <w:pStyle w:val="a5"/>
        <w:spacing w:after="0" w:line="276" w:lineRule="auto"/>
        <w:jc w:val="both"/>
        <w:rPr>
          <w:rFonts w:ascii="David" w:hAnsi="David" w:cs="David" w:hint="default"/>
          <w:b/>
          <w:bCs/>
          <w:sz w:val="24"/>
          <w:szCs w:val="24"/>
          <w:rtl/>
        </w:rPr>
      </w:pPr>
      <w:r w:rsidRPr="00C36727">
        <w:rPr>
          <w:rFonts w:ascii="David" w:hAnsi="David" w:cs="David"/>
          <w:sz w:val="24"/>
          <w:szCs w:val="24"/>
          <w:rtl/>
        </w:rPr>
        <w:t xml:space="preserve">עו"ד ענת גוטמן, חובת היידוע הופרה: 8 מיליון ש' להורים שבתם נולדה עם פיגור שכלי, </w:t>
      </w:r>
      <w:r w:rsidRPr="00C36727">
        <w:rPr>
          <w:rFonts w:ascii="David" w:hAnsi="David" w:cs="David"/>
          <w:b/>
          <w:bCs/>
          <w:sz w:val="24"/>
          <w:szCs w:val="24"/>
        </w:rPr>
        <w:t>PsakDin</w:t>
      </w:r>
      <w:r w:rsidRPr="00C36727">
        <w:rPr>
          <w:rFonts w:ascii="David" w:hAnsi="David" w:cs="David"/>
          <w:sz w:val="24"/>
          <w:szCs w:val="24"/>
          <w:rtl/>
        </w:rPr>
        <w:t xml:space="preserve">, 31.10.2014, </w:t>
      </w:r>
      <w:hyperlink r:id="rId24" w:history="1">
        <w:r w:rsidRPr="00C36727">
          <w:rPr>
            <w:rStyle w:val="Hyperlink"/>
            <w:rFonts w:ascii="David" w:hAnsi="David" w:cs="David" w:hint="eastAsia"/>
            <w:sz w:val="24"/>
            <w:szCs w:val="24"/>
          </w:rPr>
          <w:t>www.psakdin.co.il/Documen</w:t>
        </w:r>
      </w:hyperlink>
      <w:r w:rsidRPr="00C36727">
        <w:rPr>
          <w:rFonts w:ascii="David" w:hAnsi="David" w:cs="David"/>
          <w:sz w:val="24"/>
          <w:szCs w:val="24"/>
          <w:rtl/>
        </w:rPr>
        <w:t>, (נבדק לאחרונה ב-1.10.2018).</w:t>
      </w:r>
    </w:p>
    <w:p w:rsidR="00315897" w:rsidRPr="00C36727" w:rsidRDefault="00315897" w:rsidP="00315897">
      <w:pPr>
        <w:pStyle w:val="a5"/>
        <w:spacing w:after="0" w:line="276" w:lineRule="auto"/>
        <w:jc w:val="both"/>
        <w:rPr>
          <w:rFonts w:ascii="David" w:hAnsi="David" w:cs="David" w:hint="default"/>
          <w:b/>
          <w:bCs/>
          <w:sz w:val="24"/>
          <w:szCs w:val="24"/>
          <w:rtl/>
        </w:rPr>
      </w:pPr>
    </w:p>
    <w:p w:rsidR="00315897" w:rsidRDefault="00BE211D" w:rsidP="00315897">
      <w:pPr>
        <w:spacing w:after="0" w:line="276" w:lineRule="auto"/>
        <w:rPr>
          <w:rFonts w:ascii="David" w:hAnsi="David" w:cs="David" w:hint="default"/>
          <w:sz w:val="24"/>
          <w:szCs w:val="24"/>
          <w:rtl/>
        </w:rPr>
      </w:pPr>
      <w:r w:rsidRPr="00C36727">
        <w:rPr>
          <w:rFonts w:ascii="David" w:hAnsi="David" w:cs="David"/>
          <w:sz w:val="24"/>
          <w:szCs w:val="24"/>
          <w:rtl/>
        </w:rPr>
        <w:t xml:space="preserve">ראה אתר משרד העבודה הרווחה ושירותים חברתיים, </w:t>
      </w:r>
      <w:hyperlink r:id="rId25" w:history="1">
        <w:r w:rsidRPr="00C36727">
          <w:rPr>
            <w:rStyle w:val="Hyperlink"/>
            <w:rFonts w:ascii="David" w:hAnsi="David" w:cs="David" w:hint="eastAsia"/>
            <w:sz w:val="24"/>
            <w:szCs w:val="24"/>
          </w:rPr>
          <w:t>www.molsa.gov.il/Populations/Distress/DistressFamily/SpecialNeeds/Pages/TM_02_00_01.aspx</w:t>
        </w:r>
      </w:hyperlink>
      <w:r w:rsidRPr="00C36727">
        <w:rPr>
          <w:rFonts w:ascii="David" w:hAnsi="David" w:cs="David"/>
          <w:sz w:val="24"/>
          <w:szCs w:val="24"/>
          <w:rtl/>
        </w:rPr>
        <w:t xml:space="preserve"> , (נבדק לאחרונה ב-1.10.2018).</w:t>
      </w:r>
    </w:p>
    <w:p w:rsidR="00315897" w:rsidRPr="00C36727" w:rsidRDefault="00315897" w:rsidP="00315897">
      <w:pPr>
        <w:spacing w:after="0" w:line="276" w:lineRule="auto"/>
        <w:jc w:val="both"/>
        <w:rPr>
          <w:rFonts w:ascii="David" w:hAnsi="David" w:cs="David" w:hint="default"/>
          <w:sz w:val="24"/>
          <w:szCs w:val="24"/>
          <w:rtl/>
        </w:rPr>
      </w:pPr>
    </w:p>
    <w:p w:rsidR="00315897" w:rsidRPr="00C36727" w:rsidRDefault="00BE211D" w:rsidP="00315897">
      <w:pPr>
        <w:spacing w:after="0" w:line="276" w:lineRule="auto"/>
        <w:jc w:val="both"/>
        <w:rPr>
          <w:rFonts w:ascii="David" w:hAnsi="David" w:cs="David" w:hint="default"/>
          <w:sz w:val="24"/>
          <w:szCs w:val="24"/>
          <w:rtl/>
        </w:rPr>
      </w:pPr>
      <w:r w:rsidRPr="00C36727">
        <w:rPr>
          <w:rFonts w:ascii="David" w:hAnsi="David" w:cs="David"/>
          <w:sz w:val="24"/>
          <w:szCs w:val="24"/>
          <w:rtl/>
        </w:rPr>
        <w:t>רשלנות רפואית, פגיעה באוטונומ</w:t>
      </w:r>
      <w:r w:rsidRPr="00C36727">
        <w:rPr>
          <w:rFonts w:ascii="David" w:hAnsi="David" w:cs="David"/>
          <w:sz w:val="24"/>
          <w:szCs w:val="24"/>
          <w:rtl/>
        </w:rPr>
        <w:t xml:space="preserve">יה של נפגעי הגזזת עקב אי יידוע בדבר הסיכון המוגבר לחלות </w:t>
      </w:r>
      <w:hyperlink r:id="rId26" w:history="1">
        <w:r w:rsidRPr="00C36727">
          <w:rPr>
            <w:rStyle w:val="Hyperlink"/>
            <w:rFonts w:ascii="David" w:hAnsi="David" w:cs="David" w:hint="eastAsia"/>
            <w:sz w:val="24"/>
            <w:szCs w:val="24"/>
          </w:rPr>
          <w:t>www.rashlanut-refuit.org/P33632</w:t>
        </w:r>
        <w:r w:rsidRPr="00C36727">
          <w:rPr>
            <w:rStyle w:val="Hyperlink"/>
            <w:rFonts w:ascii="David" w:hAnsi="David" w:cs="David" w:hint="eastAsia"/>
            <w:sz w:val="24"/>
            <w:szCs w:val="24"/>
            <w:rtl/>
          </w:rPr>
          <w:t>/</w:t>
        </w:r>
      </w:hyperlink>
      <w:r w:rsidRPr="00C36727">
        <w:rPr>
          <w:rFonts w:ascii="David" w:hAnsi="David" w:cs="David"/>
          <w:sz w:val="24"/>
          <w:szCs w:val="24"/>
          <w:rtl/>
        </w:rPr>
        <w:t xml:space="preserve"> , (נבדק לאחרונה ב-1.10.2018).</w:t>
      </w:r>
    </w:p>
    <w:p w:rsidR="00315897" w:rsidRPr="00D7706D" w:rsidRDefault="00315897" w:rsidP="00315897">
      <w:pPr>
        <w:rPr>
          <w:rFonts w:hint="default"/>
          <w:rtl/>
        </w:rPr>
      </w:pPr>
    </w:p>
    <w:p w:rsidR="00F51F81" w:rsidRPr="00147329" w:rsidRDefault="00BE211D" w:rsidP="00147329">
      <w:pPr>
        <w:pStyle w:val="ae"/>
        <w:spacing w:line="360" w:lineRule="auto"/>
        <w:jc w:val="both"/>
        <w:rPr>
          <w:rFonts w:ascii="David" w:hAnsi="David" w:cs="David"/>
          <w:sz w:val="24"/>
          <w:szCs w:val="24"/>
        </w:rPr>
      </w:pPr>
      <w:r>
        <w:rPr>
          <w:rFonts w:ascii="David" w:hAnsi="David" w:cs="David" w:hint="cs"/>
          <w:sz w:val="24"/>
          <w:szCs w:val="24"/>
          <w:rtl/>
        </w:rPr>
        <w:t xml:space="preserve"> </w:t>
      </w:r>
    </w:p>
    <w:sectPr w:rsidR="00F51F81" w:rsidRPr="00147329" w:rsidSect="00E15E60">
      <w:footerReference w:type="default" r:id="rId27"/>
      <w:pgSz w:w="12240" w:h="15840"/>
      <w:pgMar w:top="1418" w:right="1418" w:bottom="1418" w:left="1418" w:header="708" w:footer="708"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11D" w:rsidRDefault="00BE211D">
      <w:pPr>
        <w:spacing w:after="0" w:line="240" w:lineRule="auto"/>
        <w:rPr>
          <w:rFonts w:hint="default"/>
        </w:rPr>
      </w:pPr>
      <w:r>
        <w:separator/>
      </w:r>
    </w:p>
  </w:endnote>
  <w:endnote w:type="continuationSeparator" w:id="0">
    <w:p w:rsidR="00BE211D" w:rsidRDefault="00BE211D">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TUR">
    <w:altName w:val="Arial"/>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David (Hebrew)">
    <w:altName w:val="Arial"/>
    <w:charset w:val="B1"/>
    <w:family w:val="swiss"/>
    <w:pitch w:val="variable"/>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68416785"/>
      <w:docPartObj>
        <w:docPartGallery w:val="Page Numbers (Bottom of Page)"/>
        <w:docPartUnique/>
      </w:docPartObj>
    </w:sdtPr>
    <w:sdtEndPr>
      <w:rPr>
        <w:rFonts w:ascii="David" w:hAnsi="David" w:cs="David" w:hint="default"/>
        <w:sz w:val="24"/>
        <w:szCs w:val="24"/>
        <w:cs/>
      </w:rPr>
    </w:sdtEndPr>
    <w:sdtContent>
      <w:p w:rsidR="00B9259F" w:rsidRDefault="00BE211D">
        <w:pPr>
          <w:pStyle w:val="aa"/>
          <w:jc w:val="center"/>
          <w:rPr>
            <w:rFonts w:hint="default"/>
            <w:rtl/>
            <w:cs/>
          </w:rPr>
        </w:pPr>
        <w:r w:rsidRPr="000135DE">
          <w:rPr>
            <w:rFonts w:ascii="David" w:hAnsi="David" w:cs="David" w:hint="default"/>
            <w:sz w:val="24"/>
            <w:szCs w:val="24"/>
          </w:rPr>
          <w:fldChar w:fldCharType="begin"/>
        </w:r>
        <w:r w:rsidRPr="000135DE">
          <w:rPr>
            <w:rFonts w:ascii="David" w:hAnsi="David" w:cs="David" w:hint="default"/>
            <w:sz w:val="24"/>
            <w:szCs w:val="24"/>
            <w:rtl/>
            <w:cs/>
          </w:rPr>
          <w:instrText xml:space="preserve">PAGE   </w:instrText>
        </w:r>
        <w:r w:rsidRPr="000135DE">
          <w:rPr>
            <w:rFonts w:ascii="David" w:hAnsi="David" w:cs="David" w:hint="default"/>
            <w:sz w:val="24"/>
            <w:szCs w:val="24"/>
            <w:rtl/>
            <w:cs/>
          </w:rPr>
          <w:instrText>\* MERGEFORMAT</w:instrText>
        </w:r>
        <w:r w:rsidRPr="000135DE">
          <w:rPr>
            <w:rFonts w:ascii="David" w:hAnsi="David" w:cs="David" w:hint="default"/>
            <w:sz w:val="24"/>
            <w:szCs w:val="24"/>
          </w:rPr>
          <w:fldChar w:fldCharType="separate"/>
        </w:r>
        <w:r w:rsidR="006254B2" w:rsidRPr="006254B2">
          <w:rPr>
            <w:rFonts w:ascii="David" w:hAnsi="David" w:cs="David" w:hint="default"/>
            <w:noProof/>
            <w:sz w:val="24"/>
            <w:szCs w:val="24"/>
            <w:rtl/>
            <w:lang w:val="he-IL"/>
          </w:rPr>
          <w:t>36</w:t>
        </w:r>
        <w:r w:rsidRPr="000135DE">
          <w:rPr>
            <w:rFonts w:ascii="David" w:hAnsi="David" w:cs="David" w:hint="default"/>
            <w:sz w:val="24"/>
            <w:szCs w:val="24"/>
          </w:rPr>
          <w:fldChar w:fldCharType="end"/>
        </w:r>
      </w:p>
    </w:sdtContent>
  </w:sdt>
  <w:p w:rsidR="00B9259F" w:rsidRDefault="00B9259F">
    <w:pPr>
      <w:pStyle w:val="aa"/>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11D" w:rsidRDefault="00BE211D" w:rsidP="00DC0680">
      <w:pPr>
        <w:spacing w:after="0" w:line="240" w:lineRule="auto"/>
        <w:rPr>
          <w:rFonts w:hint="default"/>
        </w:rPr>
      </w:pPr>
      <w:r>
        <w:rPr>
          <w:rFonts w:hint="cs"/>
        </w:rPr>
        <w:separator/>
      </w:r>
    </w:p>
  </w:footnote>
  <w:footnote w:type="continuationSeparator" w:id="0">
    <w:p w:rsidR="00BE211D" w:rsidRDefault="00BE211D" w:rsidP="00DC0680">
      <w:pPr>
        <w:spacing w:after="0" w:line="240" w:lineRule="auto"/>
        <w:rPr>
          <w:rFonts w:hint="default"/>
        </w:rPr>
      </w:pPr>
      <w:r>
        <w:rPr>
          <w:rFonts w:hint="cs"/>
        </w:rPr>
        <w:continuationSeparator/>
      </w:r>
    </w:p>
  </w:footnote>
  <w:footnote w:id="1">
    <w:p w:rsidR="00B9259F" w:rsidRPr="0011330C" w:rsidRDefault="00BE211D" w:rsidP="009F6B42">
      <w:pPr>
        <w:pStyle w:val="a5"/>
        <w:rPr>
          <w:rFonts w:ascii="David" w:hAnsi="David" w:cs="David" w:hint="default"/>
        </w:rPr>
      </w:pPr>
      <w:r w:rsidRPr="0011330C">
        <w:rPr>
          <w:rStyle w:val="a7"/>
          <w:rFonts w:ascii="David" w:hAnsi="David" w:cs="David" w:hint="default"/>
        </w:rPr>
        <w:footnoteRef/>
      </w:r>
      <w:r w:rsidRPr="0011330C">
        <w:rPr>
          <w:rFonts w:ascii="David" w:hAnsi="David" w:cs="David" w:hint="default"/>
          <w:rtl/>
        </w:rPr>
        <w:t xml:space="preserve"> </w:t>
      </w:r>
      <w:r>
        <w:rPr>
          <w:rFonts w:ascii="David" w:hAnsi="David" w:cs="David" w:hint="cs"/>
          <w:rtl/>
        </w:rPr>
        <w:t>מרים בן-פורת, מבעד לגלימה, בעמ' 153.</w:t>
      </w:r>
    </w:p>
  </w:footnote>
  <w:footnote w:id="2">
    <w:p w:rsidR="00B9259F" w:rsidRPr="00043185" w:rsidRDefault="00BE211D" w:rsidP="00043185">
      <w:pPr>
        <w:pStyle w:val="a5"/>
        <w:spacing w:after="0"/>
        <w:rPr>
          <w:rFonts w:ascii="David" w:hAnsi="David" w:cs="David" w:hint="default"/>
        </w:rPr>
      </w:pPr>
      <w:r w:rsidRPr="00043185">
        <w:rPr>
          <w:rStyle w:val="a7"/>
          <w:rFonts w:ascii="David" w:hAnsi="David" w:cs="David" w:hint="default"/>
        </w:rPr>
        <w:footnoteRef/>
      </w:r>
      <w:r w:rsidRPr="00043185">
        <w:rPr>
          <w:rFonts w:ascii="David" w:hAnsi="David" w:cs="David" w:hint="default"/>
          <w:rtl/>
        </w:rPr>
        <w:t xml:space="preserve"> שם. </w:t>
      </w:r>
    </w:p>
  </w:footnote>
  <w:footnote w:id="3">
    <w:p w:rsidR="00B9259F" w:rsidRPr="00343C71" w:rsidRDefault="00BE211D" w:rsidP="0059004B">
      <w:pPr>
        <w:pStyle w:val="a5"/>
        <w:spacing w:after="0"/>
        <w:rPr>
          <w:rFonts w:ascii="David" w:hAnsi="David" w:cs="David" w:hint="default"/>
        </w:rPr>
      </w:pPr>
      <w:r w:rsidRPr="00043185">
        <w:rPr>
          <w:rStyle w:val="a7"/>
          <w:rFonts w:ascii="David" w:hAnsi="David" w:cs="David" w:hint="default"/>
        </w:rPr>
        <w:footnoteRef/>
      </w:r>
      <w:r w:rsidRPr="00043185">
        <w:rPr>
          <w:rFonts w:ascii="David" w:hAnsi="David" w:cs="David" w:hint="default"/>
          <w:rtl/>
        </w:rPr>
        <w:t xml:space="preserve"> </w:t>
      </w:r>
      <w:r>
        <w:rPr>
          <w:rFonts w:ascii="David" w:hAnsi="David" w:cs="David" w:hint="cs"/>
          <w:rtl/>
        </w:rPr>
        <w:t>ברק קדם,</w:t>
      </w:r>
      <w:r w:rsidRPr="00043185">
        <w:rPr>
          <w:rFonts w:ascii="David" w:hAnsi="David" w:cs="David" w:hint="default"/>
          <w:rtl/>
        </w:rPr>
        <w:t xml:space="preserve"> מדוע קדמוני ברכים – על לידתה ומותה של עילת "חיים בעוולה", </w:t>
      </w:r>
      <w:r>
        <w:rPr>
          <w:rFonts w:ascii="David" w:hAnsi="David" w:cs="David" w:hint="cs"/>
          <w:b/>
          <w:bCs/>
          <w:rtl/>
        </w:rPr>
        <w:t>רפואה ומשפט</w:t>
      </w:r>
      <w:r>
        <w:rPr>
          <w:rFonts w:ascii="David" w:hAnsi="David" w:cs="David" w:hint="cs"/>
          <w:rtl/>
        </w:rPr>
        <w:t xml:space="preserve"> </w:t>
      </w:r>
      <w:r>
        <w:rPr>
          <w:rFonts w:ascii="David" w:hAnsi="David" w:cs="David" w:hint="default"/>
          <w:rtl/>
        </w:rPr>
        <w:t>–</w:t>
      </w:r>
      <w:r>
        <w:rPr>
          <w:rFonts w:ascii="David" w:hAnsi="David" w:cs="David" w:hint="cs"/>
          <w:rtl/>
        </w:rPr>
        <w:t xml:space="preserve"> הולדה בעוולה </w:t>
      </w:r>
      <w:r>
        <w:rPr>
          <w:rFonts w:ascii="David" w:hAnsi="David" w:cs="David" w:hint="default"/>
          <w:rtl/>
        </w:rPr>
        <w:t>–</w:t>
      </w:r>
      <w:r>
        <w:rPr>
          <w:rFonts w:ascii="David" w:hAnsi="David" w:cs="David" w:hint="cs"/>
          <w:rtl/>
        </w:rPr>
        <w:t xml:space="preserve"> ינואר 2015. </w:t>
      </w:r>
    </w:p>
  </w:footnote>
  <w:footnote w:id="4">
    <w:p w:rsidR="00B9259F" w:rsidRPr="00043185" w:rsidRDefault="00BE211D" w:rsidP="00AF3B88">
      <w:pPr>
        <w:pStyle w:val="a5"/>
        <w:spacing w:after="0"/>
        <w:rPr>
          <w:rFonts w:ascii="David" w:hAnsi="David" w:cs="David" w:hint="default"/>
        </w:rPr>
      </w:pPr>
      <w:r w:rsidRPr="00043185">
        <w:rPr>
          <w:rStyle w:val="a7"/>
          <w:rFonts w:ascii="David" w:hAnsi="David" w:cs="David" w:hint="default"/>
        </w:rPr>
        <w:footnoteRef/>
      </w:r>
      <w:r w:rsidRPr="00043185">
        <w:rPr>
          <w:rFonts w:ascii="David" w:hAnsi="David" w:cs="David" w:hint="default"/>
          <w:rtl/>
        </w:rPr>
        <w:t xml:space="preserve"> ע"א 518/82 </w:t>
      </w:r>
      <w:r w:rsidRPr="00043185">
        <w:rPr>
          <w:rFonts w:ascii="David" w:hAnsi="David" w:cs="David" w:hint="default"/>
          <w:b/>
          <w:bCs/>
          <w:rtl/>
        </w:rPr>
        <w:t xml:space="preserve">זייצוב נ' כץ, </w:t>
      </w:r>
      <w:r w:rsidRPr="00043185">
        <w:rPr>
          <w:rFonts w:ascii="David" w:hAnsi="David" w:cs="David" w:hint="default"/>
          <w:rtl/>
        </w:rPr>
        <w:t xml:space="preserve">פ"ד מ(2) 85 (1986). </w:t>
      </w:r>
    </w:p>
  </w:footnote>
  <w:footnote w:id="5">
    <w:p w:rsidR="00B9259F" w:rsidRPr="00043185" w:rsidRDefault="00BE211D" w:rsidP="00B641D6">
      <w:pPr>
        <w:pStyle w:val="a5"/>
        <w:spacing w:after="0"/>
        <w:rPr>
          <w:rFonts w:ascii="David" w:hAnsi="David" w:cs="David" w:hint="default"/>
        </w:rPr>
      </w:pPr>
      <w:r w:rsidRPr="00043185">
        <w:rPr>
          <w:rStyle w:val="a7"/>
          <w:rFonts w:ascii="David" w:hAnsi="David" w:cs="David" w:hint="default"/>
        </w:rPr>
        <w:footnoteRef/>
      </w:r>
      <w:r w:rsidRPr="00043185">
        <w:rPr>
          <w:rFonts w:ascii="David" w:hAnsi="David" w:cs="David" w:hint="default"/>
          <w:rtl/>
        </w:rPr>
        <w:t xml:space="preserve"> </w:t>
      </w:r>
      <w:r>
        <w:rPr>
          <w:rFonts w:ascii="David" w:hAnsi="David" w:cs="David" w:hint="cs"/>
          <w:rtl/>
        </w:rPr>
        <w:t xml:space="preserve">בן-פורת, לעיל ה"ש 1, </w:t>
      </w:r>
      <w:r>
        <w:rPr>
          <w:rFonts w:ascii="David" w:hAnsi="David" w:cs="David" w:hint="cs"/>
          <w:rtl/>
        </w:rPr>
        <w:t>בעמ' 154.</w:t>
      </w:r>
      <w:r w:rsidRPr="00043185">
        <w:rPr>
          <w:rFonts w:ascii="David" w:hAnsi="David" w:cs="David" w:hint="default"/>
          <w:rtl/>
        </w:rPr>
        <w:t xml:space="preserve"> </w:t>
      </w:r>
    </w:p>
  </w:footnote>
  <w:footnote w:id="6">
    <w:p w:rsidR="00B9259F" w:rsidRPr="00043185" w:rsidRDefault="00BE211D" w:rsidP="00AF3B88">
      <w:pPr>
        <w:pStyle w:val="a5"/>
        <w:spacing w:after="0"/>
        <w:rPr>
          <w:rFonts w:ascii="David" w:hAnsi="David" w:cs="David" w:hint="default"/>
        </w:rPr>
      </w:pPr>
      <w:r w:rsidRPr="00043185">
        <w:rPr>
          <w:rStyle w:val="a7"/>
          <w:rFonts w:ascii="David" w:hAnsi="David" w:cs="David" w:hint="default"/>
        </w:rPr>
        <w:footnoteRef/>
      </w:r>
      <w:r w:rsidRPr="00043185">
        <w:rPr>
          <w:rFonts w:ascii="David" w:hAnsi="David" w:cs="David" w:hint="default"/>
          <w:rtl/>
        </w:rPr>
        <w:t xml:space="preserve"> רע"א 1326/07 </w:t>
      </w:r>
      <w:r w:rsidRPr="00043185">
        <w:rPr>
          <w:rFonts w:ascii="David" w:hAnsi="David" w:cs="David" w:hint="default"/>
          <w:b/>
          <w:bCs/>
          <w:rtl/>
        </w:rPr>
        <w:t xml:space="preserve">המר נ' עמית, </w:t>
      </w:r>
      <w:r w:rsidRPr="00043185">
        <w:rPr>
          <w:rFonts w:ascii="David" w:hAnsi="David" w:cs="David" w:hint="default"/>
          <w:rtl/>
        </w:rPr>
        <w:t>(פורסם בנבו, 28.5.2012).</w:t>
      </w:r>
    </w:p>
  </w:footnote>
  <w:footnote w:id="7">
    <w:p w:rsidR="00B9259F" w:rsidRPr="00043185" w:rsidRDefault="00BE211D" w:rsidP="001E6C99">
      <w:pPr>
        <w:pStyle w:val="a5"/>
        <w:spacing w:after="0"/>
        <w:rPr>
          <w:rFonts w:ascii="David" w:hAnsi="David" w:cs="David" w:hint="default"/>
        </w:rPr>
      </w:pPr>
      <w:r w:rsidRPr="00043185">
        <w:rPr>
          <w:rStyle w:val="a7"/>
          <w:rFonts w:ascii="David" w:hAnsi="David" w:cs="David" w:hint="default"/>
        </w:rPr>
        <w:footnoteRef/>
      </w:r>
      <w:r w:rsidRPr="00043185">
        <w:rPr>
          <w:rFonts w:ascii="David" w:hAnsi="David" w:cs="David" w:hint="default"/>
          <w:rtl/>
        </w:rPr>
        <w:t xml:space="preserve"> </w:t>
      </w:r>
      <w:r>
        <w:rPr>
          <w:rFonts w:ascii="David" w:hAnsi="David" w:cs="David" w:hint="cs"/>
          <w:rtl/>
        </w:rPr>
        <w:t>אסף פוזנר,</w:t>
      </w:r>
      <w:r w:rsidRPr="00043185">
        <w:rPr>
          <w:rFonts w:ascii="David" w:hAnsi="David" w:cs="David" w:hint="default"/>
          <w:rtl/>
        </w:rPr>
        <w:t xml:space="preserve"> מזייצוב עד המר: חלק ב' – בין חיים בעוולה להולדה בעוולה: היבטים מעשיים</w:t>
      </w:r>
      <w:r>
        <w:rPr>
          <w:rFonts w:ascii="David" w:hAnsi="David" w:cs="David" w:hint="default"/>
          <w:rtl/>
        </w:rPr>
        <w:t xml:space="preserve"> של הוראות המעבר שבפסק דין המר</w:t>
      </w:r>
      <w:r>
        <w:rPr>
          <w:rFonts w:ascii="David" w:hAnsi="David" w:cs="David" w:hint="cs"/>
          <w:rtl/>
        </w:rPr>
        <w:t>, ספר שלמה לוין (קבץ), 2013.</w:t>
      </w:r>
    </w:p>
  </w:footnote>
  <w:footnote w:id="8">
    <w:p w:rsidR="00B9259F" w:rsidRPr="00043185" w:rsidRDefault="00BE211D" w:rsidP="002A2AA7">
      <w:pPr>
        <w:pStyle w:val="a5"/>
        <w:spacing w:after="0"/>
        <w:rPr>
          <w:rFonts w:ascii="David" w:hAnsi="David" w:cs="David" w:hint="default"/>
        </w:rPr>
      </w:pPr>
      <w:r w:rsidRPr="00043185">
        <w:rPr>
          <w:rStyle w:val="a7"/>
          <w:rFonts w:ascii="David" w:hAnsi="David" w:cs="David" w:hint="default"/>
        </w:rPr>
        <w:footnoteRef/>
      </w:r>
      <w:r w:rsidRPr="00043185">
        <w:rPr>
          <w:rFonts w:ascii="David" w:hAnsi="David" w:cs="David" w:hint="default"/>
          <w:rtl/>
        </w:rPr>
        <w:t xml:space="preserve"> </w:t>
      </w:r>
      <w:r>
        <w:rPr>
          <w:rFonts w:ascii="David" w:hAnsi="David" w:cs="David" w:hint="cs"/>
          <w:rtl/>
        </w:rPr>
        <w:t>ברק קדם, לעיל ה"ש 3, בעמ' 114.</w:t>
      </w:r>
    </w:p>
  </w:footnote>
  <w:footnote w:id="9">
    <w:p w:rsidR="00B9259F" w:rsidRPr="00043185" w:rsidRDefault="00BE211D" w:rsidP="00F26F8E">
      <w:pPr>
        <w:pStyle w:val="a5"/>
        <w:spacing w:after="0"/>
        <w:rPr>
          <w:rFonts w:ascii="David" w:hAnsi="David" w:cs="David" w:hint="default"/>
        </w:rPr>
      </w:pPr>
      <w:r w:rsidRPr="00043185">
        <w:rPr>
          <w:rStyle w:val="a7"/>
          <w:rFonts w:ascii="David" w:hAnsi="David" w:cs="David" w:hint="default"/>
        </w:rPr>
        <w:footnoteRef/>
      </w:r>
      <w:r w:rsidRPr="00043185">
        <w:rPr>
          <w:rFonts w:ascii="David" w:hAnsi="David" w:cs="David" w:hint="default"/>
          <w:rtl/>
        </w:rPr>
        <w:t xml:space="preserve"> </w:t>
      </w:r>
      <w:r>
        <w:rPr>
          <w:rFonts w:ascii="David" w:hAnsi="David" w:cs="David" w:hint="cs"/>
          <w:rtl/>
        </w:rPr>
        <w:t xml:space="preserve">בן-פורת, לעיל </w:t>
      </w:r>
      <w:r>
        <w:rPr>
          <w:rFonts w:ascii="David" w:hAnsi="David" w:cs="David" w:hint="cs"/>
          <w:rtl/>
        </w:rPr>
        <w:t>ה"ש 1, בעמ' 154.</w:t>
      </w:r>
    </w:p>
  </w:footnote>
  <w:footnote w:id="10">
    <w:p w:rsidR="00B9259F" w:rsidRPr="00AB7CB0" w:rsidRDefault="00BE211D" w:rsidP="00F26F8E">
      <w:pPr>
        <w:pStyle w:val="a5"/>
        <w:spacing w:after="0"/>
        <w:rPr>
          <w:rFonts w:ascii="David" w:hAnsi="David" w:cs="David" w:hint="default"/>
        </w:rPr>
      </w:pPr>
      <w:r w:rsidRPr="00043185">
        <w:rPr>
          <w:rStyle w:val="a7"/>
          <w:rFonts w:ascii="David" w:hAnsi="David" w:cs="David" w:hint="default"/>
        </w:rPr>
        <w:footnoteRef/>
      </w:r>
      <w:r w:rsidRPr="00043185">
        <w:rPr>
          <w:rFonts w:ascii="David" w:hAnsi="David" w:cs="David" w:hint="default"/>
          <w:rtl/>
        </w:rPr>
        <w:t xml:space="preserve"> </w:t>
      </w:r>
      <w:r>
        <w:rPr>
          <w:rFonts w:ascii="David" w:hAnsi="David" w:cs="David" w:hint="cs"/>
          <w:rtl/>
        </w:rPr>
        <w:t>ברק קדם, לעיל ה"ש 3, בעמ' 115.</w:t>
      </w:r>
    </w:p>
  </w:footnote>
  <w:footnote w:id="11">
    <w:p w:rsidR="00B9259F" w:rsidRPr="00AB7CB0" w:rsidRDefault="00BE211D" w:rsidP="00D279FB">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rtl/>
        </w:rPr>
        <w:t>שם.</w:t>
      </w:r>
    </w:p>
  </w:footnote>
  <w:footnote w:id="12">
    <w:p w:rsidR="00B9259F" w:rsidRPr="00AB7CB0" w:rsidRDefault="00BE211D" w:rsidP="00D279FB">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rtl/>
        </w:rPr>
        <w:t>בן-פורת, לעיל ה"ש 1, בעמ' 154.</w:t>
      </w:r>
    </w:p>
  </w:footnote>
  <w:footnote w:id="13">
    <w:p w:rsidR="00B9259F" w:rsidRPr="00AB7CB0" w:rsidRDefault="00BE211D" w:rsidP="00D279FB">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b/>
          <w:bCs/>
          <w:rtl/>
        </w:rPr>
        <w:t>עניין</w:t>
      </w:r>
      <w:r w:rsidRPr="00AB7CB0">
        <w:rPr>
          <w:rFonts w:ascii="David" w:hAnsi="David" w:cs="David" w:hint="default"/>
          <w:b/>
          <w:bCs/>
          <w:rtl/>
        </w:rPr>
        <w:t xml:space="preserve"> זייצוב, </w:t>
      </w:r>
      <w:r w:rsidRPr="00AB7CB0">
        <w:rPr>
          <w:rFonts w:ascii="David" w:hAnsi="David" w:cs="David" w:hint="default"/>
          <w:rtl/>
        </w:rPr>
        <w:t xml:space="preserve">לעיל ה"ש </w:t>
      </w:r>
      <w:r>
        <w:rPr>
          <w:rFonts w:ascii="David" w:hAnsi="David" w:cs="David" w:hint="cs"/>
          <w:rtl/>
        </w:rPr>
        <w:t>4</w:t>
      </w:r>
      <w:r w:rsidRPr="00AB7CB0">
        <w:rPr>
          <w:rFonts w:ascii="David" w:hAnsi="David" w:cs="David" w:hint="default"/>
          <w:rtl/>
        </w:rPr>
        <w:t>.</w:t>
      </w:r>
    </w:p>
  </w:footnote>
  <w:footnote w:id="14">
    <w:p w:rsidR="00B9259F" w:rsidRPr="00AB7CB0" w:rsidRDefault="00BE211D" w:rsidP="00CB1130">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sidRPr="00C42292">
        <w:rPr>
          <w:rFonts w:ascii="David" w:hAnsi="David" w:cs="David" w:hint="cs"/>
          <w:rtl/>
        </w:rPr>
        <w:t xml:space="preserve">שמואל ילינק, </w:t>
      </w:r>
      <w:r w:rsidRPr="00C42292">
        <w:rPr>
          <w:rFonts w:ascii="David" w:hAnsi="David" w:cs="David" w:hint="default"/>
          <w:rtl/>
        </w:rPr>
        <w:t>הולדה בעוולה זכויות תביעה ופיצויים</w:t>
      </w:r>
      <w:r>
        <w:rPr>
          <w:rFonts w:ascii="David" w:hAnsi="David" w:cs="David" w:hint="cs"/>
          <w:rtl/>
        </w:rPr>
        <w:t>, תשנ"ז 1997</w:t>
      </w:r>
      <w:r w:rsidRPr="00AB7CB0">
        <w:rPr>
          <w:rFonts w:ascii="David" w:hAnsi="David" w:cs="David" w:hint="default"/>
          <w:rtl/>
        </w:rPr>
        <w:t xml:space="preserve">, עמ' 31. </w:t>
      </w:r>
    </w:p>
  </w:footnote>
  <w:footnote w:id="15">
    <w:p w:rsidR="000A5869" w:rsidRPr="00AB7CB0" w:rsidRDefault="00BE211D" w:rsidP="000A5869">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לעיל ה"ש 12. </w:t>
      </w:r>
    </w:p>
  </w:footnote>
  <w:footnote w:id="16">
    <w:p w:rsidR="000A5869" w:rsidRPr="00AB7CB0" w:rsidRDefault="00BE211D" w:rsidP="000A5869">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ע.א 243/83</w:t>
      </w:r>
      <w:r w:rsidRPr="00AB7CB0">
        <w:rPr>
          <w:rFonts w:ascii="David" w:hAnsi="David" w:cs="David" w:hint="default"/>
          <w:b/>
          <w:bCs/>
          <w:rtl/>
        </w:rPr>
        <w:t xml:space="preserve"> עיריית ירושלים נ' גורדון </w:t>
      </w:r>
      <w:r w:rsidRPr="00AB7CB0">
        <w:rPr>
          <w:rFonts w:ascii="David" w:hAnsi="David" w:cs="David" w:hint="default"/>
          <w:rtl/>
        </w:rPr>
        <w:t xml:space="preserve">פד' לט (1) </w:t>
      </w:r>
      <w:r w:rsidRPr="00AB7CB0">
        <w:rPr>
          <w:rFonts w:ascii="David" w:hAnsi="David" w:cs="David" w:hint="default"/>
          <w:rtl/>
        </w:rPr>
        <w:t>113, 125 ה'.</w:t>
      </w:r>
    </w:p>
  </w:footnote>
  <w:footnote w:id="17">
    <w:p w:rsidR="00B9259F" w:rsidRPr="00AB7CB0" w:rsidRDefault="00BE211D" w:rsidP="009969C2">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עירובין, יג, ע"ב </w:t>
      </w:r>
    </w:p>
  </w:footnote>
  <w:footnote w:id="18">
    <w:p w:rsidR="00B9259F" w:rsidRPr="00AB7CB0" w:rsidRDefault="00BE211D" w:rsidP="00971EAC">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rtl/>
        </w:rPr>
        <w:t>ברק קדם, לעיל ה"ש 3, בעמ' 115.</w:t>
      </w:r>
    </w:p>
  </w:footnote>
  <w:footnote w:id="19">
    <w:p w:rsidR="00B9259F" w:rsidRPr="00AB7CB0" w:rsidRDefault="00BE211D" w:rsidP="00971EAC">
      <w:pPr>
        <w:pStyle w:val="a5"/>
        <w:spacing w:after="0"/>
        <w:rPr>
          <w:rFonts w:ascii="David" w:hAnsi="David" w:cs="David" w:hint="default"/>
          <w:rtl/>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rtl/>
        </w:rPr>
        <w:t>אסף פוזנר, לעיל ה"ש 7, בעמ' 492.</w:t>
      </w:r>
    </w:p>
  </w:footnote>
  <w:footnote w:id="20">
    <w:p w:rsidR="00B9259F" w:rsidRPr="008C0E8A" w:rsidRDefault="00BE211D" w:rsidP="008C0E8A">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rtl/>
        </w:rPr>
        <w:t xml:space="preserve">מיכאל ויגודה, </w:t>
      </w:r>
      <w:r w:rsidRPr="00AB7CB0">
        <w:rPr>
          <w:rFonts w:ascii="David" w:hAnsi="David" w:cs="David" w:hint="default"/>
          <w:rtl/>
        </w:rPr>
        <w:t xml:space="preserve">הרהורים על "חיים בעוולה" </w:t>
      </w:r>
      <w:r w:rsidRPr="00AB7CB0">
        <w:rPr>
          <w:rFonts w:ascii="David" w:hAnsi="David" w:cs="David" w:hint="default"/>
        </w:rPr>
        <w:t>(wrongful life)</w:t>
      </w:r>
      <w:r w:rsidRPr="00AB7CB0">
        <w:rPr>
          <w:rFonts w:ascii="David" w:hAnsi="David" w:cs="David" w:hint="default"/>
          <w:rtl/>
        </w:rPr>
        <w:t xml:space="preserve"> לאור מקורות המשפט העברי, </w:t>
      </w:r>
      <w:r>
        <w:rPr>
          <w:rFonts w:ascii="David" w:hAnsi="David" w:cs="David" w:hint="cs"/>
          <w:b/>
          <w:bCs/>
          <w:rtl/>
        </w:rPr>
        <w:t xml:space="preserve">רפואה ומשפט, </w:t>
      </w:r>
      <w:r>
        <w:rPr>
          <w:rFonts w:ascii="David" w:hAnsi="David" w:cs="David" w:hint="cs"/>
          <w:rtl/>
        </w:rPr>
        <w:t>2013.</w:t>
      </w:r>
    </w:p>
  </w:footnote>
  <w:footnote w:id="21">
    <w:p w:rsidR="00B9259F" w:rsidRPr="00AB7CB0" w:rsidRDefault="00BE211D" w:rsidP="008503CE">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b/>
          <w:bCs/>
          <w:rtl/>
        </w:rPr>
        <w:t>עניין</w:t>
      </w:r>
      <w:r w:rsidRPr="00AB7CB0">
        <w:rPr>
          <w:rFonts w:ascii="David" w:hAnsi="David" w:cs="David" w:hint="default"/>
          <w:b/>
          <w:bCs/>
          <w:rtl/>
        </w:rPr>
        <w:t xml:space="preserve"> זייצוב, </w:t>
      </w:r>
      <w:r w:rsidRPr="00AB7CB0">
        <w:rPr>
          <w:rFonts w:ascii="David" w:hAnsi="David" w:cs="David" w:hint="default"/>
          <w:rtl/>
        </w:rPr>
        <w:t xml:space="preserve">לעיל ה"ש </w:t>
      </w:r>
      <w:r>
        <w:rPr>
          <w:rFonts w:ascii="David" w:hAnsi="David" w:cs="David" w:hint="cs"/>
          <w:rtl/>
        </w:rPr>
        <w:t>4</w:t>
      </w:r>
      <w:r w:rsidRPr="00AB7CB0">
        <w:rPr>
          <w:rFonts w:ascii="David" w:hAnsi="David" w:cs="David" w:hint="default"/>
          <w:rtl/>
        </w:rPr>
        <w:t xml:space="preserve">, בעמ' 99. </w:t>
      </w:r>
    </w:p>
  </w:footnote>
  <w:footnote w:id="22">
    <w:p w:rsidR="00B9259F" w:rsidRPr="00AB7CB0" w:rsidRDefault="00BE211D" w:rsidP="00F75F42">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default"/>
          <w:rtl/>
        </w:rPr>
        <w:t>מיכאל ויגודה</w:t>
      </w:r>
      <w:r>
        <w:rPr>
          <w:rFonts w:ascii="David" w:hAnsi="David" w:cs="David" w:hint="cs"/>
          <w:rtl/>
        </w:rPr>
        <w:t xml:space="preserve">, </w:t>
      </w:r>
      <w:r>
        <w:rPr>
          <w:rFonts w:ascii="David" w:hAnsi="David" w:cs="David" w:hint="cs"/>
          <w:rtl/>
        </w:rPr>
        <w:t>לעיל ה"ש 20, בעמ' 97.</w:t>
      </w:r>
    </w:p>
  </w:footnote>
  <w:footnote w:id="23">
    <w:p w:rsidR="00B9259F" w:rsidRPr="00AB7CB0" w:rsidRDefault="00BE211D" w:rsidP="008503CE">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b/>
          <w:bCs/>
          <w:rtl/>
        </w:rPr>
        <w:t>עניין</w:t>
      </w:r>
      <w:r w:rsidRPr="00AB7CB0">
        <w:rPr>
          <w:rFonts w:ascii="David" w:hAnsi="David" w:cs="David" w:hint="default"/>
          <w:b/>
          <w:bCs/>
          <w:rtl/>
        </w:rPr>
        <w:t xml:space="preserve"> זייצוב, </w:t>
      </w:r>
      <w:r w:rsidRPr="00AB7CB0">
        <w:rPr>
          <w:rFonts w:ascii="David" w:hAnsi="David" w:cs="David" w:hint="default"/>
          <w:rtl/>
        </w:rPr>
        <w:t xml:space="preserve">לעיל ה"ש </w:t>
      </w:r>
      <w:r>
        <w:rPr>
          <w:rFonts w:ascii="David" w:hAnsi="David" w:cs="David" w:hint="cs"/>
          <w:rtl/>
        </w:rPr>
        <w:t>4</w:t>
      </w:r>
      <w:r w:rsidRPr="00AB7CB0">
        <w:rPr>
          <w:rFonts w:ascii="David" w:hAnsi="David" w:cs="David" w:hint="default"/>
          <w:rtl/>
        </w:rPr>
        <w:t>, בעמ' 97.</w:t>
      </w:r>
    </w:p>
  </w:footnote>
  <w:footnote w:id="24">
    <w:p w:rsidR="00B9259F" w:rsidRPr="00AB7CB0" w:rsidRDefault="00BE211D" w:rsidP="00F244C6">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ע"א 461/62 </w:t>
      </w:r>
      <w:r w:rsidRPr="00AB7CB0">
        <w:rPr>
          <w:rFonts w:ascii="David" w:hAnsi="David" w:cs="David" w:hint="default"/>
          <w:b/>
          <w:bCs/>
          <w:rtl/>
        </w:rPr>
        <w:t xml:space="preserve">צים חברת השייט הישראלי בע"מ נ' מזאיר, </w:t>
      </w:r>
      <w:r w:rsidRPr="00AB7CB0">
        <w:rPr>
          <w:rFonts w:ascii="David" w:hAnsi="David" w:cs="David" w:hint="default"/>
          <w:rtl/>
        </w:rPr>
        <w:t>פ"ד יז 1319, 1333 (1963).</w:t>
      </w:r>
    </w:p>
  </w:footnote>
  <w:footnote w:id="25">
    <w:p w:rsidR="00B9259F" w:rsidRPr="00AB7CB0" w:rsidRDefault="00BE211D" w:rsidP="00CC03DA">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rtl/>
        </w:rPr>
        <w:t>ברק קדם, לעיל ה"ש 3, בעמ' 116.</w:t>
      </w:r>
    </w:p>
  </w:footnote>
  <w:footnote w:id="26">
    <w:p w:rsidR="00B9259F" w:rsidRPr="00AB7CB0" w:rsidRDefault="00BE211D" w:rsidP="00BA3253">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default"/>
          <w:rtl/>
        </w:rPr>
        <w:t>מיכאל ויגודה</w:t>
      </w:r>
      <w:r>
        <w:rPr>
          <w:rFonts w:ascii="David" w:hAnsi="David" w:cs="David" w:hint="cs"/>
          <w:rtl/>
        </w:rPr>
        <w:t>, לעיל ה"ש 20, בעמ' 96.</w:t>
      </w:r>
    </w:p>
  </w:footnote>
  <w:footnote w:id="27">
    <w:p w:rsidR="00B9259F" w:rsidRDefault="00BE211D" w:rsidP="001B16EB">
      <w:pPr>
        <w:pStyle w:val="a5"/>
        <w:spacing w:after="0"/>
        <w:rPr>
          <w:rFonts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b/>
          <w:bCs/>
          <w:rtl/>
        </w:rPr>
        <w:t>עניין</w:t>
      </w:r>
      <w:r w:rsidRPr="00AB7CB0">
        <w:rPr>
          <w:rFonts w:ascii="David" w:hAnsi="David" w:cs="David" w:hint="default"/>
          <w:b/>
          <w:bCs/>
          <w:rtl/>
        </w:rPr>
        <w:t xml:space="preserve"> זייצוב, </w:t>
      </w:r>
      <w:r w:rsidRPr="00AB7CB0">
        <w:rPr>
          <w:rFonts w:ascii="David" w:hAnsi="David" w:cs="David" w:hint="default"/>
          <w:rtl/>
        </w:rPr>
        <w:t xml:space="preserve">לעיל ה"ש </w:t>
      </w:r>
      <w:r>
        <w:rPr>
          <w:rFonts w:ascii="David" w:hAnsi="David" w:cs="David" w:hint="cs"/>
          <w:rtl/>
        </w:rPr>
        <w:t>4</w:t>
      </w:r>
      <w:r w:rsidRPr="00AB7CB0">
        <w:rPr>
          <w:rFonts w:ascii="David" w:hAnsi="David" w:cs="David" w:hint="default"/>
          <w:rtl/>
        </w:rPr>
        <w:t xml:space="preserve">, בפס' 22 לפסק דינו של </w:t>
      </w:r>
      <w:r w:rsidRPr="00AB7CB0">
        <w:rPr>
          <w:rFonts w:ascii="David" w:hAnsi="David" w:cs="David" w:hint="default"/>
          <w:rtl/>
        </w:rPr>
        <w:t>השופט ברק.</w:t>
      </w:r>
      <w:r>
        <w:rPr>
          <w:rFonts w:ascii="David (Hebrew)" w:hAnsi="David (Hebrew)" w:cs="David (Hebrew)"/>
          <w:rtl/>
        </w:rPr>
        <w:t xml:space="preserve"> </w:t>
      </w:r>
    </w:p>
  </w:footnote>
  <w:footnote w:id="28">
    <w:p w:rsidR="00B9259F" w:rsidRPr="00AB7CB0" w:rsidRDefault="00BE211D" w:rsidP="001B16EB">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b/>
          <w:bCs/>
          <w:rtl/>
        </w:rPr>
        <w:t>עניין</w:t>
      </w:r>
      <w:r w:rsidRPr="00AB7CB0">
        <w:rPr>
          <w:rFonts w:ascii="David" w:hAnsi="David" w:cs="David" w:hint="default"/>
          <w:b/>
          <w:bCs/>
          <w:rtl/>
        </w:rPr>
        <w:t xml:space="preserve"> זייצוב, </w:t>
      </w:r>
      <w:r w:rsidRPr="00AB7CB0">
        <w:rPr>
          <w:rFonts w:ascii="David" w:hAnsi="David" w:cs="David" w:hint="default"/>
          <w:rtl/>
        </w:rPr>
        <w:t xml:space="preserve">לעיל ה"ש </w:t>
      </w:r>
      <w:r>
        <w:rPr>
          <w:rFonts w:ascii="David" w:hAnsi="David" w:cs="David" w:hint="cs"/>
          <w:rtl/>
        </w:rPr>
        <w:t>4</w:t>
      </w:r>
      <w:r w:rsidRPr="00AB7CB0">
        <w:rPr>
          <w:rFonts w:ascii="David" w:hAnsi="David" w:cs="David" w:hint="default"/>
          <w:rtl/>
        </w:rPr>
        <w:t>, בעמ' 117-118.</w:t>
      </w:r>
    </w:p>
  </w:footnote>
  <w:footnote w:id="29">
    <w:p w:rsidR="00B9259F" w:rsidRPr="00AB7CB0" w:rsidRDefault="00BE211D" w:rsidP="001B16EB">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b/>
          <w:bCs/>
          <w:rtl/>
        </w:rPr>
        <w:t>עניין</w:t>
      </w:r>
      <w:r w:rsidRPr="00AB7CB0">
        <w:rPr>
          <w:rFonts w:ascii="David" w:hAnsi="David" w:cs="David" w:hint="default"/>
          <w:b/>
          <w:bCs/>
          <w:rtl/>
        </w:rPr>
        <w:t xml:space="preserve"> זייצוב, </w:t>
      </w:r>
      <w:r w:rsidRPr="00AB7CB0">
        <w:rPr>
          <w:rFonts w:ascii="David" w:hAnsi="David" w:cs="David" w:hint="default"/>
          <w:rtl/>
        </w:rPr>
        <w:t xml:space="preserve">לעיל ה"ש </w:t>
      </w:r>
      <w:r>
        <w:rPr>
          <w:rFonts w:ascii="David" w:hAnsi="David" w:cs="David" w:hint="cs"/>
          <w:rtl/>
        </w:rPr>
        <w:t>4</w:t>
      </w:r>
      <w:r w:rsidRPr="00AB7CB0">
        <w:rPr>
          <w:rFonts w:ascii="David" w:hAnsi="David" w:cs="David" w:hint="default"/>
          <w:rtl/>
        </w:rPr>
        <w:t>, פס' 8 ל</w:t>
      </w:r>
      <w:r>
        <w:rPr>
          <w:rFonts w:ascii="David" w:hAnsi="David" w:cs="David" w:hint="default"/>
          <w:rtl/>
        </w:rPr>
        <w:t>פסק דינה של השופטת בו-פורת, בעמ</w:t>
      </w:r>
      <w:r>
        <w:rPr>
          <w:rFonts w:ascii="David" w:hAnsi="David" w:cs="David" w:hint="cs"/>
          <w:rtl/>
        </w:rPr>
        <w:t>'</w:t>
      </w:r>
      <w:r>
        <w:rPr>
          <w:rFonts w:ascii="David" w:hAnsi="David" w:cs="David" w:hint="default"/>
          <w:rtl/>
        </w:rPr>
        <w:t xml:space="preserve"> 103-106.</w:t>
      </w:r>
      <w:r>
        <w:rPr>
          <w:rFonts w:ascii="David" w:hAnsi="David" w:cs="David" w:hint="cs"/>
          <w:rtl/>
        </w:rPr>
        <w:t>ד</w:t>
      </w:r>
    </w:p>
  </w:footnote>
  <w:footnote w:id="30">
    <w:p w:rsidR="00B9259F" w:rsidRPr="00F94949" w:rsidRDefault="00BE211D" w:rsidP="00D8436D">
      <w:pPr>
        <w:pStyle w:val="a5"/>
        <w:spacing w:after="0"/>
        <w:rPr>
          <w:rFonts w:ascii="David" w:hAnsi="David" w:cs="David" w:hint="default"/>
        </w:rPr>
      </w:pPr>
      <w:r w:rsidRPr="00F94949">
        <w:rPr>
          <w:rStyle w:val="a7"/>
          <w:rFonts w:ascii="David" w:hAnsi="David" w:cs="David" w:hint="default"/>
        </w:rPr>
        <w:footnoteRef/>
      </w:r>
      <w:r w:rsidRPr="00F94949">
        <w:rPr>
          <w:rFonts w:ascii="David" w:hAnsi="David" w:cs="David" w:hint="default"/>
          <w:rtl/>
        </w:rPr>
        <w:t xml:space="preserve"> </w:t>
      </w:r>
      <w:r w:rsidRPr="00F94949">
        <w:rPr>
          <w:rFonts w:ascii="David" w:hAnsi="David" w:cs="David" w:hint="default"/>
          <w:b/>
          <w:bCs/>
          <w:rtl/>
        </w:rPr>
        <w:t xml:space="preserve">פרשת זייצוב, </w:t>
      </w:r>
      <w:r w:rsidRPr="00F94949">
        <w:rPr>
          <w:rFonts w:ascii="David" w:hAnsi="David" w:cs="David" w:hint="default"/>
          <w:rtl/>
        </w:rPr>
        <w:t xml:space="preserve">לעיל ה"ש 2, פס' 7 לפסק דינו של השופט גולדברג. </w:t>
      </w:r>
    </w:p>
  </w:footnote>
  <w:footnote w:id="31">
    <w:p w:rsidR="00B9259F" w:rsidRPr="00F94949" w:rsidRDefault="00BE211D" w:rsidP="00D8436D">
      <w:pPr>
        <w:pStyle w:val="a5"/>
        <w:spacing w:after="0"/>
        <w:rPr>
          <w:rFonts w:ascii="David" w:hAnsi="David" w:cs="David" w:hint="default"/>
        </w:rPr>
      </w:pPr>
      <w:r w:rsidRPr="00F94949">
        <w:rPr>
          <w:rStyle w:val="a7"/>
          <w:rFonts w:ascii="David" w:hAnsi="David" w:cs="David" w:hint="default"/>
        </w:rPr>
        <w:footnoteRef/>
      </w:r>
      <w:r w:rsidRPr="00F94949">
        <w:rPr>
          <w:rFonts w:ascii="David" w:hAnsi="David" w:cs="David" w:hint="default"/>
          <w:rtl/>
        </w:rPr>
        <w:t xml:space="preserve"> ת"א (מחוזי ב"ש) 3344/04 </w:t>
      </w:r>
      <w:r w:rsidRPr="00F94949">
        <w:rPr>
          <w:rFonts w:ascii="David" w:hAnsi="David" w:cs="David" w:hint="default"/>
          <w:b/>
          <w:bCs/>
          <w:rtl/>
        </w:rPr>
        <w:t xml:space="preserve">ר.וו (קטין) נ' מכבי שירותי בריאות </w:t>
      </w:r>
      <w:r w:rsidRPr="00F94949">
        <w:rPr>
          <w:rFonts w:ascii="David" w:hAnsi="David" w:cs="David" w:hint="default"/>
          <w:rtl/>
        </w:rPr>
        <w:t>(פורסם בנבו, 31.8.2008).</w:t>
      </w:r>
    </w:p>
  </w:footnote>
  <w:footnote w:id="32">
    <w:p w:rsidR="00B9259F" w:rsidRPr="00F94949" w:rsidRDefault="00BE211D" w:rsidP="00D8436D">
      <w:pPr>
        <w:pStyle w:val="a5"/>
        <w:spacing w:after="0"/>
        <w:rPr>
          <w:rFonts w:ascii="David" w:hAnsi="David" w:cs="David" w:hint="default"/>
        </w:rPr>
      </w:pPr>
      <w:r w:rsidRPr="00F94949">
        <w:rPr>
          <w:rStyle w:val="a7"/>
          <w:rFonts w:ascii="David" w:hAnsi="David" w:cs="David" w:hint="default"/>
        </w:rPr>
        <w:footnoteRef/>
      </w:r>
      <w:r w:rsidRPr="00F94949">
        <w:rPr>
          <w:rFonts w:ascii="David" w:hAnsi="David" w:cs="David" w:hint="default"/>
          <w:rtl/>
        </w:rPr>
        <w:t xml:space="preserve"> ת"א (מחוזי י-ם) 8208/06 </w:t>
      </w:r>
      <w:r w:rsidRPr="00F94949">
        <w:rPr>
          <w:rFonts w:ascii="David" w:hAnsi="David" w:cs="David" w:hint="default"/>
          <w:b/>
          <w:bCs/>
          <w:rtl/>
        </w:rPr>
        <w:t xml:space="preserve">סבגיאן נ' מכבי שירותי בריאות </w:t>
      </w:r>
      <w:r w:rsidRPr="00F94949">
        <w:rPr>
          <w:rFonts w:ascii="David" w:hAnsi="David" w:cs="David" w:hint="default"/>
          <w:rtl/>
        </w:rPr>
        <w:t xml:space="preserve">(פורסם בנבו, 29.1.2009), ע"א 4960/04 </w:t>
      </w:r>
      <w:r w:rsidRPr="00F94949">
        <w:rPr>
          <w:rFonts w:ascii="David" w:hAnsi="David" w:cs="David" w:hint="default"/>
          <w:b/>
          <w:bCs/>
          <w:rtl/>
        </w:rPr>
        <w:t xml:space="preserve">סידי נ' קופת חולים של ההסתדרות הכללית </w:t>
      </w:r>
      <w:r w:rsidRPr="00F94949">
        <w:rPr>
          <w:rFonts w:ascii="David" w:hAnsi="David" w:cs="David" w:hint="default"/>
          <w:rtl/>
        </w:rPr>
        <w:t>(פורסם בנבו, 19.2.2005).</w:t>
      </w:r>
    </w:p>
  </w:footnote>
  <w:footnote w:id="33">
    <w:p w:rsidR="00B9259F" w:rsidRPr="00F94949" w:rsidRDefault="00BE211D" w:rsidP="002C3C03">
      <w:pPr>
        <w:pStyle w:val="a5"/>
        <w:spacing w:after="0"/>
        <w:rPr>
          <w:rFonts w:ascii="David" w:hAnsi="David" w:cs="David" w:hint="default"/>
        </w:rPr>
      </w:pPr>
      <w:r w:rsidRPr="00F94949">
        <w:rPr>
          <w:rStyle w:val="a7"/>
          <w:rFonts w:ascii="David" w:hAnsi="David" w:cs="David" w:hint="default"/>
        </w:rPr>
        <w:footnoteRef/>
      </w:r>
      <w:r w:rsidRPr="00F94949">
        <w:rPr>
          <w:rFonts w:ascii="David" w:hAnsi="David" w:cs="David" w:hint="default"/>
          <w:rtl/>
        </w:rPr>
        <w:t xml:space="preserve"> שם. </w:t>
      </w:r>
    </w:p>
  </w:footnote>
  <w:footnote w:id="34">
    <w:p w:rsidR="00B9259F" w:rsidRDefault="00BE211D" w:rsidP="002C3C03">
      <w:pPr>
        <w:pStyle w:val="a5"/>
        <w:spacing w:after="0"/>
        <w:rPr>
          <w:rFonts w:hint="default"/>
        </w:rPr>
      </w:pPr>
      <w:r w:rsidRPr="00F94949">
        <w:rPr>
          <w:rStyle w:val="a7"/>
          <w:rFonts w:ascii="David" w:hAnsi="David" w:cs="David" w:hint="default"/>
        </w:rPr>
        <w:footnoteRef/>
      </w:r>
      <w:r w:rsidRPr="00F94949">
        <w:rPr>
          <w:rFonts w:ascii="David" w:hAnsi="David" w:cs="David" w:hint="default"/>
          <w:rtl/>
        </w:rPr>
        <w:t xml:space="preserve"> שם.</w:t>
      </w:r>
    </w:p>
  </w:footnote>
  <w:footnote w:id="35">
    <w:p w:rsidR="001E5935" w:rsidRPr="00F94949" w:rsidRDefault="00BE211D" w:rsidP="001E5935">
      <w:pPr>
        <w:pStyle w:val="a5"/>
        <w:spacing w:after="0"/>
        <w:rPr>
          <w:rFonts w:ascii="David" w:hAnsi="David" w:cs="David" w:hint="default"/>
        </w:rPr>
      </w:pPr>
      <w:r w:rsidRPr="00F94949">
        <w:rPr>
          <w:rStyle w:val="a7"/>
          <w:rFonts w:ascii="David" w:hAnsi="David" w:cs="David" w:hint="default"/>
        </w:rPr>
        <w:footnoteRef/>
      </w:r>
      <w:r w:rsidRPr="00F94949">
        <w:rPr>
          <w:rFonts w:ascii="David" w:hAnsi="David" w:cs="David" w:hint="default"/>
          <w:rtl/>
        </w:rPr>
        <w:t xml:space="preserve"> </w:t>
      </w:r>
      <w:r w:rsidRPr="00F94949">
        <w:rPr>
          <w:rFonts w:ascii="David" w:hAnsi="David" w:cs="David" w:hint="default"/>
          <w:b/>
          <w:bCs/>
          <w:rtl/>
        </w:rPr>
        <w:t xml:space="preserve">עניין המר, </w:t>
      </w:r>
      <w:r w:rsidRPr="00F94949">
        <w:rPr>
          <w:rFonts w:ascii="David" w:hAnsi="David" w:cs="David" w:hint="default"/>
          <w:rtl/>
        </w:rPr>
        <w:t xml:space="preserve">לעיל ה"ש 6, בפס' 12 לפסק דינו של השופט ריבלין. </w:t>
      </w:r>
    </w:p>
  </w:footnote>
  <w:footnote w:id="36">
    <w:p w:rsidR="001E5935" w:rsidRPr="00F94949" w:rsidRDefault="00BE211D" w:rsidP="001E5935">
      <w:pPr>
        <w:pStyle w:val="a5"/>
        <w:spacing w:after="0"/>
        <w:rPr>
          <w:rFonts w:ascii="David" w:hAnsi="David" w:cs="David" w:hint="default"/>
        </w:rPr>
      </w:pPr>
      <w:r w:rsidRPr="00F94949">
        <w:rPr>
          <w:rStyle w:val="a7"/>
          <w:rFonts w:ascii="David" w:hAnsi="David" w:cs="David" w:hint="default"/>
        </w:rPr>
        <w:footnoteRef/>
      </w:r>
      <w:r w:rsidRPr="00F94949">
        <w:rPr>
          <w:rFonts w:ascii="David" w:hAnsi="David" w:cs="David" w:hint="default"/>
          <w:rtl/>
        </w:rPr>
        <w:t xml:space="preserve"> אמנון כרמי, בריאות ומשפט, כרך א',</w:t>
      </w:r>
      <w:r>
        <w:rPr>
          <w:rFonts w:ascii="David" w:hAnsi="David" w:cs="David" w:hint="cs"/>
          <w:rtl/>
        </w:rPr>
        <w:t xml:space="preserve"> תשע"ד 2013,</w:t>
      </w:r>
      <w:r w:rsidRPr="00F94949">
        <w:rPr>
          <w:rFonts w:ascii="David" w:hAnsi="David" w:cs="David" w:hint="default"/>
          <w:rtl/>
        </w:rPr>
        <w:t xml:space="preserve"> בעמ' 165.</w:t>
      </w:r>
    </w:p>
  </w:footnote>
  <w:footnote w:id="37">
    <w:p w:rsidR="001E5935" w:rsidRPr="00F94949" w:rsidRDefault="00BE211D" w:rsidP="001E5935">
      <w:pPr>
        <w:pStyle w:val="a5"/>
        <w:spacing w:after="0"/>
        <w:rPr>
          <w:rFonts w:ascii="David" w:hAnsi="David" w:cs="David" w:hint="default"/>
        </w:rPr>
      </w:pPr>
      <w:r w:rsidRPr="00F94949">
        <w:rPr>
          <w:rStyle w:val="a7"/>
          <w:rFonts w:ascii="David" w:hAnsi="David" w:cs="David" w:hint="default"/>
        </w:rPr>
        <w:footnoteRef/>
      </w:r>
      <w:r w:rsidRPr="00F94949">
        <w:rPr>
          <w:rFonts w:ascii="David" w:hAnsi="David" w:cs="David" w:hint="default"/>
          <w:rtl/>
        </w:rPr>
        <w:t xml:space="preserve"> </w:t>
      </w:r>
      <w:r w:rsidRPr="00F94949">
        <w:rPr>
          <w:rFonts w:ascii="David" w:hAnsi="David" w:cs="David" w:hint="default"/>
          <w:b/>
          <w:bCs/>
          <w:rtl/>
        </w:rPr>
        <w:t>עניין</w:t>
      </w:r>
      <w:r w:rsidRPr="00F94949">
        <w:rPr>
          <w:rFonts w:ascii="David" w:hAnsi="David" w:cs="David" w:hint="default"/>
          <w:rtl/>
        </w:rPr>
        <w:t xml:space="preserve"> </w:t>
      </w:r>
      <w:r w:rsidRPr="00F94949">
        <w:rPr>
          <w:rFonts w:ascii="David" w:hAnsi="David" w:cs="David" w:hint="default"/>
          <w:b/>
          <w:bCs/>
          <w:rtl/>
        </w:rPr>
        <w:t>המר</w:t>
      </w:r>
      <w:r w:rsidRPr="00F94949">
        <w:rPr>
          <w:rFonts w:ascii="David" w:hAnsi="David" w:cs="David" w:hint="default"/>
          <w:rtl/>
        </w:rPr>
        <w:t xml:space="preserve">, לעיל ה"ש 6. </w:t>
      </w:r>
    </w:p>
  </w:footnote>
  <w:footnote w:id="38">
    <w:p w:rsidR="00B9259F" w:rsidRPr="00AB7CB0" w:rsidRDefault="00BE211D" w:rsidP="00F94949">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b/>
          <w:bCs/>
          <w:rtl/>
        </w:rPr>
        <w:t>עניין</w:t>
      </w:r>
      <w:r w:rsidRPr="00AB7CB0">
        <w:rPr>
          <w:rFonts w:ascii="David" w:hAnsi="David" w:cs="David" w:hint="default"/>
          <w:b/>
          <w:bCs/>
          <w:rtl/>
        </w:rPr>
        <w:t xml:space="preserve"> המר</w:t>
      </w:r>
      <w:r w:rsidRPr="00AB7CB0">
        <w:rPr>
          <w:rFonts w:ascii="David" w:hAnsi="David" w:cs="David" w:hint="default"/>
          <w:rtl/>
        </w:rPr>
        <w:t xml:space="preserve">, לעיל ה"ש </w:t>
      </w:r>
      <w:r>
        <w:rPr>
          <w:rFonts w:ascii="David" w:hAnsi="David" w:cs="David" w:hint="cs"/>
          <w:rtl/>
        </w:rPr>
        <w:t>6</w:t>
      </w:r>
      <w:r w:rsidRPr="00AB7CB0">
        <w:rPr>
          <w:rFonts w:ascii="David" w:hAnsi="David" w:cs="David" w:hint="default"/>
          <w:rtl/>
        </w:rPr>
        <w:t>, לפסק דינו של המשנה לנשיא רובינשטיין, בעמ'  880.</w:t>
      </w:r>
    </w:p>
  </w:footnote>
  <w:footnote w:id="39">
    <w:p w:rsidR="00B9259F" w:rsidRPr="00AB7CB0" w:rsidRDefault="00BE211D" w:rsidP="00F94949">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b/>
          <w:bCs/>
          <w:rtl/>
        </w:rPr>
        <w:t>עניין</w:t>
      </w:r>
      <w:r w:rsidRPr="00AB7CB0">
        <w:rPr>
          <w:rFonts w:ascii="David" w:hAnsi="David" w:cs="David" w:hint="default"/>
          <w:b/>
          <w:bCs/>
          <w:rtl/>
        </w:rPr>
        <w:t xml:space="preserve"> המר</w:t>
      </w:r>
      <w:r w:rsidRPr="00AB7CB0">
        <w:rPr>
          <w:rFonts w:ascii="David" w:hAnsi="David" w:cs="David" w:hint="default"/>
          <w:rtl/>
        </w:rPr>
        <w:t xml:space="preserve">, לעיל ה"ש </w:t>
      </w:r>
      <w:r>
        <w:rPr>
          <w:rFonts w:ascii="David" w:hAnsi="David" w:cs="David" w:hint="cs"/>
          <w:rtl/>
        </w:rPr>
        <w:t>6</w:t>
      </w:r>
      <w:r w:rsidRPr="00AB7CB0">
        <w:rPr>
          <w:rFonts w:ascii="David" w:hAnsi="David" w:cs="David" w:hint="default"/>
          <w:rtl/>
        </w:rPr>
        <w:t>, פסקה טז' להוראת המעבר, בעמ' 879.</w:t>
      </w:r>
    </w:p>
  </w:footnote>
  <w:footnote w:id="40">
    <w:p w:rsidR="00B9259F" w:rsidRPr="00AB7CB0" w:rsidRDefault="00BE211D" w:rsidP="00AB7CB0">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שם.</w:t>
      </w:r>
    </w:p>
  </w:footnote>
  <w:footnote w:id="41">
    <w:p w:rsidR="00B9259F" w:rsidRPr="00AB7CB0" w:rsidRDefault="00BE211D" w:rsidP="00AB7CB0">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רע"א 9444/12 </w:t>
      </w:r>
      <w:r w:rsidRPr="00AB7CB0">
        <w:rPr>
          <w:rFonts w:ascii="David" w:hAnsi="David" w:cs="David" w:hint="default"/>
          <w:b/>
          <w:bCs/>
          <w:rtl/>
        </w:rPr>
        <w:t>ד"ר דן זאבי נ' פלוני</w:t>
      </w:r>
      <w:r w:rsidRPr="00AB7CB0">
        <w:rPr>
          <w:rFonts w:ascii="David" w:hAnsi="David" w:cs="David" w:hint="default"/>
          <w:rtl/>
        </w:rPr>
        <w:t>,</w:t>
      </w:r>
      <w:r w:rsidRPr="00AB7CB0">
        <w:rPr>
          <w:rFonts w:ascii="David" w:hAnsi="David" w:cs="David" w:hint="default"/>
          <w:rtl/>
        </w:rPr>
        <w:t xml:space="preserve"> (פורסם בנבו 08.04.2013).</w:t>
      </w:r>
    </w:p>
  </w:footnote>
  <w:footnote w:id="42">
    <w:p w:rsidR="00B9259F" w:rsidRPr="00AB7CB0" w:rsidRDefault="00BE211D" w:rsidP="00B979CE">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רע"א 4512/13 </w:t>
      </w:r>
      <w:r w:rsidRPr="00AB7CB0">
        <w:rPr>
          <w:rFonts w:ascii="David" w:hAnsi="David" w:cs="David" w:hint="default"/>
          <w:b/>
          <w:bCs/>
          <w:rtl/>
        </w:rPr>
        <w:t>בית החולים אגודת הסהר האדום נ' פלוני</w:t>
      </w:r>
      <w:r w:rsidRPr="00AB7CB0">
        <w:rPr>
          <w:rFonts w:ascii="David" w:hAnsi="David" w:cs="David" w:hint="default"/>
          <w:rtl/>
        </w:rPr>
        <w:t>, (פורסם בנבו 28.8.2014).</w:t>
      </w:r>
    </w:p>
  </w:footnote>
  <w:footnote w:id="43">
    <w:p w:rsidR="00B9259F" w:rsidRPr="00AB7CB0" w:rsidRDefault="00BE211D" w:rsidP="00256DB4">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b/>
          <w:bCs/>
          <w:rtl/>
        </w:rPr>
        <w:t>עניין</w:t>
      </w:r>
      <w:r w:rsidRPr="00AB7CB0">
        <w:rPr>
          <w:rFonts w:ascii="David" w:hAnsi="David" w:cs="David" w:hint="default"/>
          <w:b/>
          <w:bCs/>
          <w:rtl/>
        </w:rPr>
        <w:t xml:space="preserve"> המר</w:t>
      </w:r>
      <w:r w:rsidRPr="00AB7CB0">
        <w:rPr>
          <w:rFonts w:ascii="David" w:hAnsi="David" w:cs="David" w:hint="default"/>
          <w:rtl/>
        </w:rPr>
        <w:t xml:space="preserve">, לעיל ה"ש </w:t>
      </w:r>
      <w:r>
        <w:rPr>
          <w:rFonts w:ascii="David" w:hAnsi="David" w:cs="David" w:hint="cs"/>
          <w:rtl/>
        </w:rPr>
        <w:t>6</w:t>
      </w:r>
      <w:r w:rsidRPr="00AB7CB0">
        <w:rPr>
          <w:rFonts w:ascii="David" w:hAnsi="David" w:cs="David" w:hint="default"/>
          <w:rtl/>
        </w:rPr>
        <w:t>.</w:t>
      </w:r>
    </w:p>
  </w:footnote>
  <w:footnote w:id="44">
    <w:p w:rsidR="00B9259F" w:rsidRPr="00AB7CB0" w:rsidRDefault="00BE211D" w:rsidP="00256DB4">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b/>
          <w:bCs/>
          <w:rtl/>
        </w:rPr>
        <w:t>עניין</w:t>
      </w:r>
      <w:r w:rsidRPr="00AB7CB0">
        <w:rPr>
          <w:rFonts w:ascii="David" w:hAnsi="David" w:cs="David" w:hint="default"/>
          <w:b/>
          <w:bCs/>
          <w:rtl/>
        </w:rPr>
        <w:t xml:space="preserve"> הסהר האדום</w:t>
      </w:r>
      <w:r w:rsidRPr="00AB7CB0">
        <w:rPr>
          <w:rFonts w:ascii="David" w:hAnsi="David" w:cs="David" w:hint="default"/>
          <w:rtl/>
        </w:rPr>
        <w:t xml:space="preserve">, לעיל ה"ש </w:t>
      </w:r>
      <w:r>
        <w:rPr>
          <w:rFonts w:ascii="David" w:hAnsi="David" w:cs="David" w:hint="cs"/>
          <w:rtl/>
        </w:rPr>
        <w:t>42</w:t>
      </w:r>
      <w:r w:rsidRPr="00AB7CB0">
        <w:rPr>
          <w:rFonts w:ascii="David" w:hAnsi="David" w:cs="David" w:hint="default"/>
          <w:rtl/>
        </w:rPr>
        <w:t>.</w:t>
      </w:r>
    </w:p>
  </w:footnote>
  <w:footnote w:id="45">
    <w:p w:rsidR="00B9259F" w:rsidRPr="00AB7CB0" w:rsidRDefault="00BE211D" w:rsidP="008C20E3">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רע"א 7490/14 </w:t>
      </w:r>
      <w:r w:rsidRPr="00AB7CB0">
        <w:rPr>
          <w:rFonts w:ascii="David" w:hAnsi="David" w:cs="David" w:hint="default"/>
          <w:b/>
          <w:bCs/>
          <w:rtl/>
        </w:rPr>
        <w:t xml:space="preserve">שירותי בריאות כללית נ' פלונית, </w:t>
      </w:r>
      <w:r w:rsidRPr="00AB7CB0">
        <w:rPr>
          <w:rFonts w:ascii="David" w:hAnsi="David" w:cs="David" w:hint="default"/>
          <w:rtl/>
        </w:rPr>
        <w:t>(פורסם בנבו 28.12.</w:t>
      </w:r>
      <w:r>
        <w:rPr>
          <w:rFonts w:ascii="David" w:hAnsi="David" w:cs="David" w:hint="cs"/>
          <w:rtl/>
        </w:rPr>
        <w:t>20</w:t>
      </w:r>
      <w:r w:rsidRPr="00AB7CB0">
        <w:rPr>
          <w:rFonts w:ascii="David" w:hAnsi="David" w:cs="David" w:hint="default"/>
          <w:rtl/>
        </w:rPr>
        <w:t>14).</w:t>
      </w:r>
    </w:p>
  </w:footnote>
  <w:footnote w:id="46">
    <w:p w:rsidR="00B9259F" w:rsidRDefault="00BE211D" w:rsidP="0003289D">
      <w:pPr>
        <w:pStyle w:val="a5"/>
        <w:spacing w:after="0"/>
        <w:rPr>
          <w:rFonts w:hint="default"/>
        </w:rPr>
      </w:pPr>
      <w:r w:rsidRPr="00AB7CB0">
        <w:rPr>
          <w:rStyle w:val="a7"/>
          <w:rFonts w:ascii="David" w:hAnsi="David" w:cs="David" w:hint="default"/>
        </w:rPr>
        <w:footnoteRef/>
      </w:r>
      <w:r w:rsidRPr="00AB7CB0">
        <w:rPr>
          <w:rFonts w:ascii="David" w:hAnsi="David" w:cs="David" w:hint="default"/>
          <w:rtl/>
        </w:rPr>
        <w:t xml:space="preserve"> רע"א 4288/15 </w:t>
      </w:r>
      <w:r w:rsidRPr="00AB7CB0">
        <w:rPr>
          <w:rFonts w:ascii="David" w:hAnsi="David" w:cs="David" w:hint="default"/>
          <w:b/>
          <w:bCs/>
          <w:rtl/>
        </w:rPr>
        <w:t>מכבי שירו</w:t>
      </w:r>
      <w:r w:rsidRPr="00AB7CB0">
        <w:rPr>
          <w:rFonts w:ascii="David" w:hAnsi="David" w:cs="David" w:hint="default"/>
          <w:b/>
          <w:bCs/>
          <w:rtl/>
        </w:rPr>
        <w:t xml:space="preserve">תי בריאות נ' פלוני, </w:t>
      </w:r>
      <w:r w:rsidRPr="00AB7CB0">
        <w:rPr>
          <w:rFonts w:ascii="David" w:hAnsi="David" w:cs="David" w:hint="default"/>
          <w:rtl/>
        </w:rPr>
        <w:t>(פורסם בנבו 28.8.2016).</w:t>
      </w:r>
    </w:p>
  </w:footnote>
  <w:footnote w:id="47">
    <w:p w:rsidR="00B9259F" w:rsidRPr="00AB7CB0" w:rsidRDefault="00BE211D" w:rsidP="0003289D">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ת"א (מרכז) 53789-07-15 </w:t>
      </w:r>
      <w:r w:rsidRPr="00AB7CB0">
        <w:rPr>
          <w:rFonts w:ascii="David" w:hAnsi="David" w:cs="David" w:hint="default"/>
          <w:b/>
          <w:bCs/>
          <w:rtl/>
        </w:rPr>
        <w:t xml:space="preserve">קופת חולים מאוחדת נ' פלוני (קטין), </w:t>
      </w:r>
      <w:r w:rsidRPr="00AB7CB0">
        <w:rPr>
          <w:rFonts w:ascii="David" w:hAnsi="David" w:cs="David" w:hint="default"/>
        </w:rPr>
        <w:t>)</w:t>
      </w:r>
      <w:r w:rsidRPr="00AB7CB0">
        <w:rPr>
          <w:rFonts w:ascii="David" w:hAnsi="David" w:cs="David" w:hint="default"/>
          <w:rtl/>
        </w:rPr>
        <w:t>פורסם בנבו 14.12.17).</w:t>
      </w:r>
    </w:p>
  </w:footnote>
  <w:footnote w:id="48">
    <w:p w:rsidR="00B9259F" w:rsidRPr="00AB7CB0" w:rsidRDefault="00BE211D" w:rsidP="001F7865">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rtl/>
        </w:rPr>
        <w:t xml:space="preserve">עו"ד דוד פייל, "הולדה בעוולה" למי כדאי לתבוע?, </w:t>
      </w:r>
      <w:r w:rsidRPr="001F7865">
        <w:rPr>
          <w:rFonts w:ascii="David" w:hAnsi="David" w:cs="David" w:hint="default"/>
          <w:b/>
          <w:bCs/>
        </w:rPr>
        <w:t>yent</w:t>
      </w:r>
      <w:r w:rsidRPr="001F7865">
        <w:rPr>
          <w:rFonts w:ascii="David" w:hAnsi="David" w:cs="David" w:hint="cs"/>
          <w:rtl/>
        </w:rPr>
        <w:t xml:space="preserve"> 13.5.2015</w:t>
      </w:r>
      <w:r>
        <w:rPr>
          <w:rFonts w:ascii="David" w:hAnsi="David" w:cs="David" w:hint="cs"/>
          <w:rtl/>
        </w:rPr>
        <w:t xml:space="preserve">  </w:t>
      </w:r>
      <w:hyperlink r:id="rId1" w:history="1">
        <w:r w:rsidRPr="007729AE">
          <w:rPr>
            <w:rStyle w:val="Hyperlink"/>
            <w:rFonts w:ascii="David" w:hAnsi="David" w:cs="David" w:hint="default"/>
          </w:rPr>
          <w:t>www.ynet.co.il/articles/0,7340,L-4656548,00.html</w:t>
        </w:r>
      </w:hyperlink>
      <w:r>
        <w:rPr>
          <w:rFonts w:ascii="David" w:hAnsi="David" w:cs="David" w:hint="cs"/>
          <w:rtl/>
        </w:rPr>
        <w:t xml:space="preserve"> , (נבדק לאחרונה ב -1.10.2018).</w:t>
      </w:r>
    </w:p>
  </w:footnote>
  <w:footnote w:id="49">
    <w:p w:rsidR="00B9259F" w:rsidRPr="00AB7CB0" w:rsidRDefault="00BE211D" w:rsidP="00F40574">
      <w:pPr>
        <w:pStyle w:val="a5"/>
        <w:spacing w:after="0"/>
        <w:rPr>
          <w:rFonts w:ascii="David" w:hAnsi="David" w:cs="David" w:hint="default"/>
          <w:rtl/>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rtl/>
        </w:rPr>
        <w:t>שם.</w:t>
      </w:r>
    </w:p>
  </w:footnote>
  <w:footnote w:id="50">
    <w:p w:rsidR="00B9259F" w:rsidRPr="00AB7CB0" w:rsidRDefault="00BE211D" w:rsidP="004D5833">
      <w:pPr>
        <w:pStyle w:val="a5"/>
        <w:spacing w:after="0"/>
        <w:rPr>
          <w:rFonts w:ascii="David" w:hAnsi="David" w:cs="David" w:hint="default"/>
          <w:rtl/>
        </w:rPr>
      </w:pPr>
      <w:r w:rsidRPr="00AB7CB0">
        <w:rPr>
          <w:rStyle w:val="a7"/>
          <w:rFonts w:ascii="David" w:hAnsi="David" w:cs="David" w:hint="default"/>
        </w:rPr>
        <w:footnoteRef/>
      </w:r>
      <w:r w:rsidRPr="00AB7CB0">
        <w:rPr>
          <w:rFonts w:ascii="David" w:hAnsi="David" w:cs="David" w:hint="default"/>
          <w:rtl/>
        </w:rPr>
        <w:t xml:space="preserve"> שם.</w:t>
      </w:r>
    </w:p>
  </w:footnote>
  <w:footnote w:id="51">
    <w:p w:rsidR="00B9259F" w:rsidRPr="00086EAB" w:rsidRDefault="00BE211D" w:rsidP="00086EAB">
      <w:pPr>
        <w:pStyle w:val="a5"/>
        <w:spacing w:after="0"/>
        <w:rPr>
          <w:rFonts w:hint="default"/>
          <w:rtl/>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rtl/>
        </w:rPr>
        <w:t xml:space="preserve">עו"ד יוסי טולדנו, ביהמ"ש: ניתן להגיש תביעות בגין הולדה בעוולה עד סוף 2017, </w:t>
      </w:r>
      <w:r>
        <w:rPr>
          <w:rFonts w:ascii="David" w:hAnsi="David" w:cs="David" w:hint="default"/>
          <w:b/>
          <w:bCs/>
        </w:rPr>
        <w:t>yent</w:t>
      </w:r>
      <w:r>
        <w:rPr>
          <w:rFonts w:ascii="David" w:hAnsi="David" w:cs="David" w:hint="cs"/>
          <w:rtl/>
        </w:rPr>
        <w:t>, 23.12.201</w:t>
      </w:r>
      <w:r>
        <w:rPr>
          <w:rFonts w:ascii="David" w:hAnsi="David" w:cs="David" w:hint="cs"/>
          <w:rtl/>
        </w:rPr>
        <w:t xml:space="preserve">7 </w:t>
      </w:r>
      <w:r>
        <w:rPr>
          <w:rFonts w:ascii="David" w:hAnsi="David" w:cs="David" w:hint="default"/>
        </w:rPr>
        <w:t xml:space="preserve">   </w:t>
      </w:r>
      <w:r>
        <w:rPr>
          <w:rFonts w:ascii="David" w:hAnsi="David" w:cs="David" w:hint="cs"/>
          <w:rtl/>
        </w:rPr>
        <w:t xml:space="preserve">  , </w:t>
      </w:r>
      <w:hyperlink r:id="rId2" w:history="1">
        <w:r w:rsidRPr="007729AE">
          <w:rPr>
            <w:rStyle w:val="Hyperlink"/>
            <w:rFonts w:ascii="David" w:hAnsi="David" w:cs="David" w:hint="default"/>
          </w:rPr>
          <w:t>www.ynet.co.il/articles/0,7340,L-5060108,00.html</w:t>
        </w:r>
        <w:r w:rsidRPr="007729AE">
          <w:rPr>
            <w:rStyle w:val="Hyperlink"/>
            <w:rFonts w:ascii="David" w:hAnsi="David" w:cs="David" w:hint="eastAsia"/>
            <w:rtl/>
          </w:rPr>
          <w:t xml:space="preserve"> </w:t>
        </w:r>
        <w:r w:rsidRPr="00086EAB">
          <w:rPr>
            <w:rStyle w:val="Hyperlink"/>
            <w:rFonts w:ascii="David" w:hAnsi="David" w:cs="David" w:hint="eastAsia"/>
            <w:color w:val="auto"/>
            <w:u w:val="none"/>
            <w:rtl/>
          </w:rPr>
          <w:t>(נבדק</w:t>
        </w:r>
      </w:hyperlink>
      <w:r>
        <w:rPr>
          <w:rFonts w:ascii="David" w:hAnsi="David" w:cs="David" w:hint="cs"/>
          <w:rtl/>
        </w:rPr>
        <w:t xml:space="preserve"> לאחרונה ב1.10.2018).</w:t>
      </w:r>
    </w:p>
  </w:footnote>
  <w:footnote w:id="52">
    <w:p w:rsidR="00FF48D8" w:rsidRPr="00FD2A4C" w:rsidRDefault="00BE211D" w:rsidP="00FF48D8">
      <w:pPr>
        <w:pStyle w:val="a5"/>
        <w:spacing w:after="0"/>
        <w:rPr>
          <w:rFonts w:ascii="David" w:hAnsi="David" w:cs="David" w:hint="default"/>
          <w:rtl/>
        </w:rPr>
      </w:pPr>
      <w:r w:rsidRPr="00FD2A4C">
        <w:rPr>
          <w:rStyle w:val="a7"/>
          <w:rFonts w:ascii="David" w:hAnsi="David" w:cs="David" w:hint="default"/>
        </w:rPr>
        <w:footnoteRef/>
      </w:r>
      <w:r w:rsidRPr="00FD2A4C">
        <w:rPr>
          <w:rFonts w:ascii="David" w:hAnsi="David" w:cs="David" w:hint="default"/>
          <w:rtl/>
        </w:rPr>
        <w:t xml:space="preserve"> אמנון כרמי, לעיל ה"ש 34, בעמ' 279.</w:t>
      </w:r>
    </w:p>
  </w:footnote>
  <w:footnote w:id="53">
    <w:p w:rsidR="00FF48D8" w:rsidRPr="00FD2A4C" w:rsidRDefault="00BE211D" w:rsidP="00FF48D8">
      <w:pPr>
        <w:pStyle w:val="a5"/>
        <w:spacing w:after="0"/>
        <w:rPr>
          <w:rFonts w:ascii="David" w:hAnsi="David" w:cs="David" w:hint="default"/>
          <w:rtl/>
        </w:rPr>
      </w:pPr>
      <w:r w:rsidRPr="00FD2A4C">
        <w:rPr>
          <w:rStyle w:val="a7"/>
          <w:rFonts w:ascii="David" w:hAnsi="David" w:cs="David" w:hint="default"/>
        </w:rPr>
        <w:footnoteRef/>
      </w:r>
      <w:r w:rsidRPr="00FD2A4C">
        <w:rPr>
          <w:rFonts w:ascii="David" w:hAnsi="David" w:cs="David" w:hint="default"/>
          <w:rtl/>
        </w:rPr>
        <w:t xml:space="preserve"> ע"א 4114/96 </w:t>
      </w:r>
      <w:r w:rsidRPr="00FD2A4C">
        <w:rPr>
          <w:rFonts w:ascii="David" w:hAnsi="David" w:cs="David" w:hint="default"/>
          <w:b/>
          <w:bCs/>
          <w:rtl/>
        </w:rPr>
        <w:t xml:space="preserve">המאירי נ' הכשרת הישוב חברה לביטוח בע"מ, </w:t>
      </w:r>
      <w:r w:rsidRPr="00FD2A4C">
        <w:rPr>
          <w:rFonts w:ascii="David" w:hAnsi="David" w:cs="David" w:hint="default"/>
          <w:rtl/>
        </w:rPr>
        <w:t>פ"ד נב (1) 857, 865, (1998).</w:t>
      </w:r>
    </w:p>
  </w:footnote>
  <w:footnote w:id="54">
    <w:p w:rsidR="00FF48D8" w:rsidRPr="00FD2A4C" w:rsidRDefault="00BE211D" w:rsidP="00FF48D8">
      <w:pPr>
        <w:pStyle w:val="a5"/>
        <w:spacing w:after="0"/>
        <w:rPr>
          <w:rFonts w:ascii="David" w:hAnsi="David" w:cs="David" w:hint="default"/>
          <w:rtl/>
        </w:rPr>
      </w:pPr>
      <w:r w:rsidRPr="00FD2A4C">
        <w:rPr>
          <w:rStyle w:val="a7"/>
          <w:rFonts w:ascii="David" w:hAnsi="David" w:cs="David" w:hint="default"/>
        </w:rPr>
        <w:footnoteRef/>
      </w:r>
      <w:r w:rsidRPr="00FD2A4C">
        <w:rPr>
          <w:rFonts w:ascii="David" w:hAnsi="David" w:cs="David" w:hint="default"/>
          <w:rtl/>
        </w:rPr>
        <w:t xml:space="preserve"> ע"א 244/81 </w:t>
      </w:r>
      <w:r w:rsidRPr="00FD2A4C">
        <w:rPr>
          <w:rFonts w:ascii="David" w:hAnsi="David" w:cs="David" w:hint="default"/>
          <w:b/>
          <w:bCs/>
          <w:rtl/>
        </w:rPr>
        <w:t xml:space="preserve">פתאל נ' קופת חולים של ההסתדרות הכללית של העובדים בארץ ישראל, </w:t>
      </w:r>
      <w:r w:rsidRPr="00FD2A4C">
        <w:rPr>
          <w:rFonts w:ascii="David" w:hAnsi="David" w:cs="David" w:hint="default"/>
          <w:rtl/>
        </w:rPr>
        <w:t>פ"ד לח (3) 673 (1984).</w:t>
      </w:r>
    </w:p>
  </w:footnote>
  <w:footnote w:id="55">
    <w:p w:rsidR="00FF48D8" w:rsidRPr="002D3245" w:rsidRDefault="00BE211D" w:rsidP="00FF48D8">
      <w:pPr>
        <w:pStyle w:val="a5"/>
        <w:spacing w:after="0"/>
        <w:rPr>
          <w:rFonts w:ascii="David" w:hAnsi="David" w:cs="David" w:hint="default"/>
          <w:rtl/>
        </w:rPr>
      </w:pPr>
      <w:r w:rsidRPr="00FD2A4C">
        <w:rPr>
          <w:rStyle w:val="a7"/>
          <w:rFonts w:ascii="David" w:hAnsi="David" w:cs="David" w:hint="default"/>
        </w:rPr>
        <w:footnoteRef/>
      </w:r>
      <w:r w:rsidRPr="00FD2A4C">
        <w:rPr>
          <w:rFonts w:ascii="David" w:hAnsi="David" w:cs="David" w:hint="default"/>
          <w:rtl/>
        </w:rPr>
        <w:t xml:space="preserve"> פקודת הנזיקין [נוסח חדש].</w:t>
      </w:r>
    </w:p>
  </w:footnote>
  <w:footnote w:id="56">
    <w:p w:rsidR="00FF48D8" w:rsidRPr="00792D32" w:rsidRDefault="00BE211D" w:rsidP="00FF48D8">
      <w:pPr>
        <w:pStyle w:val="a5"/>
        <w:spacing w:after="0"/>
        <w:rPr>
          <w:rFonts w:ascii="David" w:hAnsi="David" w:cs="David" w:hint="default"/>
          <w:rtl/>
        </w:rPr>
      </w:pPr>
      <w:r w:rsidRPr="005F2CDB">
        <w:rPr>
          <w:rStyle w:val="a7"/>
          <w:rFonts w:ascii="David" w:hAnsi="David" w:cs="David" w:hint="default"/>
        </w:rPr>
        <w:footnoteRef/>
      </w:r>
      <w:r w:rsidRPr="005F2CDB">
        <w:rPr>
          <w:rFonts w:ascii="David" w:hAnsi="David" w:cs="David" w:hint="default"/>
          <w:rtl/>
        </w:rPr>
        <w:t xml:space="preserve"> </w:t>
      </w:r>
      <w:r w:rsidRPr="0086369E">
        <w:rPr>
          <w:rFonts w:ascii="David" w:hAnsi="David" w:cs="David" w:hint="default"/>
          <w:rtl/>
        </w:rPr>
        <w:t xml:space="preserve">ע"א </w:t>
      </w:r>
      <w:r>
        <w:rPr>
          <w:rFonts w:ascii="David" w:hAnsi="David" w:cs="David" w:hint="cs"/>
          <w:rtl/>
        </w:rPr>
        <w:t xml:space="preserve">2509/98 </w:t>
      </w:r>
      <w:r>
        <w:rPr>
          <w:rFonts w:ascii="David" w:hAnsi="David" w:cs="David" w:hint="cs"/>
          <w:b/>
          <w:bCs/>
          <w:rtl/>
        </w:rPr>
        <w:t>גיל</w:t>
      </w:r>
      <w:r w:rsidRPr="0086369E">
        <w:rPr>
          <w:rFonts w:ascii="David" w:hAnsi="David" w:cs="David" w:hint="default"/>
          <w:b/>
          <w:bCs/>
          <w:rtl/>
        </w:rPr>
        <w:t xml:space="preserve"> נ' </w:t>
      </w:r>
      <w:r>
        <w:rPr>
          <w:rFonts w:ascii="David" w:hAnsi="David" w:cs="David" w:hint="cs"/>
          <w:b/>
          <w:bCs/>
          <w:rtl/>
        </w:rPr>
        <w:t>קופת חולים של ההסתדרות הכללית של העובדים בארץ ישראל</w:t>
      </w:r>
      <w:r w:rsidRPr="0086369E">
        <w:rPr>
          <w:rFonts w:ascii="David" w:hAnsi="David" w:cs="David" w:hint="default"/>
          <w:b/>
          <w:bCs/>
          <w:rtl/>
        </w:rPr>
        <w:t xml:space="preserve">, </w:t>
      </w:r>
      <w:r w:rsidRPr="0086369E">
        <w:rPr>
          <w:rFonts w:ascii="David" w:hAnsi="David" w:cs="David" w:hint="default"/>
          <w:rtl/>
        </w:rPr>
        <w:t>פ"</w:t>
      </w:r>
      <w:r>
        <w:rPr>
          <w:rFonts w:ascii="David" w:hAnsi="David" w:cs="David" w:hint="default"/>
          <w:rtl/>
        </w:rPr>
        <w:t>ד נ</w:t>
      </w:r>
      <w:r>
        <w:rPr>
          <w:rFonts w:ascii="David" w:hAnsi="David" w:cs="David" w:hint="cs"/>
          <w:rtl/>
        </w:rPr>
        <w:t>ד</w:t>
      </w:r>
      <w:r w:rsidRPr="0086369E">
        <w:rPr>
          <w:rFonts w:ascii="David" w:hAnsi="David" w:cs="David" w:hint="default"/>
          <w:rtl/>
        </w:rPr>
        <w:t xml:space="preserve"> (</w:t>
      </w:r>
      <w:r>
        <w:rPr>
          <w:rFonts w:ascii="David" w:hAnsi="David" w:cs="David" w:hint="cs"/>
          <w:rtl/>
        </w:rPr>
        <w:t>2</w:t>
      </w:r>
      <w:r w:rsidRPr="0086369E">
        <w:rPr>
          <w:rFonts w:ascii="David" w:hAnsi="David" w:cs="David" w:hint="default"/>
          <w:rtl/>
        </w:rPr>
        <w:t xml:space="preserve">) </w:t>
      </w:r>
      <w:r>
        <w:rPr>
          <w:rFonts w:ascii="David" w:hAnsi="David" w:cs="David" w:hint="cs"/>
          <w:rtl/>
        </w:rPr>
        <w:t>38</w:t>
      </w:r>
      <w:r w:rsidRPr="0086369E">
        <w:rPr>
          <w:rFonts w:ascii="David" w:hAnsi="David" w:cs="David" w:hint="default"/>
          <w:rtl/>
        </w:rPr>
        <w:t xml:space="preserve">, </w:t>
      </w:r>
      <w:r>
        <w:rPr>
          <w:rFonts w:ascii="David" w:hAnsi="David" w:cs="David" w:hint="cs"/>
          <w:rtl/>
        </w:rPr>
        <w:t>44</w:t>
      </w:r>
      <w:r w:rsidRPr="0086369E">
        <w:rPr>
          <w:rFonts w:ascii="David" w:hAnsi="David" w:cs="David" w:hint="default"/>
          <w:rtl/>
        </w:rPr>
        <w:t>, (</w:t>
      </w:r>
      <w:r>
        <w:rPr>
          <w:rFonts w:ascii="David" w:hAnsi="David" w:cs="David" w:hint="cs"/>
          <w:rtl/>
        </w:rPr>
        <w:t>2000</w:t>
      </w:r>
      <w:r w:rsidRPr="0086369E">
        <w:rPr>
          <w:rFonts w:ascii="David" w:hAnsi="David" w:cs="David" w:hint="default"/>
          <w:rtl/>
        </w:rPr>
        <w:t>).</w:t>
      </w:r>
    </w:p>
  </w:footnote>
  <w:footnote w:id="57">
    <w:p w:rsidR="00FF48D8" w:rsidRPr="009D0819" w:rsidRDefault="00BE211D" w:rsidP="00FF48D8">
      <w:pPr>
        <w:pStyle w:val="a5"/>
        <w:spacing w:after="0"/>
        <w:rPr>
          <w:rFonts w:ascii="David" w:hAnsi="David" w:cs="David" w:hint="default"/>
          <w:rtl/>
        </w:rPr>
      </w:pPr>
      <w:r w:rsidRPr="009D0819">
        <w:rPr>
          <w:rStyle w:val="a7"/>
          <w:rFonts w:ascii="David" w:hAnsi="David" w:cs="David" w:hint="default"/>
        </w:rPr>
        <w:footnoteRef/>
      </w:r>
      <w:r w:rsidRPr="009D0819">
        <w:rPr>
          <w:rFonts w:ascii="David" w:hAnsi="David" w:cs="David" w:hint="default"/>
          <w:rtl/>
        </w:rPr>
        <w:t xml:space="preserve"> </w:t>
      </w:r>
      <w:r w:rsidRPr="00D35C2B">
        <w:rPr>
          <w:rFonts w:ascii="David" w:hAnsi="David" w:cs="David" w:hint="cs"/>
          <w:b/>
          <w:bCs/>
          <w:rtl/>
        </w:rPr>
        <w:t>עניין ד"ר ליאון פריש</w:t>
      </w:r>
      <w:r>
        <w:rPr>
          <w:rFonts w:ascii="David" w:hAnsi="David" w:cs="David" w:hint="cs"/>
          <w:rtl/>
        </w:rPr>
        <w:t xml:space="preserve">, </w:t>
      </w:r>
      <w:r w:rsidRPr="009D0819">
        <w:rPr>
          <w:rFonts w:ascii="David" w:hAnsi="David" w:cs="David" w:hint="default"/>
          <w:rtl/>
        </w:rPr>
        <w:t xml:space="preserve">לעיל ה"ש </w:t>
      </w:r>
      <w:r>
        <w:rPr>
          <w:rFonts w:ascii="David" w:hAnsi="David" w:cs="David" w:hint="cs"/>
          <w:rtl/>
        </w:rPr>
        <w:t>57</w:t>
      </w:r>
      <w:r w:rsidRPr="009D0819">
        <w:rPr>
          <w:rFonts w:ascii="David" w:hAnsi="David" w:cs="David" w:hint="default"/>
          <w:rtl/>
        </w:rPr>
        <w:t>, בעמ' 281.</w:t>
      </w:r>
    </w:p>
  </w:footnote>
  <w:footnote w:id="58">
    <w:p w:rsidR="00FF48D8" w:rsidRPr="007D7D7A" w:rsidRDefault="00BE211D" w:rsidP="00FF48D8">
      <w:pPr>
        <w:pStyle w:val="a5"/>
        <w:spacing w:after="0"/>
        <w:rPr>
          <w:rFonts w:ascii="David" w:hAnsi="David" w:cs="David" w:hint="default"/>
          <w:b/>
          <w:bCs/>
          <w:rtl/>
        </w:rPr>
      </w:pPr>
      <w:r w:rsidRPr="007D7D7A">
        <w:rPr>
          <w:rStyle w:val="a7"/>
          <w:rFonts w:ascii="David" w:hAnsi="David" w:cs="David" w:hint="default"/>
        </w:rPr>
        <w:footnoteRef/>
      </w:r>
      <w:r w:rsidRPr="007D7D7A">
        <w:rPr>
          <w:rFonts w:ascii="David" w:hAnsi="David" w:cs="David" w:hint="default"/>
          <w:rtl/>
        </w:rPr>
        <w:t xml:space="preserve"> </w:t>
      </w:r>
      <w:r w:rsidRPr="000E0533">
        <w:rPr>
          <w:rFonts w:ascii="David" w:hAnsi="David" w:cs="David" w:hint="cs"/>
          <w:b/>
          <w:bCs/>
          <w:rtl/>
        </w:rPr>
        <w:t>עניין מאירי</w:t>
      </w:r>
      <w:r>
        <w:rPr>
          <w:rFonts w:ascii="David" w:hAnsi="David" w:cs="David" w:hint="cs"/>
          <w:rtl/>
        </w:rPr>
        <w:t xml:space="preserve">, </w:t>
      </w:r>
      <w:r w:rsidRPr="007D7D7A">
        <w:rPr>
          <w:rFonts w:ascii="David" w:hAnsi="David" w:cs="David" w:hint="default"/>
          <w:rtl/>
        </w:rPr>
        <w:t xml:space="preserve">לעיל ה"ש </w:t>
      </w:r>
      <w:r>
        <w:rPr>
          <w:rFonts w:ascii="David" w:hAnsi="David" w:cs="David" w:hint="cs"/>
          <w:rtl/>
        </w:rPr>
        <w:t>64.</w:t>
      </w:r>
      <w:r w:rsidRPr="007D7D7A">
        <w:rPr>
          <w:rFonts w:ascii="David" w:hAnsi="David" w:cs="David" w:hint="default"/>
          <w:b/>
          <w:bCs/>
          <w:rtl/>
        </w:rPr>
        <w:t xml:space="preserve"> </w:t>
      </w:r>
    </w:p>
  </w:footnote>
  <w:footnote w:id="59">
    <w:p w:rsidR="00B9259F" w:rsidRPr="005A1D15" w:rsidRDefault="00BE211D" w:rsidP="005A1D15">
      <w:pPr>
        <w:spacing w:after="0"/>
        <w:rPr>
          <w:rFonts w:ascii="David" w:hAnsi="David" w:cs="David" w:hint="default"/>
          <w:sz w:val="20"/>
          <w:szCs w:val="20"/>
          <w:rtl/>
        </w:rPr>
      </w:pPr>
      <w:r w:rsidRPr="00DC6E32">
        <w:rPr>
          <w:rStyle w:val="a7"/>
          <w:rFonts w:ascii="David" w:hAnsi="David" w:cs="David" w:hint="default"/>
          <w:sz w:val="20"/>
          <w:szCs w:val="20"/>
        </w:rPr>
        <w:footnoteRef/>
      </w:r>
      <w:r w:rsidRPr="00DC6E32">
        <w:rPr>
          <w:rFonts w:ascii="David" w:hAnsi="David" w:cs="David" w:hint="default"/>
          <w:sz w:val="20"/>
          <w:szCs w:val="20"/>
          <w:rtl/>
        </w:rPr>
        <w:t xml:space="preserve"> </w:t>
      </w:r>
      <w:hyperlink r:id="rId3" w:history="1">
        <w:r>
          <w:rPr>
            <w:rStyle w:val="Hyperlink"/>
            <w:rFonts w:ascii="David" w:hAnsi="David" w:cs="David" w:hint="eastAsia"/>
            <w:color w:val="auto"/>
            <w:sz w:val="20"/>
            <w:szCs w:val="20"/>
            <w:u w:val="none"/>
            <w:rtl/>
          </w:rPr>
          <w:t>עו"ד</w:t>
        </w:r>
      </w:hyperlink>
      <w:r>
        <w:rPr>
          <w:rStyle w:val="Hyperlink"/>
          <w:rFonts w:ascii="David" w:hAnsi="David" w:cs="David" w:hint="eastAsia"/>
          <w:color w:val="auto"/>
          <w:sz w:val="20"/>
          <w:szCs w:val="20"/>
          <w:u w:val="none"/>
          <w:rtl/>
        </w:rPr>
        <w:t xml:space="preserve"> איילת סבג, הולדה בעוולה </w:t>
      </w:r>
      <w:r>
        <w:rPr>
          <w:rStyle w:val="Hyperlink"/>
          <w:rFonts w:ascii="David" w:hAnsi="David" w:cs="David" w:hint="default"/>
          <w:color w:val="auto"/>
          <w:sz w:val="20"/>
          <w:szCs w:val="20"/>
          <w:u w:val="none"/>
          <w:rtl/>
        </w:rPr>
        <w:t>–</w:t>
      </w:r>
      <w:r>
        <w:rPr>
          <w:rStyle w:val="Hyperlink"/>
          <w:rFonts w:ascii="David" w:hAnsi="David" w:cs="David" w:hint="eastAsia"/>
          <w:color w:val="auto"/>
          <w:sz w:val="20"/>
          <w:szCs w:val="20"/>
          <w:u w:val="none"/>
          <w:rtl/>
        </w:rPr>
        <w:t xml:space="preserve"> הלכה סופית,</w:t>
      </w:r>
      <w:r>
        <w:rPr>
          <w:rStyle w:val="Hyperlink"/>
          <w:rFonts w:ascii="David" w:hAnsi="David" w:cs="David" w:hint="default"/>
          <w:color w:val="auto"/>
          <w:sz w:val="20"/>
          <w:szCs w:val="20"/>
          <w:u w:val="none"/>
        </w:rPr>
        <w:t xml:space="preserve"> </w:t>
      </w:r>
      <w:hyperlink r:id="rId4" w:history="1">
        <w:r w:rsidRPr="007729AE">
          <w:rPr>
            <w:rStyle w:val="Hyperlink"/>
            <w:rFonts w:ascii="David" w:hAnsi="David" w:cs="David" w:hint="default"/>
            <w:sz w:val="20"/>
            <w:szCs w:val="20"/>
          </w:rPr>
          <w:t>www.sabag-law.co.il/procreation_tort_the_final_law</w:t>
        </w:r>
      </w:hyperlink>
      <w:r>
        <w:rPr>
          <w:rStyle w:val="Hyperlink"/>
          <w:rFonts w:ascii="David" w:hAnsi="David" w:cs="David" w:hint="default"/>
          <w:color w:val="auto"/>
          <w:sz w:val="20"/>
          <w:szCs w:val="20"/>
          <w:u w:val="none"/>
        </w:rPr>
        <w:t xml:space="preserve"> </w:t>
      </w:r>
      <w:r>
        <w:rPr>
          <w:rStyle w:val="Hyperlink"/>
          <w:rFonts w:ascii="David" w:hAnsi="David" w:cs="David" w:hint="eastAsia"/>
          <w:color w:val="auto"/>
          <w:sz w:val="20"/>
          <w:szCs w:val="20"/>
          <w:u w:val="none"/>
          <w:rtl/>
        </w:rPr>
        <w:t>(נבדק לאחרונה ב-1.102018).</w:t>
      </w:r>
    </w:p>
  </w:footnote>
  <w:footnote w:id="60">
    <w:p w:rsidR="00B9259F" w:rsidRPr="00AB7CB0" w:rsidRDefault="00BE211D" w:rsidP="00486479">
      <w:pPr>
        <w:pStyle w:val="a5"/>
        <w:spacing w:after="0"/>
        <w:rPr>
          <w:rFonts w:ascii="David" w:hAnsi="David" w:cs="David" w:hint="default"/>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rtl/>
        </w:rPr>
        <w:t xml:space="preserve">התיישנות תביעות הולדה בעוולה, עד מתי ניתן לתבוע, </w:t>
      </w:r>
      <w:hyperlink w:history="1">
        <w:r w:rsidRPr="007729AE">
          <w:rPr>
            <w:rStyle w:val="Hyperlink"/>
            <w:rFonts w:ascii="David" w:hAnsi="David" w:cs="David" w:hint="eastAsia"/>
            <w:rtl/>
          </w:rPr>
          <w:t xml:space="preserve"> </w:t>
        </w:r>
        <w:r w:rsidRPr="007729AE">
          <w:rPr>
            <w:rStyle w:val="Hyperlink"/>
            <w:rFonts w:ascii="David" w:hAnsi="David" w:cs="David" w:hint="default"/>
          </w:rPr>
          <w:t>www.iz-law.com/blogv</w:t>
        </w:r>
      </w:hyperlink>
      <w:r>
        <w:rPr>
          <w:rFonts w:ascii="David" w:hAnsi="David" w:cs="David" w:hint="cs"/>
          <w:rtl/>
        </w:rPr>
        <w:t xml:space="preserve"> , (נבדק לאחרונה ב-1.10.2018).</w:t>
      </w:r>
    </w:p>
  </w:footnote>
  <w:footnote w:id="61">
    <w:p w:rsidR="00B9259F" w:rsidRPr="00AB7CB0" w:rsidRDefault="00BE211D" w:rsidP="0044760A">
      <w:pPr>
        <w:pStyle w:val="a5"/>
        <w:spacing w:after="0"/>
        <w:rPr>
          <w:rFonts w:ascii="David" w:hAnsi="David" w:cs="David" w:hint="default"/>
          <w:rtl/>
        </w:rPr>
      </w:pPr>
      <w:r w:rsidRPr="00AB7CB0">
        <w:rPr>
          <w:rStyle w:val="a7"/>
          <w:rFonts w:ascii="David" w:hAnsi="David" w:cs="David" w:hint="default"/>
        </w:rPr>
        <w:footnoteRef/>
      </w:r>
      <w:r w:rsidRPr="00AB7CB0">
        <w:rPr>
          <w:rFonts w:ascii="David" w:hAnsi="David" w:cs="David" w:hint="default"/>
          <w:rtl/>
        </w:rPr>
        <w:t xml:space="preserve"> שם.</w:t>
      </w:r>
    </w:p>
  </w:footnote>
  <w:footnote w:id="62">
    <w:p w:rsidR="00B9259F" w:rsidRPr="00AB7CB0" w:rsidRDefault="00BE211D" w:rsidP="00486479">
      <w:pPr>
        <w:pStyle w:val="a5"/>
        <w:spacing w:after="0"/>
        <w:rPr>
          <w:rFonts w:ascii="David" w:hAnsi="David" w:cs="David" w:hint="default"/>
          <w:rtl/>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cs"/>
          <w:rtl/>
        </w:rPr>
        <w:t>אסף פוזנר,</w:t>
      </w:r>
      <w:r w:rsidRPr="00AB7CB0">
        <w:rPr>
          <w:rFonts w:ascii="David" w:hAnsi="David" w:cs="David" w:hint="default"/>
          <w:rtl/>
        </w:rPr>
        <w:t xml:space="preserve"> על הדילמה שבי</w:t>
      </w:r>
      <w:r>
        <w:rPr>
          <w:rFonts w:ascii="David" w:hAnsi="David" w:cs="David" w:hint="cs"/>
          <w:rtl/>
        </w:rPr>
        <w:t>ן</w:t>
      </w:r>
      <w:r w:rsidRPr="00AB7CB0">
        <w:rPr>
          <w:rFonts w:ascii="David" w:hAnsi="David" w:cs="David" w:hint="default"/>
          <w:rtl/>
        </w:rPr>
        <w:t xml:space="preserve"> תוצאה להנמקה וריבוע המעגל : על תביעתו הנגזרת של ה</w:t>
      </w:r>
      <w:r>
        <w:rPr>
          <w:rFonts w:ascii="David" w:hAnsi="David" w:cs="David" w:hint="default"/>
          <w:rtl/>
        </w:rPr>
        <w:t>יילוד בגין הולדה בעוולה הישירה</w:t>
      </w:r>
      <w:r w:rsidRPr="00AB7CB0">
        <w:rPr>
          <w:rFonts w:ascii="David" w:hAnsi="David" w:cs="David" w:hint="default"/>
          <w:rtl/>
        </w:rPr>
        <w:t>, בעמ' 17.</w:t>
      </w:r>
    </w:p>
  </w:footnote>
  <w:footnote w:id="63">
    <w:p w:rsidR="00B9259F" w:rsidRDefault="00BE211D" w:rsidP="009D0819">
      <w:pPr>
        <w:pStyle w:val="a5"/>
        <w:spacing w:after="0"/>
        <w:rPr>
          <w:rFonts w:hint="default"/>
          <w:rtl/>
        </w:rPr>
      </w:pPr>
      <w:r w:rsidRPr="00AB7CB0">
        <w:rPr>
          <w:rStyle w:val="a7"/>
          <w:rFonts w:ascii="David" w:hAnsi="David" w:cs="David" w:hint="default"/>
        </w:rPr>
        <w:footnoteRef/>
      </w:r>
      <w:r w:rsidRPr="00AB7CB0">
        <w:rPr>
          <w:rFonts w:ascii="David" w:hAnsi="David" w:cs="David" w:hint="default"/>
          <w:rtl/>
        </w:rPr>
        <w:t xml:space="preserve"> </w:t>
      </w:r>
      <w:r>
        <w:rPr>
          <w:rFonts w:ascii="David" w:hAnsi="David" w:cs="David" w:hint="default"/>
          <w:rtl/>
        </w:rPr>
        <w:t>שם.</w:t>
      </w:r>
    </w:p>
  </w:footnote>
  <w:footnote w:id="64">
    <w:p w:rsidR="00B9259F" w:rsidRPr="00BC1F7A" w:rsidRDefault="00BE211D" w:rsidP="00FF48D8">
      <w:pPr>
        <w:pStyle w:val="a5"/>
        <w:spacing w:after="0"/>
        <w:rPr>
          <w:rFonts w:ascii="David" w:hAnsi="David" w:cs="David" w:hint="default"/>
          <w:rtl/>
        </w:rPr>
      </w:pPr>
      <w:r w:rsidRPr="00BC1F7A">
        <w:rPr>
          <w:rStyle w:val="a7"/>
          <w:rFonts w:ascii="David" w:hAnsi="David" w:cs="David" w:hint="default"/>
        </w:rPr>
        <w:footnoteRef/>
      </w:r>
      <w:r w:rsidRPr="00BC1F7A">
        <w:rPr>
          <w:rFonts w:ascii="David" w:hAnsi="David" w:cs="David" w:hint="default"/>
          <w:rtl/>
        </w:rPr>
        <w:t xml:space="preserve"> תא (ת"א) 4027/10 </w:t>
      </w:r>
      <w:r w:rsidRPr="00BC1F7A">
        <w:rPr>
          <w:rFonts w:ascii="David" w:hAnsi="David" w:cs="David" w:hint="default"/>
          <w:b/>
          <w:bCs/>
          <w:rtl/>
        </w:rPr>
        <w:t xml:space="preserve">ד"ר פריש ליאון נ' ר.ע, </w:t>
      </w:r>
      <w:r w:rsidRPr="00BC1F7A">
        <w:rPr>
          <w:rFonts w:ascii="David" w:hAnsi="David" w:cs="David" w:hint="default"/>
          <w:rtl/>
        </w:rPr>
        <w:t>(פורסם בנבו, 18.11.2012).</w:t>
      </w:r>
    </w:p>
  </w:footnote>
  <w:footnote w:id="65">
    <w:p w:rsidR="00B9259F" w:rsidRPr="00FD2A4C" w:rsidRDefault="00BE211D" w:rsidP="00FF48D8">
      <w:pPr>
        <w:pStyle w:val="a5"/>
        <w:spacing w:after="0"/>
        <w:rPr>
          <w:rFonts w:ascii="David" w:hAnsi="David" w:cs="David" w:hint="default"/>
          <w:rtl/>
        </w:rPr>
      </w:pPr>
      <w:r w:rsidRPr="00FD2A4C">
        <w:rPr>
          <w:rStyle w:val="a7"/>
          <w:rFonts w:ascii="David" w:hAnsi="David" w:cs="David" w:hint="default"/>
        </w:rPr>
        <w:footnoteRef/>
      </w:r>
      <w:r w:rsidRPr="00FD2A4C">
        <w:rPr>
          <w:rFonts w:ascii="David" w:hAnsi="David" w:cs="David" w:hint="default"/>
          <w:rtl/>
        </w:rPr>
        <w:t xml:space="preserve"> </w:t>
      </w:r>
      <w:r w:rsidRPr="00FD2A4C">
        <w:rPr>
          <w:rFonts w:ascii="David" w:hAnsi="David" w:cs="David" w:hint="default"/>
          <w:b/>
          <w:bCs/>
          <w:rtl/>
        </w:rPr>
        <w:t xml:space="preserve">עניין ד"ר פריש ליאון, </w:t>
      </w:r>
      <w:r w:rsidR="00FF48D8">
        <w:rPr>
          <w:rFonts w:ascii="David" w:hAnsi="David" w:cs="David" w:hint="default"/>
          <w:rtl/>
        </w:rPr>
        <w:t>בעמ' 4</w:t>
      </w:r>
      <w:r w:rsidR="00FF48D8">
        <w:rPr>
          <w:rFonts w:ascii="David" w:hAnsi="David" w:cs="David" w:hint="cs"/>
          <w:rtl/>
        </w:rPr>
        <w:t>, שם.</w:t>
      </w:r>
    </w:p>
  </w:footnote>
  <w:footnote w:id="66">
    <w:p w:rsidR="00B9259F" w:rsidRPr="00FD2A4C" w:rsidRDefault="00BE211D" w:rsidP="003F73E5">
      <w:pPr>
        <w:pStyle w:val="a5"/>
        <w:spacing w:after="0"/>
        <w:rPr>
          <w:rFonts w:ascii="David" w:hAnsi="David" w:cs="David" w:hint="default"/>
        </w:rPr>
      </w:pPr>
      <w:r w:rsidRPr="00FD2A4C">
        <w:rPr>
          <w:rStyle w:val="a7"/>
          <w:rFonts w:ascii="David" w:hAnsi="David" w:cs="David" w:hint="default"/>
        </w:rPr>
        <w:footnoteRef/>
      </w:r>
      <w:r w:rsidRPr="00FD2A4C">
        <w:rPr>
          <w:rFonts w:ascii="David" w:hAnsi="David" w:cs="David" w:hint="default"/>
          <w:rtl/>
        </w:rPr>
        <w:t xml:space="preserve"> שם.</w:t>
      </w:r>
    </w:p>
  </w:footnote>
  <w:footnote w:id="67">
    <w:p w:rsidR="00B9259F" w:rsidRPr="00FD2A4C" w:rsidRDefault="00BE211D" w:rsidP="00FF48D8">
      <w:pPr>
        <w:pStyle w:val="a5"/>
        <w:spacing w:after="0"/>
        <w:rPr>
          <w:rFonts w:ascii="David" w:hAnsi="David" w:cs="David" w:hint="default"/>
          <w:rtl/>
        </w:rPr>
      </w:pPr>
      <w:r w:rsidRPr="00FD2A4C">
        <w:rPr>
          <w:rStyle w:val="a7"/>
          <w:rFonts w:ascii="David" w:hAnsi="David" w:cs="David" w:hint="default"/>
        </w:rPr>
        <w:footnoteRef/>
      </w:r>
      <w:r w:rsidRPr="00FD2A4C">
        <w:rPr>
          <w:rFonts w:ascii="David" w:hAnsi="David" w:cs="David" w:hint="default"/>
          <w:rtl/>
        </w:rPr>
        <w:t xml:space="preserve"> </w:t>
      </w:r>
      <w:r w:rsidRPr="00FD2A4C">
        <w:rPr>
          <w:rFonts w:ascii="David" w:hAnsi="David" w:cs="David" w:hint="default"/>
          <w:b/>
          <w:bCs/>
          <w:rtl/>
        </w:rPr>
        <w:t xml:space="preserve">עניין ד"ר פריש ליאון, </w:t>
      </w:r>
      <w:r w:rsidRPr="00FD2A4C">
        <w:rPr>
          <w:rFonts w:ascii="David" w:hAnsi="David" w:cs="David" w:hint="default"/>
          <w:rtl/>
        </w:rPr>
        <w:t xml:space="preserve">לעיל ה"ש </w:t>
      </w:r>
      <w:r w:rsidR="00FF48D8">
        <w:rPr>
          <w:rFonts w:ascii="David" w:hAnsi="David" w:cs="David" w:hint="cs"/>
          <w:rtl/>
        </w:rPr>
        <w:t>64</w:t>
      </w:r>
      <w:r w:rsidRPr="00FD2A4C">
        <w:rPr>
          <w:rFonts w:ascii="David" w:hAnsi="David" w:cs="David" w:hint="default"/>
          <w:rtl/>
        </w:rPr>
        <w:t>, בעמ' 5.</w:t>
      </w:r>
    </w:p>
  </w:footnote>
  <w:footnote w:id="68">
    <w:p w:rsidR="00B9259F" w:rsidRPr="00FD2A4C" w:rsidRDefault="00BE211D" w:rsidP="00FF48D8">
      <w:pPr>
        <w:pStyle w:val="a5"/>
        <w:spacing w:after="0"/>
        <w:rPr>
          <w:rFonts w:ascii="David" w:hAnsi="David" w:cs="David" w:hint="default"/>
          <w:rtl/>
        </w:rPr>
      </w:pPr>
      <w:r w:rsidRPr="00FD2A4C">
        <w:rPr>
          <w:rStyle w:val="a7"/>
          <w:rFonts w:ascii="David" w:hAnsi="David" w:cs="David" w:hint="default"/>
        </w:rPr>
        <w:footnoteRef/>
      </w:r>
      <w:r w:rsidRPr="00FD2A4C">
        <w:rPr>
          <w:rFonts w:ascii="David" w:hAnsi="David" w:cs="David" w:hint="default"/>
          <w:rtl/>
        </w:rPr>
        <w:t xml:space="preserve"> </w:t>
      </w:r>
      <w:r w:rsidRPr="00FD2A4C">
        <w:rPr>
          <w:rFonts w:ascii="David" w:hAnsi="David" w:cs="David" w:hint="default"/>
          <w:b/>
          <w:bCs/>
          <w:rtl/>
        </w:rPr>
        <w:t xml:space="preserve">עניין ד"ר פריש ליאון, </w:t>
      </w:r>
      <w:r w:rsidRPr="00FD2A4C">
        <w:rPr>
          <w:rFonts w:ascii="David" w:hAnsi="David" w:cs="David" w:hint="default"/>
          <w:rtl/>
        </w:rPr>
        <w:t xml:space="preserve">לעיל ה"ש </w:t>
      </w:r>
      <w:r w:rsidR="00FF48D8">
        <w:rPr>
          <w:rFonts w:ascii="David" w:hAnsi="David" w:cs="David" w:hint="cs"/>
          <w:rtl/>
        </w:rPr>
        <w:t>64</w:t>
      </w:r>
      <w:r w:rsidRPr="00FD2A4C">
        <w:rPr>
          <w:rFonts w:ascii="David" w:hAnsi="David" w:cs="David" w:hint="default"/>
          <w:rtl/>
        </w:rPr>
        <w:t>, בעמ' 6.</w:t>
      </w:r>
    </w:p>
  </w:footnote>
  <w:footnote w:id="69">
    <w:p w:rsidR="00B9259F" w:rsidRPr="00FD2A4C" w:rsidRDefault="00BE211D" w:rsidP="00FF48D8">
      <w:pPr>
        <w:pStyle w:val="a5"/>
        <w:spacing w:after="0"/>
        <w:rPr>
          <w:rFonts w:ascii="David" w:hAnsi="David" w:cs="David" w:hint="default"/>
        </w:rPr>
      </w:pPr>
      <w:r w:rsidRPr="00FD2A4C">
        <w:rPr>
          <w:rStyle w:val="a7"/>
          <w:rFonts w:ascii="David" w:hAnsi="David" w:cs="David" w:hint="default"/>
        </w:rPr>
        <w:footnoteRef/>
      </w:r>
      <w:r w:rsidRPr="00FD2A4C">
        <w:rPr>
          <w:rFonts w:ascii="David" w:hAnsi="David" w:cs="David" w:hint="default"/>
          <w:rtl/>
        </w:rPr>
        <w:t xml:space="preserve"> </w:t>
      </w:r>
      <w:r w:rsidRPr="00FD2A4C">
        <w:rPr>
          <w:rFonts w:ascii="David" w:hAnsi="David" w:cs="David" w:hint="default"/>
          <w:b/>
          <w:bCs/>
          <w:rtl/>
        </w:rPr>
        <w:t xml:space="preserve">עניין ד"ר פריש ליאון, </w:t>
      </w:r>
      <w:r w:rsidRPr="00FD2A4C">
        <w:rPr>
          <w:rFonts w:ascii="David" w:hAnsi="David" w:cs="David" w:hint="default"/>
          <w:rtl/>
        </w:rPr>
        <w:t xml:space="preserve">לעיל ה"ש </w:t>
      </w:r>
      <w:r w:rsidR="00FF48D8">
        <w:rPr>
          <w:rFonts w:ascii="David" w:hAnsi="David" w:cs="David" w:hint="cs"/>
          <w:rtl/>
        </w:rPr>
        <w:t>64</w:t>
      </w:r>
      <w:r w:rsidRPr="00FD2A4C">
        <w:rPr>
          <w:rFonts w:ascii="David" w:hAnsi="David" w:cs="David" w:hint="default"/>
          <w:rtl/>
        </w:rPr>
        <w:t>, בעמ' 8.</w:t>
      </w:r>
    </w:p>
  </w:footnote>
  <w:footnote w:id="70">
    <w:p w:rsidR="00B9259F" w:rsidRDefault="00BE211D" w:rsidP="00140001">
      <w:pPr>
        <w:pStyle w:val="a5"/>
        <w:spacing w:after="0"/>
        <w:rPr>
          <w:rFonts w:hint="default"/>
          <w:rtl/>
        </w:rPr>
      </w:pPr>
      <w:r w:rsidRPr="00CC18B9">
        <w:rPr>
          <w:rStyle w:val="a7"/>
          <w:rFonts w:ascii="David" w:hAnsi="David" w:cs="David" w:hint="default"/>
        </w:rPr>
        <w:footnoteRef/>
      </w:r>
      <w:r w:rsidRPr="00CC18B9">
        <w:rPr>
          <w:rFonts w:ascii="David" w:hAnsi="David" w:cs="David" w:hint="default"/>
          <w:rtl/>
        </w:rPr>
        <w:t xml:space="preserve"> </w:t>
      </w:r>
      <w:r>
        <w:rPr>
          <w:rFonts w:ascii="David" w:hAnsi="David" w:cs="David" w:hint="cs"/>
          <w:rtl/>
        </w:rPr>
        <w:t>שם.</w:t>
      </w:r>
    </w:p>
  </w:footnote>
  <w:footnote w:id="71">
    <w:p w:rsidR="0017349D" w:rsidRPr="00CC18B9" w:rsidRDefault="00BE211D" w:rsidP="0017349D">
      <w:pPr>
        <w:pStyle w:val="a5"/>
        <w:spacing w:after="0"/>
        <w:rPr>
          <w:rFonts w:ascii="David" w:hAnsi="David" w:cs="David" w:hint="default"/>
          <w:rtl/>
        </w:rPr>
      </w:pPr>
      <w:r w:rsidRPr="00CC18B9">
        <w:rPr>
          <w:rStyle w:val="a7"/>
          <w:rFonts w:ascii="David" w:hAnsi="David" w:cs="David" w:hint="default"/>
        </w:rPr>
        <w:footnoteRef/>
      </w:r>
      <w:r w:rsidRPr="00CC18B9">
        <w:rPr>
          <w:rFonts w:ascii="David" w:hAnsi="David" w:cs="David" w:hint="default"/>
          <w:rtl/>
        </w:rPr>
        <w:t xml:space="preserve"> </w:t>
      </w:r>
      <w:r>
        <w:rPr>
          <w:rFonts w:ascii="David" w:hAnsi="David" w:cs="David" w:hint="cs"/>
          <w:rtl/>
        </w:rPr>
        <w:t xml:space="preserve">טל טבקין, </w:t>
      </w:r>
      <w:r w:rsidRPr="00CC3B4B">
        <w:rPr>
          <w:rFonts w:ascii="David" w:hAnsi="David" w:cs="David" w:hint="default"/>
          <w:b/>
          <w:bCs/>
          <w:rtl/>
        </w:rPr>
        <w:t>התיישנות</w:t>
      </w:r>
      <w:r w:rsidRPr="00CC18B9">
        <w:rPr>
          <w:rFonts w:ascii="David" w:hAnsi="David" w:cs="David" w:hint="default"/>
          <w:rtl/>
        </w:rPr>
        <w:t xml:space="preserve">, </w:t>
      </w:r>
      <w:r>
        <w:rPr>
          <w:rFonts w:ascii="David" w:hAnsi="David" w:cs="David" w:hint="cs"/>
          <w:rtl/>
        </w:rPr>
        <w:t xml:space="preserve"> תשע"ד 2014, </w:t>
      </w:r>
      <w:r w:rsidRPr="00CC18B9">
        <w:rPr>
          <w:rFonts w:ascii="David" w:hAnsi="David" w:cs="David" w:hint="default"/>
          <w:rtl/>
        </w:rPr>
        <w:t>בעמ' 14.</w:t>
      </w:r>
    </w:p>
  </w:footnote>
  <w:footnote w:id="72">
    <w:p w:rsidR="00B9259F" w:rsidRPr="0051285E" w:rsidRDefault="00BE211D" w:rsidP="0051285E">
      <w:pPr>
        <w:pStyle w:val="a5"/>
        <w:spacing w:after="0"/>
        <w:rPr>
          <w:rFonts w:ascii="David" w:hAnsi="David" w:cs="David" w:hint="default"/>
          <w:rtl/>
        </w:rPr>
      </w:pPr>
      <w:r w:rsidRPr="00CC3B4B">
        <w:rPr>
          <w:rStyle w:val="a7"/>
          <w:rFonts w:ascii="David" w:hAnsi="David" w:cs="David" w:hint="default"/>
        </w:rPr>
        <w:footnoteRef/>
      </w:r>
      <w:r>
        <w:rPr>
          <w:rFonts w:ascii="David" w:hAnsi="David" w:cs="David" w:hint="cs"/>
          <w:rtl/>
        </w:rPr>
        <w:t xml:space="preserve"> אסף פוזנר, לעיל ה"ש 55, בעמ' 18.</w:t>
      </w:r>
    </w:p>
  </w:footnote>
  <w:footnote w:id="73">
    <w:p w:rsidR="00B9259F" w:rsidRPr="009D16CC" w:rsidRDefault="00BE211D" w:rsidP="00483773">
      <w:pPr>
        <w:pStyle w:val="a5"/>
        <w:spacing w:after="0"/>
        <w:rPr>
          <w:rFonts w:ascii="David" w:hAnsi="David" w:cs="David" w:hint="default"/>
        </w:rPr>
      </w:pPr>
      <w:r w:rsidRPr="009D16CC">
        <w:rPr>
          <w:rStyle w:val="a7"/>
          <w:rFonts w:ascii="David" w:hAnsi="David" w:cs="David" w:hint="default"/>
        </w:rPr>
        <w:footnoteRef/>
      </w:r>
      <w:r w:rsidRPr="009D16CC">
        <w:rPr>
          <w:rFonts w:ascii="David" w:hAnsi="David" w:cs="David" w:hint="default"/>
          <w:rtl/>
        </w:rPr>
        <w:t xml:space="preserve"> רע"א 369/57 </w:t>
      </w:r>
      <w:r w:rsidRPr="009D16CC">
        <w:rPr>
          <w:rFonts w:ascii="David" w:hAnsi="David" w:cs="David" w:hint="default"/>
          <w:b/>
          <w:bCs/>
          <w:rtl/>
        </w:rPr>
        <w:t xml:space="preserve">נסברג נ' פלוס, </w:t>
      </w:r>
      <w:r w:rsidRPr="009D16CC">
        <w:rPr>
          <w:rFonts w:ascii="David" w:hAnsi="David" w:cs="David" w:hint="default"/>
          <w:rtl/>
        </w:rPr>
        <w:t>פ"ד יג 584, 586-587 (1959).</w:t>
      </w:r>
    </w:p>
  </w:footnote>
  <w:footnote w:id="74">
    <w:p w:rsidR="00B9259F" w:rsidRPr="009D16CC" w:rsidRDefault="00BE211D" w:rsidP="0051285E">
      <w:pPr>
        <w:pStyle w:val="a5"/>
        <w:spacing w:after="0"/>
        <w:rPr>
          <w:rFonts w:ascii="David" w:hAnsi="David" w:cs="David" w:hint="default"/>
          <w:rtl/>
        </w:rPr>
      </w:pPr>
      <w:r w:rsidRPr="009D16CC">
        <w:rPr>
          <w:rStyle w:val="a7"/>
          <w:rFonts w:ascii="David" w:hAnsi="David" w:cs="David" w:hint="default"/>
        </w:rPr>
        <w:footnoteRef/>
      </w:r>
      <w:r w:rsidRPr="009D16CC">
        <w:rPr>
          <w:rFonts w:ascii="David" w:hAnsi="David" w:cs="David" w:hint="default"/>
          <w:rtl/>
        </w:rPr>
        <w:t xml:space="preserve"> אסף פוזנר, לעיל ה"ש 55, בעמ' 55.</w:t>
      </w:r>
    </w:p>
  </w:footnote>
  <w:footnote w:id="75">
    <w:p w:rsidR="00B9259F" w:rsidRPr="009D16CC" w:rsidRDefault="00BE211D" w:rsidP="006E68F3">
      <w:pPr>
        <w:pStyle w:val="a5"/>
        <w:spacing w:after="0"/>
        <w:rPr>
          <w:rFonts w:ascii="David" w:hAnsi="David" w:cs="David" w:hint="default"/>
          <w:rtl/>
        </w:rPr>
      </w:pPr>
      <w:r w:rsidRPr="009D16CC">
        <w:rPr>
          <w:rStyle w:val="a7"/>
          <w:rFonts w:ascii="David" w:hAnsi="David" w:cs="David" w:hint="default"/>
        </w:rPr>
        <w:footnoteRef/>
      </w:r>
      <w:r w:rsidRPr="009D16CC">
        <w:rPr>
          <w:rFonts w:ascii="David" w:hAnsi="David" w:cs="David" w:hint="default"/>
          <w:rtl/>
        </w:rPr>
        <w:t xml:space="preserve"> שם.</w:t>
      </w:r>
    </w:p>
  </w:footnote>
  <w:footnote w:id="76">
    <w:p w:rsidR="00B9259F" w:rsidRPr="009D16CC" w:rsidRDefault="00BE211D" w:rsidP="0017349D">
      <w:pPr>
        <w:pStyle w:val="a5"/>
        <w:spacing w:after="0"/>
        <w:rPr>
          <w:rFonts w:ascii="David" w:hAnsi="David" w:cs="David" w:hint="default"/>
          <w:rtl/>
        </w:rPr>
      </w:pPr>
      <w:r w:rsidRPr="009D16CC">
        <w:rPr>
          <w:rStyle w:val="a7"/>
          <w:rFonts w:ascii="David" w:hAnsi="David" w:cs="David" w:hint="default"/>
        </w:rPr>
        <w:footnoteRef/>
      </w:r>
      <w:r w:rsidRPr="009D16CC">
        <w:rPr>
          <w:rFonts w:ascii="David" w:hAnsi="David" w:cs="David" w:hint="default"/>
          <w:rtl/>
        </w:rPr>
        <w:t xml:space="preserve"> טל טבקין, לעיל ה"ש </w:t>
      </w:r>
      <w:r w:rsidR="0017349D">
        <w:rPr>
          <w:rFonts w:ascii="David" w:hAnsi="David" w:cs="David" w:hint="cs"/>
          <w:rtl/>
        </w:rPr>
        <w:t>71</w:t>
      </w:r>
      <w:r w:rsidRPr="009D16CC">
        <w:rPr>
          <w:rFonts w:ascii="David" w:hAnsi="David" w:cs="David" w:hint="default"/>
          <w:rtl/>
        </w:rPr>
        <w:t>, בעמ' 414.</w:t>
      </w:r>
    </w:p>
  </w:footnote>
  <w:footnote w:id="77">
    <w:p w:rsidR="00B9259F" w:rsidRPr="009D0BCE" w:rsidRDefault="00BE211D" w:rsidP="00847A75">
      <w:pPr>
        <w:pStyle w:val="a5"/>
        <w:spacing w:after="0"/>
        <w:rPr>
          <w:rFonts w:ascii="David" w:hAnsi="David" w:cs="David" w:hint="default"/>
          <w:rtl/>
        </w:rPr>
      </w:pPr>
      <w:r w:rsidRPr="009D16CC">
        <w:rPr>
          <w:rStyle w:val="a7"/>
          <w:rFonts w:ascii="David" w:hAnsi="David" w:cs="David" w:hint="default"/>
        </w:rPr>
        <w:footnoteRef/>
      </w:r>
      <w:r w:rsidRPr="009D16CC">
        <w:rPr>
          <w:rFonts w:ascii="David" w:hAnsi="David" w:cs="David" w:hint="default"/>
          <w:rtl/>
        </w:rPr>
        <w:t xml:space="preserve"> ס' 5א(2) לחוק הנזיקים האזרחיים (אחריות המדינה).</w:t>
      </w:r>
    </w:p>
  </w:footnote>
  <w:footnote w:id="78">
    <w:p w:rsidR="00B9259F" w:rsidRPr="00C47ABA" w:rsidRDefault="00BE211D" w:rsidP="009D0BCE">
      <w:pPr>
        <w:pStyle w:val="a5"/>
        <w:spacing w:after="0"/>
        <w:rPr>
          <w:rFonts w:ascii="David" w:hAnsi="David" w:cs="David" w:hint="default"/>
        </w:rPr>
      </w:pPr>
      <w:r w:rsidRPr="00C47ABA">
        <w:rPr>
          <w:rStyle w:val="a7"/>
          <w:rFonts w:ascii="David" w:hAnsi="David" w:cs="David" w:hint="default"/>
        </w:rPr>
        <w:footnoteRef/>
      </w:r>
      <w:r w:rsidRPr="00C47ABA">
        <w:rPr>
          <w:rFonts w:ascii="David" w:hAnsi="David" w:cs="David" w:hint="default"/>
          <w:rtl/>
        </w:rPr>
        <w:t xml:space="preserve"> ס' 5א(3) לחוק הנזיקים האזרחיים (אחריות המדינה).</w:t>
      </w:r>
    </w:p>
  </w:footnote>
  <w:footnote w:id="79">
    <w:p w:rsidR="00B9259F" w:rsidRPr="00C47ABA" w:rsidRDefault="00BE211D" w:rsidP="009D16CC">
      <w:pPr>
        <w:pStyle w:val="a5"/>
        <w:spacing w:after="0"/>
        <w:rPr>
          <w:rFonts w:ascii="David" w:hAnsi="David" w:cs="David" w:hint="default"/>
        </w:rPr>
      </w:pPr>
      <w:r w:rsidRPr="00C47ABA">
        <w:rPr>
          <w:rStyle w:val="a7"/>
          <w:rFonts w:ascii="David" w:hAnsi="David" w:cs="David" w:hint="default"/>
        </w:rPr>
        <w:footnoteRef/>
      </w:r>
      <w:r w:rsidRPr="00C47ABA">
        <w:rPr>
          <w:rFonts w:ascii="David" w:hAnsi="David" w:cs="David" w:hint="default"/>
          <w:rtl/>
        </w:rPr>
        <w:t xml:space="preserve"> שם.</w:t>
      </w:r>
    </w:p>
  </w:footnote>
  <w:footnote w:id="80">
    <w:p w:rsidR="00B9259F" w:rsidRPr="00C47ABA" w:rsidRDefault="00BE211D" w:rsidP="0017349D">
      <w:pPr>
        <w:pStyle w:val="a5"/>
        <w:spacing w:after="0"/>
        <w:rPr>
          <w:rFonts w:ascii="David" w:hAnsi="David" w:cs="David" w:hint="default"/>
          <w:rtl/>
        </w:rPr>
      </w:pPr>
      <w:r w:rsidRPr="00C47ABA">
        <w:rPr>
          <w:rStyle w:val="a7"/>
          <w:rFonts w:ascii="David" w:hAnsi="David" w:cs="David" w:hint="default"/>
        </w:rPr>
        <w:footnoteRef/>
      </w:r>
      <w:r w:rsidRPr="00C47ABA">
        <w:rPr>
          <w:rFonts w:ascii="David" w:hAnsi="David" w:cs="David" w:hint="default"/>
          <w:rtl/>
        </w:rPr>
        <w:t xml:space="preserve"> טל טבקין, לעיל ה"ש </w:t>
      </w:r>
      <w:r w:rsidR="0017349D">
        <w:rPr>
          <w:rFonts w:ascii="David" w:hAnsi="David" w:cs="David" w:hint="cs"/>
          <w:rtl/>
        </w:rPr>
        <w:t>71</w:t>
      </w:r>
      <w:r w:rsidRPr="00C47ABA">
        <w:rPr>
          <w:rFonts w:ascii="David" w:hAnsi="David" w:cs="David" w:hint="default"/>
          <w:rtl/>
        </w:rPr>
        <w:t xml:space="preserve">, בעמ' </w:t>
      </w:r>
      <w:r w:rsidRPr="00C47ABA">
        <w:rPr>
          <w:rFonts w:ascii="David" w:hAnsi="David" w:cs="David" w:hint="default"/>
          <w:rtl/>
        </w:rPr>
        <w:t>415.</w:t>
      </w:r>
    </w:p>
  </w:footnote>
  <w:footnote w:id="81">
    <w:p w:rsidR="00B9259F" w:rsidRPr="00C47ABA" w:rsidRDefault="00BE211D" w:rsidP="00176D00">
      <w:pPr>
        <w:pStyle w:val="a5"/>
        <w:spacing w:after="0"/>
        <w:rPr>
          <w:rFonts w:ascii="David" w:hAnsi="David" w:cs="David" w:hint="default"/>
          <w:rtl/>
        </w:rPr>
      </w:pPr>
      <w:r w:rsidRPr="00C47ABA">
        <w:rPr>
          <w:rStyle w:val="a7"/>
          <w:rFonts w:ascii="David" w:hAnsi="David" w:cs="David" w:hint="default"/>
        </w:rPr>
        <w:footnoteRef/>
      </w:r>
      <w:r w:rsidRPr="00C47ABA">
        <w:rPr>
          <w:rFonts w:ascii="David" w:hAnsi="David" w:cs="David" w:hint="default"/>
          <w:rtl/>
        </w:rPr>
        <w:t xml:space="preserve"> רע"א 6582/10 </w:t>
      </w:r>
      <w:r w:rsidRPr="00C47ABA">
        <w:rPr>
          <w:rFonts w:ascii="David" w:hAnsi="David" w:cs="David" w:hint="default"/>
          <w:b/>
          <w:bCs/>
          <w:rtl/>
        </w:rPr>
        <w:t xml:space="preserve">מדינת ישראל נ' נבילי, </w:t>
      </w:r>
      <w:r w:rsidRPr="00C47ABA">
        <w:rPr>
          <w:rFonts w:ascii="David" w:hAnsi="David" w:cs="David" w:hint="default"/>
          <w:rtl/>
        </w:rPr>
        <w:t>פס' 7 (פורסם בנבו, 27.12.2011).</w:t>
      </w:r>
    </w:p>
  </w:footnote>
  <w:footnote w:id="82">
    <w:p w:rsidR="00B9259F" w:rsidRPr="00C47ABA" w:rsidRDefault="00BE211D" w:rsidP="007A6FB5">
      <w:pPr>
        <w:pStyle w:val="a5"/>
        <w:spacing w:after="0"/>
        <w:rPr>
          <w:rFonts w:ascii="David" w:hAnsi="David" w:cs="David" w:hint="default"/>
          <w:rtl/>
        </w:rPr>
      </w:pPr>
      <w:r w:rsidRPr="00C47ABA">
        <w:rPr>
          <w:rStyle w:val="a7"/>
          <w:rFonts w:ascii="David" w:hAnsi="David" w:cs="David" w:hint="default"/>
        </w:rPr>
        <w:footnoteRef/>
      </w:r>
      <w:r w:rsidRPr="00C47ABA">
        <w:rPr>
          <w:rFonts w:ascii="David" w:hAnsi="David" w:cs="David" w:hint="default"/>
          <w:rtl/>
        </w:rPr>
        <w:t xml:space="preserve"> רע"א 5156/10 </w:t>
      </w:r>
      <w:r w:rsidRPr="00C47ABA">
        <w:rPr>
          <w:rFonts w:ascii="David" w:hAnsi="David" w:cs="David" w:hint="default"/>
          <w:b/>
          <w:bCs/>
          <w:rtl/>
        </w:rPr>
        <w:t>עזבון טאלב נ' מדינת ישראל</w:t>
      </w:r>
      <w:r w:rsidRPr="00C47ABA">
        <w:rPr>
          <w:rFonts w:ascii="David" w:hAnsi="David" w:cs="David" w:hint="default"/>
          <w:rtl/>
        </w:rPr>
        <w:t>, פס' טו (פורסם בנבו, 6.8.2012).</w:t>
      </w:r>
    </w:p>
  </w:footnote>
  <w:footnote w:id="83">
    <w:p w:rsidR="00B9259F" w:rsidRPr="00C47ABA" w:rsidRDefault="00BE211D" w:rsidP="007A6FB5">
      <w:pPr>
        <w:pStyle w:val="a5"/>
        <w:spacing w:after="0"/>
        <w:rPr>
          <w:rFonts w:ascii="David" w:hAnsi="David" w:cs="David" w:hint="default"/>
        </w:rPr>
      </w:pPr>
      <w:r w:rsidRPr="00C47ABA">
        <w:rPr>
          <w:rStyle w:val="a7"/>
          <w:rFonts w:ascii="David" w:hAnsi="David" w:cs="David" w:hint="default"/>
        </w:rPr>
        <w:footnoteRef/>
      </w:r>
      <w:r w:rsidRPr="00C47ABA">
        <w:rPr>
          <w:rFonts w:ascii="David" w:hAnsi="David" w:cs="David" w:hint="default"/>
          <w:rtl/>
        </w:rPr>
        <w:t xml:space="preserve"> ת"א (מחוז י-ם) 22563-07-12 </w:t>
      </w:r>
      <w:r w:rsidRPr="00C47ABA">
        <w:rPr>
          <w:rFonts w:ascii="David" w:hAnsi="David" w:cs="David" w:hint="default"/>
          <w:b/>
          <w:bCs/>
          <w:rtl/>
        </w:rPr>
        <w:t xml:space="preserve">אשתייה נ' מדינת ישראל, </w:t>
      </w:r>
      <w:r w:rsidRPr="00C47ABA">
        <w:rPr>
          <w:rFonts w:ascii="David" w:hAnsi="David" w:cs="David" w:hint="default"/>
          <w:rtl/>
        </w:rPr>
        <w:t>פס' 31 (פורסם בנבו, 24.10.2013).</w:t>
      </w:r>
    </w:p>
  </w:footnote>
  <w:footnote w:id="84">
    <w:p w:rsidR="00B9259F" w:rsidRPr="00C47ABA" w:rsidRDefault="00BE211D" w:rsidP="00C47ABA">
      <w:pPr>
        <w:pStyle w:val="a5"/>
        <w:spacing w:after="0"/>
        <w:rPr>
          <w:rFonts w:ascii="David" w:hAnsi="David" w:cs="David" w:hint="default"/>
          <w:rtl/>
        </w:rPr>
      </w:pPr>
      <w:r w:rsidRPr="00C47ABA">
        <w:rPr>
          <w:rStyle w:val="a7"/>
          <w:rFonts w:ascii="David" w:hAnsi="David" w:cs="David" w:hint="default"/>
        </w:rPr>
        <w:footnoteRef/>
      </w:r>
      <w:r w:rsidRPr="00C47ABA">
        <w:rPr>
          <w:rFonts w:ascii="David" w:hAnsi="David" w:cs="David" w:hint="default"/>
          <w:rtl/>
        </w:rPr>
        <w:t xml:space="preserve"> ת"א (מחוזי חי') 12566-</w:t>
      </w:r>
      <w:r w:rsidRPr="00C47ABA">
        <w:rPr>
          <w:rFonts w:ascii="David" w:hAnsi="David" w:cs="David" w:hint="default"/>
          <w:rtl/>
        </w:rPr>
        <w:t xml:space="preserve">09-09 </w:t>
      </w:r>
      <w:r w:rsidRPr="00C47ABA">
        <w:rPr>
          <w:rFonts w:ascii="David" w:hAnsi="David" w:cs="David" w:hint="default"/>
          <w:b/>
          <w:bCs/>
          <w:rtl/>
        </w:rPr>
        <w:t xml:space="preserve">מדינת ישראל – משרד הביטחון נ' סמארה, </w:t>
      </w:r>
      <w:r w:rsidRPr="00C47ABA">
        <w:rPr>
          <w:rFonts w:ascii="David" w:hAnsi="David" w:cs="David" w:hint="default"/>
          <w:rtl/>
        </w:rPr>
        <w:t>פס' 5 (פורסם בנבו, 21.12.2009).</w:t>
      </w:r>
    </w:p>
  </w:footnote>
  <w:footnote w:id="85">
    <w:p w:rsidR="00B9259F" w:rsidRPr="00C47ABA" w:rsidRDefault="00BE211D" w:rsidP="00097FD9">
      <w:pPr>
        <w:pStyle w:val="a5"/>
        <w:spacing w:after="0"/>
        <w:rPr>
          <w:rFonts w:ascii="David" w:hAnsi="David" w:cs="David" w:hint="default"/>
        </w:rPr>
      </w:pPr>
      <w:r w:rsidRPr="00C47ABA">
        <w:rPr>
          <w:rStyle w:val="a7"/>
          <w:rFonts w:ascii="David" w:hAnsi="David" w:cs="David" w:hint="default"/>
        </w:rPr>
        <w:footnoteRef/>
      </w:r>
      <w:r w:rsidRPr="00C47ABA">
        <w:rPr>
          <w:rFonts w:ascii="David" w:hAnsi="David" w:cs="David" w:hint="default"/>
          <w:rtl/>
        </w:rPr>
        <w:t xml:space="preserve">בג"ץ 8276/05 </w:t>
      </w:r>
      <w:r w:rsidRPr="00C47ABA">
        <w:rPr>
          <w:rFonts w:ascii="David" w:hAnsi="David" w:cs="David" w:hint="default"/>
          <w:b/>
          <w:bCs/>
          <w:rtl/>
        </w:rPr>
        <w:t xml:space="preserve">עדאלה – המרכז המשפטי לזכויות המיעוט הערבי בישראל נ' שר הביטחון, </w:t>
      </w:r>
      <w:r w:rsidRPr="00C47ABA">
        <w:rPr>
          <w:rFonts w:ascii="David" w:hAnsi="David" w:cs="David" w:hint="default"/>
          <w:rtl/>
        </w:rPr>
        <w:t>פ"ד סב (1) 1, 41 (2006).</w:t>
      </w:r>
    </w:p>
  </w:footnote>
  <w:footnote w:id="86">
    <w:p w:rsidR="00B9259F" w:rsidRPr="00EF5C70" w:rsidRDefault="00BE211D" w:rsidP="00097FD9">
      <w:pPr>
        <w:pStyle w:val="a5"/>
        <w:spacing w:after="0"/>
        <w:rPr>
          <w:rFonts w:ascii="David" w:hAnsi="David" w:cs="David" w:hint="default"/>
        </w:rPr>
      </w:pPr>
      <w:r w:rsidRPr="00C47ABA">
        <w:rPr>
          <w:rStyle w:val="a7"/>
          <w:rFonts w:ascii="David" w:hAnsi="David" w:cs="David" w:hint="default"/>
        </w:rPr>
        <w:footnoteRef/>
      </w:r>
      <w:r w:rsidRPr="00C47ABA">
        <w:rPr>
          <w:rFonts w:ascii="David" w:hAnsi="David" w:cs="David" w:hint="default"/>
          <w:rtl/>
        </w:rPr>
        <w:t xml:space="preserve"> ע"א 243/83 </w:t>
      </w:r>
      <w:r w:rsidRPr="00C47ABA">
        <w:rPr>
          <w:rFonts w:ascii="David" w:hAnsi="David" w:cs="David" w:hint="default"/>
          <w:b/>
          <w:bCs/>
          <w:rtl/>
        </w:rPr>
        <w:t>עיריית ירושלים נ' אלי גורדון</w:t>
      </w:r>
      <w:r w:rsidRPr="00C47ABA">
        <w:rPr>
          <w:rFonts w:ascii="David" w:hAnsi="David" w:cs="David" w:hint="default"/>
          <w:rtl/>
        </w:rPr>
        <w:t xml:space="preserve">, לט (1) 113, בעמ' 132, (פורסם בנבו, </w:t>
      </w:r>
      <w:r w:rsidRPr="00C47ABA">
        <w:rPr>
          <w:rFonts w:ascii="David" w:hAnsi="David" w:cs="David" w:hint="default"/>
          <w:rtl/>
        </w:rPr>
        <w:t>11.02.1985).</w:t>
      </w:r>
    </w:p>
  </w:footnote>
  <w:footnote w:id="87">
    <w:p w:rsidR="00B9259F" w:rsidRPr="00F83258" w:rsidRDefault="00BE211D" w:rsidP="00F60958">
      <w:pPr>
        <w:spacing w:after="0"/>
        <w:jc w:val="both"/>
        <w:rPr>
          <w:rFonts w:ascii="David" w:hAnsi="David" w:cs="David" w:hint="default"/>
          <w:sz w:val="20"/>
          <w:szCs w:val="20"/>
          <w:rtl/>
        </w:rPr>
      </w:pPr>
      <w:r w:rsidRPr="00EF5C70">
        <w:rPr>
          <w:rStyle w:val="a7"/>
          <w:rFonts w:ascii="David" w:hAnsi="David" w:cs="David" w:hint="default"/>
          <w:sz w:val="20"/>
          <w:szCs w:val="20"/>
        </w:rPr>
        <w:footnoteRef/>
      </w:r>
      <w:r>
        <w:rPr>
          <w:rFonts w:ascii="David" w:hAnsi="David" w:cs="David" w:hint="cs"/>
          <w:sz w:val="20"/>
          <w:szCs w:val="20"/>
          <w:rtl/>
        </w:rPr>
        <w:t xml:space="preserve"> עו"ד אלי דורון, אחריות המדינה</w:t>
      </w:r>
      <w:r w:rsidRPr="00EF5C70">
        <w:rPr>
          <w:rFonts w:ascii="David" w:hAnsi="David" w:cs="David" w:hint="default"/>
          <w:sz w:val="20"/>
          <w:szCs w:val="20"/>
          <w:rtl/>
        </w:rPr>
        <w:t xml:space="preserve"> </w:t>
      </w:r>
      <w:hyperlink r:id="rId5" w:history="1">
        <w:r w:rsidRPr="00EF5C70">
          <w:rPr>
            <w:rStyle w:val="Hyperlink"/>
            <w:rFonts w:ascii="David" w:hAnsi="David" w:cs="David" w:hint="default"/>
            <w:sz w:val="20"/>
            <w:szCs w:val="20"/>
          </w:rPr>
          <w:t>www.dt-law.co.il/articles.asp?ArticleID=1340</w:t>
        </w:r>
      </w:hyperlink>
      <w:r>
        <w:rPr>
          <w:rStyle w:val="Hyperlink"/>
          <w:rFonts w:ascii="David" w:hAnsi="David" w:cs="David" w:hint="eastAsia"/>
          <w:sz w:val="20"/>
          <w:szCs w:val="20"/>
          <w:rtl/>
        </w:rPr>
        <w:t xml:space="preserve"> </w:t>
      </w:r>
      <w:r>
        <w:rPr>
          <w:rFonts w:ascii="David" w:hAnsi="David" w:cs="David" w:hint="cs"/>
          <w:sz w:val="20"/>
          <w:szCs w:val="20"/>
          <w:rtl/>
        </w:rPr>
        <w:t xml:space="preserve"> , (נבדק לאחרונה ב-1.10.2018).</w:t>
      </w:r>
    </w:p>
  </w:footnote>
  <w:footnote w:id="88">
    <w:p w:rsidR="00B9259F" w:rsidRPr="008136C4" w:rsidRDefault="00BE211D" w:rsidP="00F83258">
      <w:pPr>
        <w:pStyle w:val="a5"/>
        <w:spacing w:after="0"/>
        <w:rPr>
          <w:rFonts w:ascii="David" w:hAnsi="David" w:cs="David" w:hint="default"/>
          <w:rtl/>
        </w:rPr>
      </w:pPr>
      <w:r w:rsidRPr="008136C4">
        <w:rPr>
          <w:rStyle w:val="a7"/>
          <w:rFonts w:ascii="David" w:hAnsi="David" w:cs="David" w:hint="default"/>
        </w:rPr>
        <w:footnoteRef/>
      </w:r>
      <w:r w:rsidRPr="008136C4">
        <w:rPr>
          <w:rFonts w:ascii="David" w:hAnsi="David" w:cs="David" w:hint="default"/>
          <w:rtl/>
        </w:rPr>
        <w:t xml:space="preserve"> שם.</w:t>
      </w:r>
    </w:p>
  </w:footnote>
  <w:footnote w:id="89">
    <w:p w:rsidR="00B9259F" w:rsidRPr="00E207A7" w:rsidRDefault="00BE211D" w:rsidP="00E207A7">
      <w:pPr>
        <w:pStyle w:val="a5"/>
        <w:spacing w:after="0"/>
        <w:rPr>
          <w:rFonts w:ascii="David" w:hAnsi="David" w:cs="David" w:hint="default"/>
        </w:rPr>
      </w:pPr>
      <w:r w:rsidRPr="00E207A7">
        <w:rPr>
          <w:rStyle w:val="a7"/>
          <w:rFonts w:ascii="David" w:hAnsi="David" w:cs="David" w:hint="default"/>
        </w:rPr>
        <w:footnoteRef/>
      </w:r>
      <w:r w:rsidRPr="00E207A7">
        <w:rPr>
          <w:rFonts w:ascii="David" w:hAnsi="David" w:cs="David" w:hint="default"/>
          <w:rtl/>
        </w:rPr>
        <w:t xml:space="preserve"> שם.</w:t>
      </w:r>
    </w:p>
  </w:footnote>
  <w:footnote w:id="90">
    <w:p w:rsidR="00B9259F" w:rsidRDefault="00BE211D" w:rsidP="00E207A7">
      <w:pPr>
        <w:pStyle w:val="a5"/>
        <w:spacing w:after="0"/>
        <w:rPr>
          <w:rFonts w:hint="default"/>
          <w:rtl/>
        </w:rPr>
      </w:pPr>
      <w:r w:rsidRPr="00E207A7">
        <w:rPr>
          <w:rStyle w:val="a7"/>
          <w:rFonts w:ascii="David" w:hAnsi="David" w:cs="David" w:hint="default"/>
        </w:rPr>
        <w:footnoteRef/>
      </w:r>
      <w:r w:rsidRPr="00E207A7">
        <w:rPr>
          <w:rFonts w:ascii="David" w:hAnsi="David" w:cs="David" w:hint="default"/>
          <w:rtl/>
        </w:rPr>
        <w:t xml:space="preserve"> שם.</w:t>
      </w:r>
    </w:p>
  </w:footnote>
  <w:footnote w:id="91">
    <w:p w:rsidR="00B9259F" w:rsidRPr="002E5582" w:rsidRDefault="00BE211D" w:rsidP="006D6636">
      <w:pPr>
        <w:pStyle w:val="a5"/>
        <w:spacing w:after="0"/>
        <w:rPr>
          <w:rFonts w:ascii="David" w:hAnsi="David" w:cs="David" w:hint="default"/>
          <w:rtl/>
        </w:rPr>
      </w:pPr>
      <w:r w:rsidRPr="002E5582">
        <w:rPr>
          <w:rStyle w:val="a7"/>
          <w:rFonts w:ascii="David" w:hAnsi="David" w:cs="David" w:hint="default"/>
        </w:rPr>
        <w:footnoteRef/>
      </w:r>
      <w:r w:rsidRPr="002E5582">
        <w:rPr>
          <w:rFonts w:ascii="David" w:hAnsi="David" w:cs="David" w:hint="default"/>
          <w:rtl/>
        </w:rPr>
        <w:t xml:space="preserve"> מרכז המחקר והמידע בכנסת, סוגיית מתן דפו-פרוברה לנשים י</w:t>
      </w:r>
      <w:r>
        <w:rPr>
          <w:rFonts w:ascii="David" w:hAnsi="David" w:cs="David" w:hint="default"/>
          <w:rtl/>
        </w:rPr>
        <w:t>וצאות אתיופיה, פורסם ב22.5.2013</w:t>
      </w:r>
      <w:r>
        <w:rPr>
          <w:rFonts w:ascii="David" w:hAnsi="David" w:cs="David" w:hint="cs"/>
          <w:rtl/>
        </w:rPr>
        <w:t xml:space="preserve"> </w:t>
      </w:r>
      <w:r>
        <w:rPr>
          <w:rFonts w:ascii="David" w:hAnsi="David" w:cs="David" w:hint="default"/>
        </w:rPr>
        <w:t xml:space="preserve">  </w:t>
      </w:r>
      <w:hyperlink r:id="rId6" w:history="1">
        <w:r w:rsidRPr="007729AE">
          <w:rPr>
            <w:rStyle w:val="Hyperlink"/>
            <w:rFonts w:ascii="David" w:hAnsi="David" w:cs="David" w:hint="default"/>
          </w:rPr>
          <w:t>www.knesset.gov.il/mmm/data/pdf/m03219.pdf</w:t>
        </w:r>
      </w:hyperlink>
      <w:r>
        <w:rPr>
          <w:rFonts w:ascii="David" w:hAnsi="David" w:cs="David" w:hint="cs"/>
          <w:rtl/>
        </w:rPr>
        <w:t xml:space="preserve"> (נבדק לאחרונה ב-1.10.2018).</w:t>
      </w:r>
    </w:p>
  </w:footnote>
  <w:footnote w:id="92">
    <w:p w:rsidR="00B9259F" w:rsidRPr="00871382" w:rsidRDefault="00BE211D" w:rsidP="00871382">
      <w:pPr>
        <w:pStyle w:val="a5"/>
        <w:spacing w:after="0"/>
        <w:rPr>
          <w:rFonts w:ascii="David" w:hAnsi="David" w:cs="David" w:hint="default"/>
          <w:rtl/>
        </w:rPr>
      </w:pPr>
      <w:r w:rsidRPr="00871382">
        <w:rPr>
          <w:rStyle w:val="a7"/>
          <w:rFonts w:ascii="David" w:hAnsi="David" w:cs="David" w:hint="default"/>
        </w:rPr>
        <w:footnoteRef/>
      </w:r>
      <w:r w:rsidRPr="00871382">
        <w:rPr>
          <w:rFonts w:ascii="David" w:hAnsi="David" w:cs="David" w:hint="default"/>
          <w:rtl/>
        </w:rPr>
        <w:t xml:space="preserve"> חוק ביטוח בריאות ממלכתי, תשנ"ד-1994.</w:t>
      </w:r>
    </w:p>
  </w:footnote>
  <w:footnote w:id="93">
    <w:p w:rsidR="00B9259F" w:rsidRPr="006D6636" w:rsidRDefault="00BE211D" w:rsidP="006D6636">
      <w:pPr>
        <w:pStyle w:val="a5"/>
        <w:spacing w:after="0"/>
        <w:rPr>
          <w:rFonts w:ascii="David" w:hAnsi="David" w:cs="David" w:hint="default"/>
          <w:rtl/>
        </w:rPr>
      </w:pPr>
      <w:r w:rsidRPr="006D6636">
        <w:rPr>
          <w:rStyle w:val="a7"/>
          <w:rFonts w:ascii="David" w:hAnsi="David" w:cs="David" w:hint="default"/>
        </w:rPr>
        <w:footnoteRef/>
      </w:r>
      <w:r w:rsidRPr="006D6636">
        <w:rPr>
          <w:rFonts w:ascii="David" w:hAnsi="David" w:cs="David" w:hint="default"/>
          <w:rtl/>
        </w:rPr>
        <w:t xml:space="preserve"> טלילה נשר, המדינה מודה: נשים אתיופיות טופלו למניעת הריון באופן פסול, </w:t>
      </w:r>
      <w:r w:rsidRPr="006D6636">
        <w:rPr>
          <w:rFonts w:ascii="David" w:hAnsi="David" w:cs="David" w:hint="default"/>
          <w:b/>
          <w:bCs/>
          <w:rtl/>
        </w:rPr>
        <w:t>הארץ</w:t>
      </w:r>
      <w:r w:rsidRPr="006D6636">
        <w:rPr>
          <w:rFonts w:ascii="David" w:hAnsi="David" w:cs="David" w:hint="default"/>
          <w:rtl/>
        </w:rPr>
        <w:t xml:space="preserve">, 27.1.2013 </w:t>
      </w:r>
      <w:hyperlink r:id="rId7" w:history="1">
        <w:r w:rsidRPr="006D6636">
          <w:rPr>
            <w:rStyle w:val="Hyperlink"/>
            <w:rFonts w:ascii="David" w:hAnsi="David" w:cs="David" w:hint="default"/>
          </w:rPr>
          <w:t>www.haaretz.co.il/news/education/1.1915537</w:t>
        </w:r>
      </w:hyperlink>
      <w:r w:rsidRPr="006D6636">
        <w:rPr>
          <w:rFonts w:ascii="David" w:hAnsi="David" w:cs="David" w:hint="default"/>
          <w:rtl/>
        </w:rPr>
        <w:t xml:space="preserve"> (נבדק לאחרונה ב -1.10.</w:t>
      </w:r>
      <w:r w:rsidRPr="006D6636">
        <w:rPr>
          <w:rFonts w:ascii="David" w:hAnsi="David" w:cs="David" w:hint="default"/>
          <w:rtl/>
        </w:rPr>
        <w:t xml:space="preserve">2018). </w:t>
      </w:r>
    </w:p>
  </w:footnote>
  <w:footnote w:id="94">
    <w:p w:rsidR="00B9259F" w:rsidRPr="00CC58FD" w:rsidRDefault="00BE211D" w:rsidP="00CC58FD">
      <w:pPr>
        <w:pStyle w:val="a5"/>
        <w:spacing w:after="0"/>
        <w:rPr>
          <w:rFonts w:ascii="David" w:hAnsi="David" w:cs="David" w:hint="default"/>
          <w:rtl/>
        </w:rPr>
      </w:pPr>
      <w:r w:rsidRPr="0038043B">
        <w:rPr>
          <w:rStyle w:val="a7"/>
          <w:rFonts w:ascii="David" w:hAnsi="David" w:cs="David" w:hint="default"/>
        </w:rPr>
        <w:footnoteRef/>
      </w:r>
      <w:r>
        <w:rPr>
          <w:rFonts w:ascii="David" w:hAnsi="David" w:cs="David" w:hint="cs"/>
          <w:rtl/>
        </w:rPr>
        <w:t xml:space="preserve"> דנה וילר-פולק, סערת העולות מאתיופיה: "אמרו שלא צריך ללדת הרבה", </w:t>
      </w:r>
      <w:r>
        <w:rPr>
          <w:rFonts w:ascii="David" w:hAnsi="David" w:cs="David" w:hint="cs"/>
          <w:b/>
          <w:bCs/>
          <w:rtl/>
        </w:rPr>
        <w:t>הארץ</w:t>
      </w:r>
      <w:r>
        <w:rPr>
          <w:rFonts w:ascii="David" w:hAnsi="David" w:cs="David" w:hint="cs"/>
          <w:rtl/>
        </w:rPr>
        <w:t>, 9.12.2012</w:t>
      </w:r>
      <w:r w:rsidRPr="0038043B">
        <w:rPr>
          <w:rFonts w:ascii="David" w:hAnsi="David" w:cs="David" w:hint="default"/>
          <w:rtl/>
        </w:rPr>
        <w:t xml:space="preserve"> </w:t>
      </w:r>
      <w:hyperlink r:id="rId8" w:history="1">
        <w:r w:rsidRPr="007729AE">
          <w:rPr>
            <w:rStyle w:val="Hyperlink"/>
            <w:rFonts w:ascii="David" w:hAnsi="David" w:cs="David" w:hint="default"/>
          </w:rPr>
          <w:t>www.news.walla.co.il/item/2594896</w:t>
        </w:r>
      </w:hyperlink>
      <w:r>
        <w:rPr>
          <w:rFonts w:ascii="David" w:hAnsi="David" w:cs="David" w:hint="cs"/>
          <w:rtl/>
        </w:rPr>
        <w:t xml:space="preserve"> , (נבדק לאחרונה ב- 1.10.2018).</w:t>
      </w:r>
    </w:p>
  </w:footnote>
  <w:footnote w:id="95">
    <w:p w:rsidR="00B9259F" w:rsidRPr="00305E8F" w:rsidRDefault="00BE211D" w:rsidP="00187C5C">
      <w:pPr>
        <w:pStyle w:val="a5"/>
        <w:spacing w:after="0"/>
        <w:rPr>
          <w:rFonts w:ascii="David" w:hAnsi="David" w:cs="David" w:hint="default"/>
          <w:rtl/>
        </w:rPr>
      </w:pPr>
      <w:r w:rsidRPr="00495934">
        <w:rPr>
          <w:rStyle w:val="a7"/>
          <w:rFonts w:ascii="David" w:hAnsi="David" w:cs="David" w:hint="default"/>
        </w:rPr>
        <w:footnoteRef/>
      </w:r>
      <w:r w:rsidRPr="00495934">
        <w:rPr>
          <w:rFonts w:ascii="David" w:hAnsi="David" w:cs="David" w:hint="default"/>
          <w:rtl/>
        </w:rPr>
        <w:t xml:space="preserve"> </w:t>
      </w:r>
      <w:r>
        <w:rPr>
          <w:rFonts w:ascii="David" w:hAnsi="David" w:cs="David" w:hint="cs"/>
          <w:rtl/>
        </w:rPr>
        <w:t xml:space="preserve">אסף פוזנר, </w:t>
      </w:r>
      <w:r w:rsidRPr="00495934">
        <w:rPr>
          <w:rFonts w:ascii="David" w:hAnsi="David" w:cs="David" w:hint="default"/>
          <w:rtl/>
        </w:rPr>
        <w:t xml:space="preserve">שלוש תביעות וחוק: על נפגעי הגזזת, </w:t>
      </w:r>
      <w:r>
        <w:rPr>
          <w:rFonts w:ascii="David" w:hAnsi="David" w:cs="David" w:hint="cs"/>
          <w:b/>
          <w:bCs/>
          <w:rtl/>
        </w:rPr>
        <w:t xml:space="preserve">רפואה ומשפט, </w:t>
      </w:r>
      <w:r>
        <w:rPr>
          <w:rFonts w:ascii="David" w:hAnsi="David" w:cs="David" w:hint="cs"/>
          <w:rtl/>
        </w:rPr>
        <w:t xml:space="preserve">גיליון מס' 44, יולי 2011. </w:t>
      </w:r>
    </w:p>
  </w:footnote>
  <w:footnote w:id="96">
    <w:p w:rsidR="00B9259F" w:rsidRPr="00187108" w:rsidRDefault="00BE211D" w:rsidP="00187108">
      <w:pPr>
        <w:pStyle w:val="a5"/>
        <w:spacing w:after="0"/>
        <w:rPr>
          <w:rFonts w:ascii="David" w:hAnsi="David" w:cs="David" w:hint="default"/>
        </w:rPr>
      </w:pPr>
      <w:r w:rsidRPr="00187108">
        <w:rPr>
          <w:rStyle w:val="a7"/>
          <w:rFonts w:ascii="David" w:hAnsi="David" w:cs="David" w:hint="default"/>
        </w:rPr>
        <w:footnoteRef/>
      </w:r>
      <w:r w:rsidRPr="00187108">
        <w:rPr>
          <w:rFonts w:ascii="David" w:hAnsi="David" w:cs="David" w:hint="default"/>
          <w:rtl/>
        </w:rPr>
        <w:t xml:space="preserve"> ע"א 1535/13 </w:t>
      </w:r>
      <w:r w:rsidRPr="00187108">
        <w:rPr>
          <w:rFonts w:ascii="David" w:hAnsi="David" w:cs="David" w:hint="default"/>
          <w:b/>
          <w:bCs/>
          <w:rtl/>
        </w:rPr>
        <w:t xml:space="preserve">מדינת ישראל נ' ציפורה איבי </w:t>
      </w:r>
      <w:r w:rsidRPr="00187108">
        <w:rPr>
          <w:rFonts w:ascii="David" w:hAnsi="David" w:cs="David" w:hint="default"/>
          <w:rtl/>
        </w:rPr>
        <w:t xml:space="preserve">(פורסם בנבו, 03.09.2015). </w:t>
      </w:r>
    </w:p>
  </w:footnote>
  <w:footnote w:id="97">
    <w:p w:rsidR="00B9259F" w:rsidRPr="007018BF" w:rsidRDefault="00BE211D" w:rsidP="00001B7F">
      <w:pPr>
        <w:pStyle w:val="a5"/>
        <w:spacing w:after="0"/>
        <w:rPr>
          <w:rFonts w:ascii="David" w:hAnsi="David" w:cs="David" w:hint="default"/>
          <w:rtl/>
        </w:rPr>
      </w:pPr>
      <w:r w:rsidRPr="007018BF">
        <w:rPr>
          <w:rStyle w:val="a7"/>
          <w:rFonts w:ascii="David" w:hAnsi="David" w:cs="David" w:hint="default"/>
        </w:rPr>
        <w:footnoteRef/>
      </w:r>
      <w:r w:rsidRPr="007018BF">
        <w:rPr>
          <w:rFonts w:ascii="David" w:hAnsi="David" w:cs="David" w:hint="default"/>
          <w:rtl/>
        </w:rPr>
        <w:t xml:space="preserve"> </w:t>
      </w:r>
      <w:r>
        <w:rPr>
          <w:rFonts w:ascii="David" w:hAnsi="David" w:cs="David" w:hint="cs"/>
          <w:rtl/>
        </w:rPr>
        <w:t xml:space="preserve">עו"ד אברי רב-הון, העליון קבע המדינה הפרה את חובתה כלפי חולי הגזזת, 7.9.2015 </w:t>
      </w:r>
      <w:hyperlink r:id="rId9" w:history="1">
        <w:r w:rsidRPr="007729AE">
          <w:rPr>
            <w:rStyle w:val="Hyperlink"/>
            <w:rFonts w:ascii="David" w:hAnsi="David" w:cs="David" w:hint="default"/>
          </w:rPr>
          <w:t>www.psakdin.co.il/Document</w:t>
        </w:r>
      </w:hyperlink>
      <w:r>
        <w:rPr>
          <w:rFonts w:ascii="David" w:hAnsi="David" w:cs="David" w:hint="cs"/>
          <w:rtl/>
        </w:rPr>
        <w:t xml:space="preserve"> , (נבדק לאחרונה ב- 1.10.2018). </w:t>
      </w:r>
    </w:p>
  </w:footnote>
  <w:footnote w:id="98">
    <w:p w:rsidR="00B9259F" w:rsidRPr="00A832FC" w:rsidRDefault="00BE211D" w:rsidP="005D2489">
      <w:pPr>
        <w:pStyle w:val="a5"/>
        <w:spacing w:after="0"/>
        <w:rPr>
          <w:rFonts w:ascii="David" w:hAnsi="David" w:cs="David" w:hint="default"/>
          <w:b/>
          <w:bCs/>
          <w:rtl/>
        </w:rPr>
      </w:pPr>
      <w:r w:rsidRPr="00A832FC">
        <w:rPr>
          <w:rStyle w:val="a7"/>
          <w:rFonts w:ascii="David" w:hAnsi="David" w:cs="David" w:hint="default"/>
        </w:rPr>
        <w:footnoteRef/>
      </w:r>
      <w:r w:rsidRPr="00A832FC">
        <w:rPr>
          <w:rFonts w:ascii="David" w:hAnsi="David" w:cs="David" w:hint="default"/>
          <w:rtl/>
        </w:rPr>
        <w:t xml:space="preserve"> </w:t>
      </w:r>
      <w:r w:rsidRPr="00A832FC">
        <w:rPr>
          <w:rFonts w:ascii="David" w:hAnsi="David" w:cs="David" w:hint="default"/>
          <w:b/>
          <w:bCs/>
          <w:rtl/>
        </w:rPr>
        <w:t xml:space="preserve">עניין איבי, </w:t>
      </w:r>
      <w:r w:rsidRPr="00A832FC">
        <w:rPr>
          <w:rFonts w:ascii="David" w:hAnsi="David" w:cs="David" w:hint="default"/>
          <w:rtl/>
        </w:rPr>
        <w:t xml:space="preserve">לעיל ה"ש </w:t>
      </w:r>
      <w:r>
        <w:rPr>
          <w:rFonts w:ascii="David" w:hAnsi="David" w:cs="David" w:hint="cs"/>
          <w:rtl/>
        </w:rPr>
        <w:t>96</w:t>
      </w:r>
      <w:r w:rsidRPr="00A832FC">
        <w:rPr>
          <w:rFonts w:ascii="David" w:hAnsi="David" w:cs="David" w:hint="default"/>
          <w:rtl/>
        </w:rPr>
        <w:t xml:space="preserve">, בעמ' 29 לפסק דינה של השופטת חיות. </w:t>
      </w:r>
    </w:p>
  </w:footnote>
  <w:footnote w:id="99">
    <w:p w:rsidR="00B9259F" w:rsidRPr="003F408E" w:rsidRDefault="00BE211D" w:rsidP="003F408E">
      <w:pPr>
        <w:pStyle w:val="a5"/>
        <w:spacing w:after="0"/>
        <w:rPr>
          <w:rFonts w:ascii="David" w:hAnsi="David" w:cs="David" w:hint="default"/>
          <w:rtl/>
        </w:rPr>
      </w:pPr>
      <w:r w:rsidRPr="003F408E">
        <w:rPr>
          <w:rStyle w:val="a7"/>
          <w:rFonts w:ascii="David" w:hAnsi="David" w:cs="David" w:hint="default"/>
        </w:rPr>
        <w:footnoteRef/>
      </w:r>
      <w:r w:rsidRPr="003F408E">
        <w:rPr>
          <w:rFonts w:ascii="David" w:hAnsi="David" w:cs="David" w:hint="default"/>
          <w:rtl/>
        </w:rPr>
        <w:t xml:space="preserve"> </w:t>
      </w:r>
      <w:r>
        <w:rPr>
          <w:rFonts w:ascii="David" w:hAnsi="David" w:cs="David" w:hint="cs"/>
          <w:rtl/>
        </w:rPr>
        <w:t xml:space="preserve">חוק לפיצוי נפגעי גזזת, תשנ"ד </w:t>
      </w:r>
      <w:r>
        <w:rPr>
          <w:rFonts w:ascii="David" w:hAnsi="David" w:cs="David" w:hint="default"/>
          <w:rtl/>
        </w:rPr>
        <w:t>–</w:t>
      </w:r>
      <w:r>
        <w:rPr>
          <w:rFonts w:ascii="David" w:hAnsi="David" w:cs="David" w:hint="cs"/>
          <w:rtl/>
        </w:rPr>
        <w:t xml:space="preserve"> 1994.</w:t>
      </w:r>
    </w:p>
  </w:footnote>
  <w:footnote w:id="100">
    <w:p w:rsidR="00B9259F" w:rsidRPr="00B55AEF" w:rsidRDefault="00BE211D" w:rsidP="003F408E">
      <w:pPr>
        <w:pStyle w:val="a5"/>
        <w:spacing w:after="0"/>
        <w:rPr>
          <w:rFonts w:ascii="David" w:hAnsi="David" w:cs="David" w:hint="default"/>
        </w:rPr>
      </w:pPr>
      <w:r w:rsidRPr="00B55AEF">
        <w:rPr>
          <w:rStyle w:val="a7"/>
          <w:rFonts w:ascii="David" w:hAnsi="David" w:cs="David" w:hint="default"/>
        </w:rPr>
        <w:footnoteRef/>
      </w:r>
      <w:r w:rsidRPr="00B55AEF">
        <w:rPr>
          <w:rFonts w:ascii="David" w:hAnsi="David" w:cs="David" w:hint="default"/>
          <w:rtl/>
        </w:rPr>
        <w:t xml:space="preserve"> פקודת הנזיקין [נוסח חדש].</w:t>
      </w:r>
    </w:p>
  </w:footnote>
  <w:footnote w:id="101">
    <w:p w:rsidR="00B9259F" w:rsidRPr="00190800" w:rsidRDefault="00BE211D" w:rsidP="005D2489">
      <w:pPr>
        <w:pStyle w:val="a5"/>
        <w:spacing w:after="0"/>
        <w:rPr>
          <w:rFonts w:ascii="David" w:hAnsi="David" w:cs="David" w:hint="default"/>
          <w:rtl/>
        </w:rPr>
      </w:pPr>
      <w:r w:rsidRPr="00190800">
        <w:rPr>
          <w:rStyle w:val="a7"/>
          <w:rFonts w:ascii="David" w:hAnsi="David" w:cs="David" w:hint="default"/>
        </w:rPr>
        <w:footnoteRef/>
      </w:r>
      <w:r w:rsidRPr="00190800">
        <w:rPr>
          <w:rFonts w:ascii="David" w:hAnsi="David" w:cs="David" w:hint="default"/>
          <w:rtl/>
        </w:rPr>
        <w:t xml:space="preserve"> </w:t>
      </w:r>
      <w:r w:rsidRPr="00190800">
        <w:rPr>
          <w:rFonts w:ascii="David" w:hAnsi="David" w:cs="David" w:hint="default"/>
          <w:b/>
          <w:bCs/>
          <w:rtl/>
        </w:rPr>
        <w:t>עניין</w:t>
      </w:r>
      <w:r w:rsidRPr="00190800">
        <w:rPr>
          <w:rFonts w:ascii="David" w:hAnsi="David" w:cs="David" w:hint="default"/>
          <w:rtl/>
        </w:rPr>
        <w:t xml:space="preserve"> </w:t>
      </w:r>
      <w:r w:rsidRPr="00190800">
        <w:rPr>
          <w:rFonts w:ascii="David" w:hAnsi="David" w:cs="David" w:hint="default"/>
          <w:b/>
          <w:bCs/>
          <w:rtl/>
        </w:rPr>
        <w:t>המר</w:t>
      </w:r>
      <w:r w:rsidRPr="00190800">
        <w:rPr>
          <w:rFonts w:ascii="David" w:hAnsi="David" w:cs="David" w:hint="default"/>
          <w:rtl/>
        </w:rPr>
        <w:t xml:space="preserve">, לעיל </w:t>
      </w:r>
      <w:r w:rsidRPr="00190800">
        <w:rPr>
          <w:rFonts w:ascii="David" w:hAnsi="David" w:cs="David" w:hint="default"/>
          <w:rtl/>
        </w:rPr>
        <w:t>ה"ש</w:t>
      </w:r>
      <w:r>
        <w:rPr>
          <w:rFonts w:ascii="David" w:hAnsi="David" w:cs="David" w:hint="cs"/>
          <w:rtl/>
        </w:rPr>
        <w:t xml:space="preserve"> 6.</w:t>
      </w:r>
    </w:p>
  </w:footnote>
  <w:footnote w:id="102">
    <w:p w:rsidR="00B9259F" w:rsidRPr="008C65B2" w:rsidRDefault="00BE211D" w:rsidP="005D2489">
      <w:pPr>
        <w:pStyle w:val="a5"/>
        <w:spacing w:after="0"/>
        <w:rPr>
          <w:rFonts w:ascii="David" w:hAnsi="David" w:cs="David" w:hint="default"/>
          <w:rtl/>
        </w:rPr>
      </w:pPr>
      <w:r w:rsidRPr="008C65B2">
        <w:rPr>
          <w:rStyle w:val="a7"/>
          <w:rFonts w:ascii="David" w:hAnsi="David" w:cs="David" w:hint="default"/>
        </w:rPr>
        <w:footnoteRef/>
      </w:r>
      <w:r w:rsidRPr="008C65B2">
        <w:rPr>
          <w:rFonts w:ascii="David" w:hAnsi="David" w:cs="David" w:hint="default"/>
          <w:rtl/>
        </w:rPr>
        <w:t xml:space="preserve"> </w:t>
      </w:r>
      <w:r w:rsidRPr="008C65B2">
        <w:rPr>
          <w:rFonts w:ascii="David" w:hAnsi="David" w:cs="David" w:hint="default"/>
          <w:b/>
          <w:bCs/>
          <w:rtl/>
        </w:rPr>
        <w:t xml:space="preserve">עניין איבי, </w:t>
      </w:r>
      <w:r w:rsidRPr="008C65B2">
        <w:rPr>
          <w:rFonts w:ascii="David" w:hAnsi="David" w:cs="David" w:hint="default"/>
          <w:rtl/>
        </w:rPr>
        <w:t xml:space="preserve">לעיל ה"ש </w:t>
      </w:r>
      <w:r>
        <w:rPr>
          <w:rFonts w:ascii="David" w:hAnsi="David" w:cs="David" w:hint="cs"/>
          <w:rtl/>
        </w:rPr>
        <w:t>96</w:t>
      </w:r>
      <w:r w:rsidRPr="008C65B2">
        <w:rPr>
          <w:rFonts w:ascii="David" w:hAnsi="David" w:cs="David" w:hint="default"/>
          <w:rtl/>
        </w:rPr>
        <w:t>.</w:t>
      </w:r>
    </w:p>
  </w:footnote>
  <w:footnote w:id="103">
    <w:p w:rsidR="00B9259F" w:rsidRPr="0083178A" w:rsidRDefault="00BE211D" w:rsidP="005D2489">
      <w:pPr>
        <w:pStyle w:val="a5"/>
        <w:spacing w:after="0"/>
        <w:rPr>
          <w:rFonts w:ascii="David" w:hAnsi="David" w:cs="David" w:hint="default"/>
        </w:rPr>
      </w:pPr>
      <w:r w:rsidRPr="0083178A">
        <w:rPr>
          <w:rStyle w:val="a7"/>
          <w:rFonts w:ascii="David" w:hAnsi="David" w:cs="David" w:hint="default"/>
        </w:rPr>
        <w:footnoteRef/>
      </w:r>
      <w:r w:rsidRPr="0083178A">
        <w:rPr>
          <w:rFonts w:ascii="David" w:hAnsi="David" w:cs="David" w:hint="default"/>
          <w:rtl/>
        </w:rPr>
        <w:t xml:space="preserve"> </w:t>
      </w:r>
      <w:r w:rsidRPr="0083178A">
        <w:rPr>
          <w:rFonts w:ascii="David" w:hAnsi="David" w:cs="David" w:hint="default"/>
          <w:b/>
          <w:bCs/>
          <w:rtl/>
        </w:rPr>
        <w:t xml:space="preserve">עניין איבי, </w:t>
      </w:r>
      <w:r w:rsidRPr="0083178A">
        <w:rPr>
          <w:rFonts w:ascii="David" w:hAnsi="David" w:cs="David" w:hint="default"/>
          <w:rtl/>
        </w:rPr>
        <w:t xml:space="preserve">לעיל ה"ש </w:t>
      </w:r>
      <w:r>
        <w:rPr>
          <w:rFonts w:ascii="David" w:hAnsi="David" w:cs="David" w:hint="cs"/>
          <w:rtl/>
        </w:rPr>
        <w:t>96</w:t>
      </w:r>
      <w:r w:rsidRPr="0083178A">
        <w:rPr>
          <w:rFonts w:ascii="David" w:hAnsi="David" w:cs="David" w:hint="default"/>
          <w:rtl/>
        </w:rPr>
        <w:t>, בעמ' 74.</w:t>
      </w:r>
    </w:p>
  </w:footnote>
  <w:footnote w:id="104">
    <w:p w:rsidR="00B9259F" w:rsidRPr="008C65B2" w:rsidRDefault="00BE211D" w:rsidP="0083178A">
      <w:pPr>
        <w:pStyle w:val="a5"/>
        <w:spacing w:after="0"/>
        <w:jc w:val="both"/>
        <w:rPr>
          <w:rFonts w:ascii="David" w:hAnsi="David" w:cs="David" w:hint="default"/>
          <w:rtl/>
        </w:rPr>
      </w:pPr>
      <w:r w:rsidRPr="008C65B2">
        <w:rPr>
          <w:rStyle w:val="a7"/>
          <w:rFonts w:ascii="David" w:hAnsi="David" w:cs="David" w:hint="default"/>
        </w:rPr>
        <w:footnoteRef/>
      </w:r>
      <w:r w:rsidRPr="008C65B2">
        <w:rPr>
          <w:rFonts w:ascii="David" w:hAnsi="David" w:cs="David" w:hint="default"/>
          <w:shd w:val="clear" w:color="auto" w:fill="FFFFFF"/>
          <w:rtl/>
        </w:rPr>
        <w:t>דפנה ברק-ארז "עוולות חוקתיות בעידן חוקי היסוד</w:t>
      </w:r>
      <w:r w:rsidRPr="008C65B2">
        <w:rPr>
          <w:rFonts w:ascii="David" w:hAnsi="David" w:cs="David" w:hint="default"/>
          <w:shd w:val="clear" w:color="auto" w:fill="FFFFFF"/>
        </w:rPr>
        <w:t>" </w:t>
      </w:r>
      <w:r w:rsidRPr="008C65B2">
        <w:rPr>
          <w:rStyle w:val="ad"/>
          <w:rFonts w:ascii="David" w:hAnsi="David" w:cs="David" w:hint="default"/>
          <w:bdr w:val="none" w:sz="0" w:space="0" w:color="auto" w:frame="1"/>
          <w:shd w:val="clear" w:color="auto" w:fill="FFFFFF"/>
          <w:rtl/>
        </w:rPr>
        <w:t>משפט וממשל (תשס"ו)</w:t>
      </w:r>
      <w:r w:rsidRPr="008C65B2">
        <w:rPr>
          <w:rFonts w:ascii="David" w:hAnsi="David" w:cs="David" w:hint="default"/>
          <w:shd w:val="clear" w:color="auto" w:fill="FFFFFF"/>
        </w:rPr>
        <w:t xml:space="preserve">, </w:t>
      </w:r>
      <w:r w:rsidRPr="008C65B2">
        <w:rPr>
          <w:rFonts w:ascii="David" w:hAnsi="David" w:cs="David" w:hint="default"/>
          <w:shd w:val="clear" w:color="auto" w:fill="FFFFFF"/>
          <w:rtl/>
        </w:rPr>
        <w:t>כרך ט, 103 – 136.</w:t>
      </w:r>
    </w:p>
  </w:footnote>
  <w:footnote w:id="105">
    <w:p w:rsidR="00B9259F" w:rsidRPr="002D5B54" w:rsidRDefault="00BE211D" w:rsidP="0096286B">
      <w:pPr>
        <w:pStyle w:val="a5"/>
        <w:spacing w:after="0"/>
        <w:jc w:val="both"/>
        <w:rPr>
          <w:rFonts w:ascii="David" w:hAnsi="David" w:cs="David" w:hint="default"/>
          <w:rtl/>
        </w:rPr>
      </w:pPr>
      <w:r w:rsidRPr="00BF7685">
        <w:rPr>
          <w:rStyle w:val="a7"/>
          <w:rFonts w:ascii="David" w:hAnsi="David" w:cs="David" w:hint="eastAsia"/>
        </w:rPr>
        <w:footnoteRef/>
      </w:r>
      <w:r w:rsidRPr="00BF7685">
        <w:rPr>
          <w:rFonts w:ascii="David" w:hAnsi="David" w:cs="David"/>
          <w:rtl/>
        </w:rPr>
        <w:t xml:space="preserve"> ס</w:t>
      </w:r>
      <w:r w:rsidRPr="00BF7685">
        <w:rPr>
          <w:rFonts w:ascii="David" w:hAnsi="David" w:cs="David"/>
        </w:rPr>
        <w:t>'</w:t>
      </w:r>
      <w:r>
        <w:rPr>
          <w:rFonts w:ascii="David" w:hAnsi="David" w:cs="David"/>
          <w:rtl/>
        </w:rPr>
        <w:t>35</w:t>
      </w:r>
      <w:r>
        <w:rPr>
          <w:rFonts w:ascii="David" w:hAnsi="David" w:cs="David" w:hint="cs"/>
          <w:rtl/>
        </w:rPr>
        <w:t xml:space="preserve">, 36 </w:t>
      </w:r>
      <w:r>
        <w:rPr>
          <w:rFonts w:ascii="David" w:hAnsi="David" w:cs="David"/>
          <w:rtl/>
        </w:rPr>
        <w:t>ל</w:t>
      </w:r>
      <w:r w:rsidRPr="00076217">
        <w:rPr>
          <w:rFonts w:ascii="David" w:hAnsi="David" w:cs="David"/>
          <w:rtl/>
        </w:rPr>
        <w:t>פקודת ה</w:t>
      </w:r>
      <w:r>
        <w:rPr>
          <w:rFonts w:ascii="David" w:hAnsi="David" w:cs="David"/>
          <w:rtl/>
        </w:rPr>
        <w:t>נזיקין (נוסח חדש), תשכ"ח-</w:t>
      </w:r>
      <w:r>
        <w:rPr>
          <w:rFonts w:ascii="David" w:hAnsi="David" w:cs="David" w:hint="cs"/>
          <w:rtl/>
        </w:rPr>
        <w:t xml:space="preserve"> (</w:t>
      </w:r>
      <w:r>
        <w:rPr>
          <w:rFonts w:ascii="David" w:hAnsi="David" w:cs="David"/>
          <w:rtl/>
        </w:rPr>
        <w:t>1968</w:t>
      </w:r>
      <w:r>
        <w:rPr>
          <w:rFonts w:ascii="David" w:hAnsi="David" w:cs="David" w:hint="cs"/>
          <w:rtl/>
        </w:rPr>
        <w:t>) (להלן: "</w:t>
      </w:r>
      <w:r w:rsidRPr="00F344E9">
        <w:rPr>
          <w:rFonts w:ascii="David" w:hAnsi="David" w:cs="David" w:hint="cs"/>
          <w:b/>
          <w:bCs/>
          <w:rtl/>
        </w:rPr>
        <w:t>פקודת הנזיקין</w:t>
      </w:r>
      <w:r>
        <w:rPr>
          <w:rFonts w:ascii="David" w:hAnsi="David" w:cs="David" w:hint="cs"/>
          <w:rtl/>
        </w:rPr>
        <w:t>").</w:t>
      </w:r>
    </w:p>
  </w:footnote>
  <w:footnote w:id="106">
    <w:p w:rsidR="00B9259F" w:rsidRPr="00CE3363" w:rsidRDefault="00BE211D" w:rsidP="001D541F">
      <w:pPr>
        <w:pStyle w:val="a5"/>
        <w:spacing w:after="0"/>
        <w:rPr>
          <w:rFonts w:ascii="David" w:hAnsi="David" w:cs="David" w:hint="default"/>
          <w:rtl/>
        </w:rPr>
      </w:pPr>
      <w:r w:rsidRPr="00CE3363">
        <w:rPr>
          <w:rStyle w:val="a7"/>
          <w:rFonts w:ascii="David" w:hAnsi="David" w:cs="David" w:hint="eastAsia"/>
        </w:rPr>
        <w:footnoteRef/>
      </w:r>
      <w:r w:rsidRPr="00CE3363">
        <w:rPr>
          <w:rFonts w:ascii="David" w:hAnsi="David" w:cs="David"/>
          <w:rtl/>
        </w:rPr>
        <w:t xml:space="preserve"> פס"ד 91</w:t>
      </w:r>
      <w:r w:rsidRPr="00CE3363">
        <w:rPr>
          <w:rFonts w:ascii="David" w:hAnsi="David" w:cs="David"/>
        </w:rPr>
        <w:t>/</w:t>
      </w:r>
      <w:r w:rsidRPr="00CE3363">
        <w:rPr>
          <w:rFonts w:ascii="David" w:hAnsi="David" w:cs="David"/>
          <w:rtl/>
        </w:rPr>
        <w:t xml:space="preserve">915 </w:t>
      </w:r>
      <w:r w:rsidRPr="00CE3363">
        <w:rPr>
          <w:rFonts w:ascii="David" w:hAnsi="David" w:cs="David"/>
          <w:b/>
          <w:bCs/>
          <w:rtl/>
        </w:rPr>
        <w:t xml:space="preserve">מדינת </w:t>
      </w:r>
      <w:r w:rsidRPr="00CE3363">
        <w:rPr>
          <w:rFonts w:ascii="David" w:hAnsi="David" w:cs="David"/>
          <w:b/>
          <w:bCs/>
          <w:rtl/>
        </w:rPr>
        <w:t>ישראל נ</w:t>
      </w:r>
      <w:r w:rsidRPr="00CE3363">
        <w:rPr>
          <w:rFonts w:ascii="David" w:hAnsi="David" w:cs="David"/>
          <w:b/>
          <w:bCs/>
        </w:rPr>
        <w:t>'</w:t>
      </w:r>
      <w:r w:rsidRPr="00CE3363">
        <w:rPr>
          <w:rFonts w:ascii="David" w:hAnsi="David" w:cs="David"/>
          <w:b/>
          <w:bCs/>
          <w:rtl/>
        </w:rPr>
        <w:t xml:space="preserve"> לוי</w:t>
      </w:r>
      <w:r w:rsidRPr="00CE3363">
        <w:rPr>
          <w:rFonts w:ascii="David" w:hAnsi="David" w:cs="David"/>
          <w:rtl/>
        </w:rPr>
        <w:t xml:space="preserve">, פ"ד מח(3) 45 (1994). </w:t>
      </w:r>
    </w:p>
  </w:footnote>
  <w:footnote w:id="107">
    <w:p w:rsidR="00B9259F" w:rsidRPr="002E5715" w:rsidRDefault="00BE211D" w:rsidP="001D541F">
      <w:pPr>
        <w:pStyle w:val="a5"/>
        <w:spacing w:after="0"/>
        <w:jc w:val="both"/>
        <w:rPr>
          <w:rFonts w:ascii="David" w:hAnsi="David" w:cs="David" w:hint="default"/>
          <w:b/>
          <w:bCs/>
        </w:rPr>
      </w:pPr>
      <w:r w:rsidRPr="00BF7685">
        <w:rPr>
          <w:rStyle w:val="a7"/>
          <w:rFonts w:ascii="David" w:hAnsi="David" w:cs="David" w:hint="eastAsia"/>
        </w:rPr>
        <w:footnoteRef/>
      </w:r>
      <w:r w:rsidRPr="00BF7685">
        <w:rPr>
          <w:rFonts w:ascii="David" w:hAnsi="David" w:cs="David"/>
          <w:rtl/>
        </w:rPr>
        <w:t xml:space="preserve"> </w:t>
      </w:r>
      <w:bookmarkStart w:id="0" w:name="_Toc440536494"/>
      <w:r w:rsidRPr="000B29BB">
        <w:rPr>
          <w:rFonts w:ascii="David" w:hAnsi="David" w:cs="David"/>
          <w:rtl/>
        </w:rPr>
        <w:t xml:space="preserve">ע"א 7832/00 </w:t>
      </w:r>
      <w:r w:rsidRPr="00E960BA">
        <w:rPr>
          <w:rFonts w:ascii="David" w:hAnsi="David" w:cs="David"/>
          <w:b/>
          <w:bCs/>
          <w:rtl/>
        </w:rPr>
        <w:t>יעקובוב נ' מדינת ישראל</w:t>
      </w:r>
      <w:bookmarkEnd w:id="0"/>
      <w:r w:rsidRPr="00E960BA">
        <w:rPr>
          <w:rFonts w:ascii="David" w:hAnsi="David" w:cs="David" w:hint="cs"/>
          <w:rtl/>
        </w:rPr>
        <w:t>, פ"ד נו(2) 534 (2002).</w:t>
      </w:r>
      <w:r w:rsidRPr="00E960BA">
        <w:rPr>
          <w:rFonts w:ascii="David" w:hAnsi="David" w:cs="David" w:hint="cs"/>
          <w:b/>
          <w:bCs/>
          <w:rtl/>
        </w:rPr>
        <w:t xml:space="preserve"> </w:t>
      </w:r>
    </w:p>
  </w:footnote>
  <w:footnote w:id="108">
    <w:p w:rsidR="00B9259F" w:rsidRPr="00BF7685" w:rsidRDefault="00BE211D" w:rsidP="001D541F">
      <w:pPr>
        <w:pStyle w:val="a5"/>
        <w:spacing w:after="0"/>
        <w:jc w:val="both"/>
        <w:rPr>
          <w:rFonts w:ascii="David" w:hAnsi="David" w:cs="David" w:hint="default"/>
        </w:rPr>
      </w:pPr>
      <w:r w:rsidRPr="00BF7685">
        <w:rPr>
          <w:rStyle w:val="a7"/>
          <w:rFonts w:ascii="David" w:hAnsi="David" w:cs="David" w:hint="eastAsia"/>
        </w:rPr>
        <w:footnoteRef/>
      </w:r>
      <w:r>
        <w:rPr>
          <w:rFonts w:ascii="David" w:hAnsi="David" w:cs="David"/>
          <w:rtl/>
        </w:rPr>
        <w:t xml:space="preserve"> </w:t>
      </w:r>
      <w:r w:rsidRPr="00CF3E04">
        <w:rPr>
          <w:rFonts w:ascii="David" w:hAnsi="David" w:cs="David"/>
          <w:rtl/>
        </w:rPr>
        <w:t xml:space="preserve">ע"א 8650/08 </w:t>
      </w:r>
      <w:r w:rsidRPr="00CF3E04">
        <w:rPr>
          <w:rFonts w:ascii="David" w:hAnsi="David" w:cs="David"/>
          <w:b/>
          <w:bCs/>
          <w:rtl/>
        </w:rPr>
        <w:t>רפאלוב נ' מדינת ישראל</w:t>
      </w:r>
      <w:r w:rsidRPr="002E5715">
        <w:rPr>
          <w:rFonts w:ascii="David" w:hAnsi="David" w:cs="David"/>
          <w:rtl/>
        </w:rPr>
        <w:t>,</w:t>
      </w:r>
      <w:r w:rsidRPr="00CF3E04">
        <w:rPr>
          <w:rFonts w:ascii="David" w:hAnsi="David" w:cs="David"/>
          <w:b/>
          <w:bCs/>
          <w:rtl/>
        </w:rPr>
        <w:t xml:space="preserve"> </w:t>
      </w:r>
      <w:r w:rsidRPr="002E5715">
        <w:rPr>
          <w:rFonts w:ascii="David" w:hAnsi="David" w:cs="David"/>
          <w:rtl/>
        </w:rPr>
        <w:t>פסקאות 32- 42 לפסק דינו של השופט מלצר</w:t>
      </w:r>
      <w:r w:rsidRPr="00CF3E04">
        <w:rPr>
          <w:rFonts w:ascii="David" w:hAnsi="David" w:cs="David"/>
          <w:rtl/>
        </w:rPr>
        <w:t xml:space="preserve"> (פורסם</w:t>
      </w:r>
      <w:r w:rsidRPr="00CF3E04">
        <w:rPr>
          <w:rFonts w:ascii="David" w:hAnsi="David" w:cs="David" w:hint="cs"/>
          <w:rtl/>
        </w:rPr>
        <w:t xml:space="preserve"> בנבו</w:t>
      </w:r>
      <w:r w:rsidRPr="00CF3E04">
        <w:rPr>
          <w:rFonts w:ascii="David" w:hAnsi="David" w:cs="David"/>
          <w:rtl/>
        </w:rPr>
        <w:t>, 17.7.13).</w:t>
      </w:r>
    </w:p>
  </w:footnote>
  <w:footnote w:id="109">
    <w:p w:rsidR="00B9259F" w:rsidRPr="00AC0C9C" w:rsidRDefault="00BE211D" w:rsidP="00016312">
      <w:pPr>
        <w:spacing w:after="0" w:line="240" w:lineRule="auto"/>
        <w:jc w:val="both"/>
        <w:rPr>
          <w:rFonts w:ascii="David" w:hAnsi="David" w:cs="David" w:hint="default"/>
          <w:color w:val="000000" w:themeColor="text1"/>
          <w:sz w:val="20"/>
          <w:szCs w:val="20"/>
          <w:rtl/>
        </w:rPr>
      </w:pPr>
      <w:r w:rsidRPr="00AC0C9C">
        <w:rPr>
          <w:rStyle w:val="a7"/>
          <w:rFonts w:ascii="David" w:hAnsi="David" w:cs="David" w:hint="eastAsia"/>
        </w:rPr>
        <w:footnoteRef/>
      </w:r>
      <w:r w:rsidRPr="00AC0C9C">
        <w:rPr>
          <w:rFonts w:ascii="David" w:hAnsi="David" w:cs="David"/>
        </w:rPr>
        <w:t xml:space="preserve"> </w:t>
      </w:r>
      <w:r w:rsidRPr="00AC0C9C">
        <w:rPr>
          <w:rFonts w:ascii="David" w:hAnsi="David" w:cs="David"/>
          <w:color w:val="000000" w:themeColor="text1"/>
          <w:sz w:val="20"/>
          <w:szCs w:val="20"/>
          <w:rtl/>
        </w:rPr>
        <w:t xml:space="preserve">ע"א 576/81 </w:t>
      </w:r>
      <w:r w:rsidRPr="00AC0C9C">
        <w:rPr>
          <w:rFonts w:ascii="David" w:hAnsi="David" w:cs="David"/>
          <w:b/>
          <w:bCs/>
          <w:color w:val="000000" w:themeColor="text1"/>
          <w:sz w:val="20"/>
          <w:szCs w:val="20"/>
          <w:rtl/>
        </w:rPr>
        <w:t>בן שמעון נ' ברדה</w:t>
      </w:r>
      <w:r>
        <w:rPr>
          <w:rFonts w:ascii="David" w:hAnsi="David" w:cs="David"/>
          <w:color w:val="000000" w:themeColor="text1"/>
          <w:sz w:val="20"/>
          <w:szCs w:val="20"/>
          <w:rtl/>
        </w:rPr>
        <w:t>, פ"ד לח(3) 1 (1984),10</w:t>
      </w:r>
      <w:r>
        <w:rPr>
          <w:rFonts w:ascii="David" w:hAnsi="David" w:cs="David" w:hint="cs"/>
          <w:color w:val="000000" w:themeColor="text1"/>
          <w:sz w:val="20"/>
          <w:szCs w:val="20"/>
          <w:rtl/>
        </w:rPr>
        <w:t>,</w:t>
      </w:r>
      <w:r w:rsidRPr="00AC0C9C">
        <w:rPr>
          <w:rFonts w:ascii="David" w:hAnsi="David" w:cs="David"/>
          <w:color w:val="000000" w:themeColor="text1"/>
          <w:sz w:val="20"/>
          <w:szCs w:val="20"/>
          <w:rtl/>
        </w:rPr>
        <w:t xml:space="preserve"> דנ"א 7794/98 </w:t>
      </w:r>
      <w:r w:rsidRPr="00AC0C9C">
        <w:rPr>
          <w:rFonts w:ascii="David" w:hAnsi="David" w:cs="David"/>
          <w:b/>
          <w:bCs/>
          <w:color w:val="000000" w:themeColor="text1"/>
          <w:sz w:val="20"/>
          <w:szCs w:val="20"/>
          <w:rtl/>
        </w:rPr>
        <w:t>משה נ' קליפורד</w:t>
      </w:r>
      <w:r w:rsidRPr="00AC0C9C">
        <w:rPr>
          <w:rFonts w:ascii="David" w:hAnsi="David" w:cs="David"/>
          <w:color w:val="000000" w:themeColor="text1"/>
          <w:sz w:val="20"/>
          <w:szCs w:val="20"/>
          <w:rtl/>
        </w:rPr>
        <w:t>, פ"ד נז(4) 721 (2003), 751-752.</w:t>
      </w:r>
    </w:p>
  </w:footnote>
  <w:footnote w:id="110">
    <w:p w:rsidR="00B9259F" w:rsidRPr="00BF7685" w:rsidRDefault="00BE211D" w:rsidP="00E64D8B">
      <w:pPr>
        <w:pStyle w:val="a5"/>
        <w:spacing w:after="0"/>
        <w:jc w:val="both"/>
        <w:rPr>
          <w:rFonts w:ascii="David" w:hAnsi="David" w:cs="David" w:hint="default"/>
          <w:rtl/>
        </w:rPr>
      </w:pPr>
      <w:r w:rsidRPr="00BF7685">
        <w:rPr>
          <w:rStyle w:val="a7"/>
          <w:rFonts w:ascii="David" w:hAnsi="David" w:cs="David" w:hint="eastAsia"/>
        </w:rPr>
        <w:footnoteRef/>
      </w:r>
      <w:r w:rsidRPr="00BF7685">
        <w:rPr>
          <w:rFonts w:ascii="David" w:hAnsi="David" w:cs="David"/>
          <w:rtl/>
        </w:rPr>
        <w:t xml:space="preserve"> </w:t>
      </w:r>
      <w:r>
        <w:rPr>
          <w:rFonts w:ascii="David" w:hAnsi="David" w:cs="David"/>
          <w:rtl/>
        </w:rPr>
        <w:t>פ</w:t>
      </w:r>
      <w:r>
        <w:rPr>
          <w:rFonts w:ascii="David" w:hAnsi="David" w:cs="David" w:hint="cs"/>
          <w:rtl/>
        </w:rPr>
        <w:t xml:space="preserve">רשת </w:t>
      </w:r>
      <w:r w:rsidRPr="000E279F">
        <w:rPr>
          <w:rFonts w:ascii="David" w:hAnsi="David" w:cs="David" w:hint="cs"/>
          <w:b/>
          <w:bCs/>
          <w:rtl/>
        </w:rPr>
        <w:t>רפאלוב</w:t>
      </w:r>
      <w:r>
        <w:rPr>
          <w:rFonts w:ascii="David" w:hAnsi="David" w:cs="David" w:hint="cs"/>
          <w:rtl/>
        </w:rPr>
        <w:t xml:space="preserve">, לעיל ה"ש 108; פרשת </w:t>
      </w:r>
      <w:r w:rsidRPr="000E279F">
        <w:rPr>
          <w:rFonts w:ascii="David" w:hAnsi="David" w:cs="David" w:hint="cs"/>
          <w:b/>
          <w:bCs/>
          <w:rtl/>
        </w:rPr>
        <w:t>יעקובוב</w:t>
      </w:r>
      <w:r>
        <w:rPr>
          <w:rFonts w:ascii="David" w:hAnsi="David" w:cs="David" w:hint="cs"/>
          <w:rtl/>
        </w:rPr>
        <w:t>, לעיל ה"ש 107.</w:t>
      </w:r>
    </w:p>
  </w:footnote>
  <w:footnote w:id="111">
    <w:p w:rsidR="00B9259F" w:rsidRPr="00BF7685" w:rsidRDefault="00BE211D" w:rsidP="00535A24">
      <w:pPr>
        <w:pStyle w:val="a5"/>
        <w:spacing w:after="0"/>
        <w:jc w:val="both"/>
        <w:rPr>
          <w:rFonts w:ascii="David" w:hAnsi="David" w:cs="David" w:hint="default"/>
          <w:rtl/>
        </w:rPr>
      </w:pPr>
      <w:r w:rsidRPr="00BF7685">
        <w:rPr>
          <w:rStyle w:val="a7"/>
          <w:rFonts w:ascii="David" w:hAnsi="David" w:cs="David" w:hint="eastAsia"/>
        </w:rPr>
        <w:footnoteRef/>
      </w:r>
      <w:r>
        <w:rPr>
          <w:rFonts w:ascii="David" w:hAnsi="David" w:cs="David"/>
          <w:rtl/>
        </w:rPr>
        <w:t xml:space="preserve"> </w:t>
      </w:r>
      <w:r w:rsidRPr="00DF72D7">
        <w:rPr>
          <w:rFonts w:ascii="David" w:hAnsi="David" w:cs="David"/>
          <w:rtl/>
        </w:rPr>
        <w:t xml:space="preserve">ע"א 2061/90 </w:t>
      </w:r>
      <w:r>
        <w:rPr>
          <w:rFonts w:ascii="David" w:hAnsi="David" w:cs="David"/>
          <w:b/>
          <w:bCs/>
          <w:rtl/>
        </w:rPr>
        <w:t>מרצ'לי נ' מ</w:t>
      </w:r>
      <w:r>
        <w:rPr>
          <w:rFonts w:ascii="David" w:hAnsi="David" w:cs="David" w:hint="cs"/>
          <w:b/>
          <w:bCs/>
          <w:rtl/>
        </w:rPr>
        <w:t>דינת ישראל</w:t>
      </w:r>
      <w:r w:rsidRPr="00DF72D7">
        <w:rPr>
          <w:rFonts w:ascii="David" w:hAnsi="David" w:cs="David"/>
          <w:rtl/>
        </w:rPr>
        <w:t>, פ"ד מז(1) 802, 808- 821</w:t>
      </w:r>
      <w:r>
        <w:rPr>
          <w:rFonts w:ascii="David" w:hAnsi="David" w:cs="David" w:hint="cs"/>
          <w:rtl/>
        </w:rPr>
        <w:t xml:space="preserve"> (1993). </w:t>
      </w:r>
    </w:p>
  </w:footnote>
  <w:footnote w:id="112">
    <w:p w:rsidR="00B9259F" w:rsidRDefault="00BE211D" w:rsidP="00AF15F2">
      <w:pPr>
        <w:pStyle w:val="a5"/>
        <w:spacing w:after="0"/>
        <w:jc w:val="both"/>
        <w:rPr>
          <w:rFonts w:hint="default"/>
          <w:rtl/>
        </w:rPr>
      </w:pPr>
      <w:r w:rsidRPr="00BF7685">
        <w:rPr>
          <w:rStyle w:val="a7"/>
          <w:rFonts w:ascii="David" w:hAnsi="David" w:cs="David" w:hint="eastAsia"/>
        </w:rPr>
        <w:footnoteRef/>
      </w:r>
      <w:r>
        <w:rPr>
          <w:rFonts w:ascii="David" w:hAnsi="David" w:cs="David"/>
          <w:rtl/>
        </w:rPr>
        <w:t xml:space="preserve"> </w:t>
      </w:r>
      <w:r w:rsidRPr="00EB6124">
        <w:rPr>
          <w:rFonts w:ascii="David" w:hAnsi="David" w:cs="David"/>
          <w:rtl/>
        </w:rPr>
        <w:t xml:space="preserve">ע"א 9073/09 </w:t>
      </w:r>
      <w:r w:rsidRPr="00EB6124">
        <w:rPr>
          <w:rFonts w:ascii="David" w:hAnsi="David" w:cs="David"/>
          <w:b/>
          <w:bCs/>
          <w:rtl/>
        </w:rPr>
        <w:t>אסותא – מרכזים רפואיים בע"מ נ' שרף</w:t>
      </w:r>
      <w:r>
        <w:rPr>
          <w:rFonts w:ascii="David" w:hAnsi="David" w:cs="David" w:hint="cs"/>
          <w:rtl/>
        </w:rPr>
        <w:t xml:space="preserve"> (פורסם בנבו, </w:t>
      </w:r>
      <w:r w:rsidRPr="00EB6124">
        <w:rPr>
          <w:rFonts w:ascii="David" w:hAnsi="David" w:cs="David"/>
          <w:rtl/>
        </w:rPr>
        <w:t>14.6.11).</w:t>
      </w:r>
    </w:p>
  </w:footnote>
  <w:footnote w:id="113">
    <w:p w:rsidR="00B9259F" w:rsidRPr="00413873" w:rsidRDefault="00BE211D" w:rsidP="001938FA">
      <w:pPr>
        <w:pStyle w:val="a5"/>
        <w:spacing w:after="0"/>
        <w:jc w:val="both"/>
        <w:rPr>
          <w:rFonts w:ascii="David" w:hAnsi="David" w:cs="David" w:hint="default"/>
          <w:rtl/>
        </w:rPr>
      </w:pPr>
      <w:r w:rsidRPr="00413873">
        <w:rPr>
          <w:rStyle w:val="a7"/>
          <w:rFonts w:ascii="David" w:hAnsi="David" w:cs="David" w:hint="default"/>
        </w:rPr>
        <w:footnoteRef/>
      </w:r>
      <w:r w:rsidRPr="00413873">
        <w:rPr>
          <w:rFonts w:ascii="David" w:hAnsi="David" w:cs="David" w:hint="default"/>
          <w:rtl/>
        </w:rPr>
        <w:t xml:space="preserve"> פרשת </w:t>
      </w:r>
      <w:r w:rsidRPr="00413873">
        <w:rPr>
          <w:rFonts w:ascii="David" w:hAnsi="David" w:cs="David" w:hint="default"/>
          <w:b/>
          <w:bCs/>
          <w:rtl/>
        </w:rPr>
        <w:t>לוי</w:t>
      </w:r>
      <w:r w:rsidRPr="00413873">
        <w:rPr>
          <w:rFonts w:ascii="David" w:hAnsi="David" w:cs="David" w:hint="default"/>
          <w:rtl/>
        </w:rPr>
        <w:t xml:space="preserve">, לעיל ה"ש </w:t>
      </w:r>
      <w:r>
        <w:rPr>
          <w:rFonts w:ascii="David" w:hAnsi="David" w:cs="David" w:hint="cs"/>
          <w:rtl/>
        </w:rPr>
        <w:t>106</w:t>
      </w:r>
      <w:r w:rsidRPr="00413873">
        <w:rPr>
          <w:rFonts w:ascii="David" w:hAnsi="David" w:cs="David" w:hint="default"/>
          <w:rtl/>
        </w:rPr>
        <w:t xml:space="preserve">. </w:t>
      </w:r>
    </w:p>
  </w:footnote>
  <w:footnote w:id="114">
    <w:p w:rsidR="00B9259F" w:rsidRPr="00407F10" w:rsidRDefault="00BE211D" w:rsidP="00413873">
      <w:pPr>
        <w:pStyle w:val="a5"/>
        <w:spacing w:after="0"/>
        <w:rPr>
          <w:rFonts w:ascii="David" w:hAnsi="David" w:cs="David" w:hint="default"/>
        </w:rPr>
      </w:pPr>
      <w:r w:rsidRPr="00407F10">
        <w:rPr>
          <w:rStyle w:val="a7"/>
          <w:rFonts w:ascii="David" w:hAnsi="David" w:cs="David" w:hint="default"/>
        </w:rPr>
        <w:footnoteRef/>
      </w:r>
      <w:r w:rsidRPr="00407F10">
        <w:rPr>
          <w:rFonts w:ascii="David" w:hAnsi="David" w:cs="David" w:hint="default"/>
          <w:rtl/>
        </w:rPr>
        <w:t xml:space="preserve"> ע"א  8146/13 </w:t>
      </w:r>
      <w:r w:rsidRPr="00407F10">
        <w:rPr>
          <w:rFonts w:ascii="David" w:hAnsi="David" w:cs="David" w:hint="default"/>
          <w:b/>
          <w:bCs/>
          <w:rtl/>
        </w:rPr>
        <w:t xml:space="preserve">ד"ר סולימאן ג'ושה נ' בית החולים אלדג'אני </w:t>
      </w:r>
      <w:r w:rsidRPr="00407F10">
        <w:rPr>
          <w:rFonts w:ascii="David" w:hAnsi="David" w:cs="David" w:hint="default"/>
          <w:rtl/>
        </w:rPr>
        <w:t>(בפירוק) (פורסם בנבו, ‏21.7.2016).</w:t>
      </w:r>
    </w:p>
  </w:footnote>
  <w:footnote w:id="115">
    <w:p w:rsidR="00B9259F" w:rsidRPr="00507FA5" w:rsidRDefault="00BE211D" w:rsidP="001938FA">
      <w:pPr>
        <w:pStyle w:val="a5"/>
        <w:spacing w:after="0"/>
        <w:rPr>
          <w:rFonts w:ascii="David" w:hAnsi="David" w:cs="David" w:hint="default"/>
          <w:rtl/>
        </w:rPr>
      </w:pPr>
      <w:r w:rsidRPr="00507FA5">
        <w:rPr>
          <w:rStyle w:val="a7"/>
          <w:rFonts w:ascii="David" w:hAnsi="David" w:cs="David" w:hint="default"/>
        </w:rPr>
        <w:footnoteRef/>
      </w:r>
      <w:r w:rsidRPr="00507FA5">
        <w:rPr>
          <w:rFonts w:ascii="David" w:hAnsi="David" w:cs="David" w:hint="default"/>
          <w:rtl/>
        </w:rPr>
        <w:t xml:space="preserve"> </w:t>
      </w:r>
      <w:r w:rsidRPr="00507FA5">
        <w:rPr>
          <w:rFonts w:ascii="David" w:hAnsi="David" w:cs="David" w:hint="default"/>
          <w:b/>
          <w:bCs/>
          <w:rtl/>
        </w:rPr>
        <w:t xml:space="preserve">עניין איבי, </w:t>
      </w:r>
      <w:r w:rsidRPr="00507FA5">
        <w:rPr>
          <w:rFonts w:ascii="David" w:hAnsi="David" w:cs="David" w:hint="default"/>
          <w:rtl/>
        </w:rPr>
        <w:t xml:space="preserve">לעיל ה"ש </w:t>
      </w:r>
      <w:r>
        <w:rPr>
          <w:rFonts w:ascii="David" w:hAnsi="David" w:cs="David" w:hint="cs"/>
          <w:rtl/>
        </w:rPr>
        <w:t>96</w:t>
      </w:r>
      <w:r w:rsidRPr="00507FA5">
        <w:rPr>
          <w:rFonts w:ascii="David" w:hAnsi="David" w:cs="David" w:hint="default"/>
          <w:rtl/>
        </w:rPr>
        <w:t>.</w:t>
      </w:r>
    </w:p>
  </w:footnote>
  <w:footnote w:id="116">
    <w:p w:rsidR="00B9259F" w:rsidRPr="00507FA5" w:rsidRDefault="00BE211D" w:rsidP="00507FA5">
      <w:pPr>
        <w:pStyle w:val="a5"/>
        <w:spacing w:after="0"/>
        <w:jc w:val="both"/>
        <w:rPr>
          <w:rFonts w:ascii="David" w:hAnsi="David" w:cs="David" w:hint="default"/>
          <w:rtl/>
        </w:rPr>
      </w:pPr>
      <w:r w:rsidRPr="00507FA5">
        <w:rPr>
          <w:rStyle w:val="a7"/>
          <w:rFonts w:ascii="David" w:hAnsi="David" w:cs="David" w:hint="default"/>
        </w:rPr>
        <w:footnoteRef/>
      </w:r>
      <w:r w:rsidRPr="00507FA5">
        <w:rPr>
          <w:rFonts w:ascii="David" w:hAnsi="David" w:cs="David" w:hint="default"/>
          <w:rtl/>
        </w:rPr>
        <w:t xml:space="preserve"> ע"א  96</w:t>
      </w:r>
      <w:r w:rsidRPr="00507FA5">
        <w:rPr>
          <w:rFonts w:ascii="David" w:hAnsi="David" w:cs="David" w:hint="default"/>
        </w:rPr>
        <w:t>/</w:t>
      </w:r>
      <w:r w:rsidRPr="00507FA5">
        <w:rPr>
          <w:rFonts w:ascii="David" w:hAnsi="David" w:cs="David" w:hint="default"/>
          <w:rtl/>
        </w:rPr>
        <w:t>6649</w:t>
      </w:r>
      <w:r w:rsidRPr="00507FA5">
        <w:rPr>
          <w:rFonts w:ascii="David" w:hAnsi="David" w:cs="David" w:hint="default"/>
          <w:b/>
          <w:bCs/>
          <w:rtl/>
        </w:rPr>
        <w:t xml:space="preserve"> הסתדרות הדסה נ</w:t>
      </w:r>
      <w:r w:rsidRPr="00507FA5">
        <w:rPr>
          <w:rFonts w:ascii="David" w:hAnsi="David" w:cs="David" w:hint="default"/>
          <w:b/>
          <w:bCs/>
        </w:rPr>
        <w:t>'</w:t>
      </w:r>
      <w:r w:rsidRPr="00507FA5">
        <w:rPr>
          <w:rFonts w:ascii="David" w:hAnsi="David" w:cs="David" w:hint="default"/>
          <w:b/>
          <w:bCs/>
          <w:rtl/>
        </w:rPr>
        <w:t xml:space="preserve"> גלעד</w:t>
      </w:r>
      <w:r w:rsidRPr="00507FA5">
        <w:rPr>
          <w:rFonts w:ascii="David" w:hAnsi="David" w:cs="David" w:hint="default"/>
          <w:color w:val="545454"/>
          <w:shd w:val="clear" w:color="auto" w:fill="FFFFFF"/>
          <w:rtl/>
        </w:rPr>
        <w:t xml:space="preserve">, </w:t>
      </w:r>
      <w:r w:rsidRPr="00507FA5">
        <w:rPr>
          <w:rFonts w:ascii="David" w:hAnsi="David" w:cs="David" w:hint="default"/>
          <w:rtl/>
        </w:rPr>
        <w:t xml:space="preserve">פ"ד נג(3) 529 (1999). </w:t>
      </w:r>
    </w:p>
  </w:footnote>
  <w:footnote w:id="117">
    <w:p w:rsidR="00B9259F" w:rsidRDefault="00BE211D" w:rsidP="00507FA5">
      <w:pPr>
        <w:pStyle w:val="a5"/>
        <w:spacing w:after="0"/>
        <w:rPr>
          <w:rFonts w:hint="default"/>
          <w:rtl/>
        </w:rPr>
      </w:pPr>
      <w:r w:rsidRPr="00507FA5">
        <w:rPr>
          <w:rStyle w:val="a7"/>
          <w:rFonts w:ascii="David" w:hAnsi="David" w:cs="David" w:hint="default"/>
        </w:rPr>
        <w:footnoteRef/>
      </w:r>
      <w:r w:rsidRPr="00507FA5">
        <w:rPr>
          <w:rFonts w:ascii="David" w:hAnsi="David" w:cs="David" w:hint="default"/>
          <w:rtl/>
        </w:rPr>
        <w:t xml:space="preserve"> ע"א 11</w:t>
      </w:r>
      <w:r w:rsidRPr="00507FA5">
        <w:rPr>
          <w:rFonts w:ascii="David" w:hAnsi="David" w:cs="David" w:hint="default"/>
        </w:rPr>
        <w:t>/</w:t>
      </w:r>
      <w:r w:rsidRPr="00507FA5">
        <w:rPr>
          <w:rFonts w:ascii="David" w:hAnsi="David" w:cs="David" w:hint="default"/>
          <w:rtl/>
        </w:rPr>
        <w:t xml:space="preserve">1167 </w:t>
      </w:r>
      <w:r w:rsidRPr="00507FA5">
        <w:rPr>
          <w:rFonts w:ascii="David" w:hAnsi="David" w:cs="David" w:hint="default"/>
          <w:b/>
          <w:bCs/>
          <w:rtl/>
        </w:rPr>
        <w:t>פלוני נ</w:t>
      </w:r>
      <w:r w:rsidRPr="00507FA5">
        <w:rPr>
          <w:rFonts w:ascii="David" w:hAnsi="David" w:cs="David" w:hint="default"/>
          <w:b/>
          <w:bCs/>
        </w:rPr>
        <w:t>'</w:t>
      </w:r>
      <w:r w:rsidRPr="00507FA5">
        <w:rPr>
          <w:rFonts w:ascii="David" w:hAnsi="David" w:cs="David" w:hint="default"/>
          <w:b/>
          <w:bCs/>
          <w:rtl/>
        </w:rPr>
        <w:t xml:space="preserve"> פלוני </w:t>
      </w:r>
      <w:r w:rsidRPr="00507FA5">
        <w:rPr>
          <w:rFonts w:ascii="David" w:hAnsi="David" w:cs="David" w:hint="default"/>
          <w:rtl/>
        </w:rPr>
        <w:t>(פורסם בנבו,</w:t>
      </w:r>
      <w:r w:rsidRPr="00507FA5">
        <w:rPr>
          <w:rFonts w:ascii="David" w:hAnsi="David" w:cs="David" w:hint="default"/>
          <w:rtl/>
        </w:rPr>
        <w:t xml:space="preserve"> 18.11.13).</w:t>
      </w:r>
    </w:p>
  </w:footnote>
  <w:footnote w:id="118">
    <w:p w:rsidR="00B9259F" w:rsidRPr="00024847" w:rsidRDefault="00BE211D" w:rsidP="00857E06">
      <w:pPr>
        <w:pStyle w:val="a5"/>
        <w:spacing w:after="0"/>
        <w:jc w:val="both"/>
        <w:rPr>
          <w:rFonts w:ascii="David" w:hAnsi="David" w:cs="David" w:hint="default"/>
        </w:rPr>
      </w:pPr>
      <w:r w:rsidRPr="00024847">
        <w:rPr>
          <w:rStyle w:val="a7"/>
          <w:rFonts w:ascii="David" w:hAnsi="David" w:cs="David" w:hint="eastAsia"/>
        </w:rPr>
        <w:footnoteRef/>
      </w:r>
      <w:r w:rsidRPr="00024847">
        <w:rPr>
          <w:rFonts w:ascii="David" w:hAnsi="David" w:cs="David"/>
          <w:rtl/>
        </w:rPr>
        <w:t xml:space="preserve"> ע"א 2781/93 </w:t>
      </w:r>
      <w:r w:rsidRPr="00024847">
        <w:rPr>
          <w:rFonts w:ascii="David" w:hAnsi="David" w:cs="David"/>
          <w:b/>
          <w:bCs/>
          <w:rtl/>
        </w:rPr>
        <w:t>עלי דעקה נ' בית החולים "כרמל" חיפה</w:t>
      </w:r>
      <w:r w:rsidRPr="00024847">
        <w:rPr>
          <w:rFonts w:ascii="David" w:hAnsi="David" w:cs="David"/>
          <w:rtl/>
        </w:rPr>
        <w:t xml:space="preserve">, פ"ד נג(4) 526, 573-575 (1999).  </w:t>
      </w:r>
    </w:p>
  </w:footnote>
  <w:footnote w:id="119">
    <w:p w:rsidR="00B9259F" w:rsidRPr="00024847" w:rsidRDefault="00BE211D" w:rsidP="00857E06">
      <w:pPr>
        <w:pStyle w:val="a5"/>
        <w:spacing w:after="0"/>
        <w:jc w:val="both"/>
        <w:rPr>
          <w:rFonts w:ascii="David" w:hAnsi="David" w:cs="David" w:hint="default"/>
          <w:rtl/>
        </w:rPr>
      </w:pPr>
      <w:r w:rsidRPr="00024847">
        <w:rPr>
          <w:rStyle w:val="a7"/>
          <w:rFonts w:ascii="David" w:hAnsi="David" w:cs="David" w:hint="eastAsia"/>
        </w:rPr>
        <w:footnoteRef/>
      </w:r>
      <w:r w:rsidRPr="00024847">
        <w:rPr>
          <w:rFonts w:ascii="David" w:hAnsi="David" w:cs="David"/>
          <w:rtl/>
        </w:rPr>
        <w:t xml:space="preserve"> ס</w:t>
      </w:r>
      <w:r w:rsidRPr="00024847">
        <w:rPr>
          <w:rFonts w:ascii="David" w:hAnsi="David" w:cs="David"/>
        </w:rPr>
        <w:t>'</w:t>
      </w:r>
      <w:r w:rsidRPr="00024847">
        <w:rPr>
          <w:rFonts w:ascii="David" w:hAnsi="David" w:cs="David"/>
          <w:rtl/>
        </w:rPr>
        <w:t xml:space="preserve">2 לפקודת הנזיקין.  </w:t>
      </w:r>
    </w:p>
  </w:footnote>
  <w:footnote w:id="120">
    <w:p w:rsidR="00B9259F" w:rsidRPr="00AC0C9C" w:rsidRDefault="00BE211D" w:rsidP="001938FA">
      <w:pPr>
        <w:pStyle w:val="a5"/>
        <w:spacing w:after="0"/>
        <w:jc w:val="both"/>
        <w:rPr>
          <w:rFonts w:ascii="David" w:hAnsi="David" w:cs="David" w:hint="default"/>
          <w:rtl/>
        </w:rPr>
      </w:pPr>
      <w:r w:rsidRPr="00AC0C9C">
        <w:rPr>
          <w:rStyle w:val="a7"/>
          <w:rFonts w:ascii="David" w:hAnsi="David" w:cs="David" w:hint="eastAsia"/>
        </w:rPr>
        <w:footnoteRef/>
      </w:r>
      <w:r w:rsidRPr="00AC0C9C">
        <w:rPr>
          <w:rFonts w:ascii="David" w:hAnsi="David" w:cs="David"/>
          <w:color w:val="000000" w:themeColor="text1"/>
          <w:rtl/>
        </w:rPr>
        <w:t xml:space="preserve">ברק ארז, "עוולות חוקתיות", לעיל ה"ש </w:t>
      </w:r>
      <w:r>
        <w:rPr>
          <w:rFonts w:ascii="David" w:hAnsi="David" w:cs="David" w:hint="cs"/>
          <w:color w:val="000000" w:themeColor="text1"/>
          <w:rtl/>
        </w:rPr>
        <w:t>104</w:t>
      </w:r>
      <w:r w:rsidRPr="00AC0C9C">
        <w:rPr>
          <w:rFonts w:ascii="David" w:hAnsi="David" w:cs="David"/>
          <w:color w:val="000000" w:themeColor="text1"/>
          <w:rtl/>
        </w:rPr>
        <w:t>, שם.</w:t>
      </w:r>
    </w:p>
  </w:footnote>
  <w:footnote w:id="121">
    <w:p w:rsidR="00B9259F" w:rsidRPr="00E35E0A" w:rsidRDefault="00BE211D" w:rsidP="00C6160C">
      <w:pPr>
        <w:pStyle w:val="a5"/>
        <w:spacing w:after="0"/>
        <w:rPr>
          <w:rFonts w:ascii="David" w:hAnsi="David" w:cs="David" w:hint="default"/>
        </w:rPr>
      </w:pPr>
      <w:r w:rsidRPr="00E35E0A">
        <w:rPr>
          <w:rStyle w:val="a7"/>
          <w:rFonts w:ascii="David" w:hAnsi="David" w:cs="David" w:hint="default"/>
        </w:rPr>
        <w:footnoteRef/>
      </w:r>
      <w:r w:rsidRPr="00E35E0A">
        <w:rPr>
          <w:rFonts w:ascii="David" w:hAnsi="David" w:cs="David" w:hint="default"/>
          <w:rtl/>
        </w:rPr>
        <w:t xml:space="preserve"> ע"א 1303/09 </w:t>
      </w:r>
      <w:r w:rsidRPr="00E35E0A">
        <w:rPr>
          <w:rFonts w:ascii="David" w:hAnsi="David" w:cs="David" w:hint="default"/>
          <w:b/>
          <w:bCs/>
          <w:rtl/>
        </w:rPr>
        <w:t xml:space="preserve">מרגלית קדוש נ' בית החולים ביקור חולים, </w:t>
      </w:r>
      <w:r w:rsidRPr="00E35E0A">
        <w:rPr>
          <w:rFonts w:ascii="David" w:hAnsi="David" w:cs="David" w:hint="default"/>
          <w:rtl/>
        </w:rPr>
        <w:t>(פורסם בנבו, 5.3.2012), בעמ' 12.</w:t>
      </w:r>
    </w:p>
  </w:footnote>
  <w:footnote w:id="122">
    <w:p w:rsidR="00B9259F" w:rsidRPr="001938FA" w:rsidRDefault="00BE211D" w:rsidP="001938FA">
      <w:pPr>
        <w:pStyle w:val="a5"/>
        <w:spacing w:after="0"/>
        <w:rPr>
          <w:rFonts w:hint="default"/>
          <w:b/>
          <w:bCs/>
          <w:rtl/>
        </w:rPr>
      </w:pPr>
      <w:r w:rsidRPr="00E35E0A">
        <w:rPr>
          <w:rStyle w:val="a7"/>
          <w:rFonts w:ascii="David" w:hAnsi="David" w:cs="David" w:hint="default"/>
        </w:rPr>
        <w:footnoteRef/>
      </w:r>
      <w:r w:rsidRPr="00E35E0A">
        <w:rPr>
          <w:rFonts w:ascii="David" w:hAnsi="David" w:cs="David" w:hint="default"/>
          <w:rtl/>
        </w:rPr>
        <w:t xml:space="preserve"> </w:t>
      </w:r>
      <w:r w:rsidRPr="001938FA">
        <w:rPr>
          <w:rFonts w:ascii="David" w:hAnsi="David" w:cs="David" w:hint="default"/>
          <w:rtl/>
        </w:rPr>
        <w:t xml:space="preserve">עו"ד ענת גוטמן, חובת היידוע הופרה: 8 מיליון ש' להורים שבתם נולדה עם פיגור שכלי, </w:t>
      </w:r>
      <w:r w:rsidRPr="001938FA">
        <w:rPr>
          <w:rFonts w:ascii="David" w:hAnsi="David" w:cs="David" w:hint="default"/>
          <w:b/>
          <w:bCs/>
        </w:rPr>
        <w:t>PsakDin</w:t>
      </w:r>
      <w:r w:rsidRPr="001938FA">
        <w:rPr>
          <w:rFonts w:ascii="David" w:hAnsi="David" w:cs="David" w:hint="default"/>
          <w:rtl/>
        </w:rPr>
        <w:t xml:space="preserve">, 31.10.2014, </w:t>
      </w:r>
      <w:hyperlink r:id="rId10" w:history="1">
        <w:r w:rsidRPr="001938FA">
          <w:rPr>
            <w:rStyle w:val="Hyperlink"/>
            <w:rFonts w:ascii="David" w:hAnsi="David" w:cs="David" w:hint="default"/>
          </w:rPr>
          <w:t>www.psakdin.co.il/Documen</w:t>
        </w:r>
      </w:hyperlink>
      <w:r w:rsidRPr="001938FA">
        <w:rPr>
          <w:rFonts w:ascii="David" w:hAnsi="David" w:cs="David" w:hint="default"/>
          <w:rtl/>
        </w:rPr>
        <w:t>, (נבדק לאחרונה ב-1.10.2018).</w:t>
      </w:r>
    </w:p>
  </w:footnote>
  <w:footnote w:id="123">
    <w:p w:rsidR="00B9259F" w:rsidRPr="00C740B3" w:rsidRDefault="00BE211D" w:rsidP="00E35E0A">
      <w:pPr>
        <w:pStyle w:val="a5"/>
        <w:spacing w:after="0"/>
        <w:rPr>
          <w:rFonts w:ascii="David" w:hAnsi="David" w:cs="David" w:hint="default"/>
          <w:rtl/>
        </w:rPr>
      </w:pPr>
      <w:r w:rsidRPr="00C740B3">
        <w:rPr>
          <w:rStyle w:val="a7"/>
          <w:rFonts w:ascii="David" w:hAnsi="David" w:cs="David" w:hint="default"/>
        </w:rPr>
        <w:footnoteRef/>
      </w:r>
      <w:r w:rsidRPr="00C740B3">
        <w:rPr>
          <w:rFonts w:ascii="David" w:hAnsi="David" w:cs="David" w:hint="default"/>
          <w:rtl/>
        </w:rPr>
        <w:t xml:space="preserve"> בר"ע (ב"ש) 6408/08 </w:t>
      </w:r>
      <w:r w:rsidRPr="00C740B3">
        <w:rPr>
          <w:rFonts w:ascii="David" w:hAnsi="David" w:cs="David" w:hint="default"/>
          <w:b/>
          <w:bCs/>
          <w:rtl/>
        </w:rPr>
        <w:t xml:space="preserve">אוהד אזרד נ' אוראל בנלולו (קטין), </w:t>
      </w:r>
      <w:r w:rsidRPr="00C740B3">
        <w:rPr>
          <w:rFonts w:ascii="David" w:hAnsi="David" w:cs="David" w:hint="default"/>
          <w:rtl/>
        </w:rPr>
        <w:t>(פורסם בנבו, 18.2.2009), בעמ' 2.</w:t>
      </w:r>
    </w:p>
  </w:footnote>
  <w:footnote w:id="124">
    <w:p w:rsidR="00B9259F" w:rsidRPr="00C740B3" w:rsidRDefault="00BE211D" w:rsidP="00C740B3">
      <w:pPr>
        <w:pStyle w:val="a5"/>
        <w:spacing w:after="0"/>
        <w:rPr>
          <w:rFonts w:ascii="David" w:hAnsi="David" w:cs="David" w:hint="default"/>
        </w:rPr>
      </w:pPr>
      <w:r w:rsidRPr="00C740B3">
        <w:rPr>
          <w:rStyle w:val="a7"/>
          <w:rFonts w:ascii="David" w:hAnsi="David" w:cs="David" w:hint="default"/>
        </w:rPr>
        <w:footnoteRef/>
      </w:r>
      <w:r>
        <w:rPr>
          <w:rFonts w:hint="default"/>
          <w:rtl/>
        </w:rPr>
        <w:t xml:space="preserve"> </w:t>
      </w:r>
      <w:r>
        <w:rPr>
          <w:rFonts w:ascii="David" w:hAnsi="David" w:cs="David" w:hint="cs"/>
          <w:rtl/>
        </w:rPr>
        <w:t xml:space="preserve">עת"מ (ת"א) 40137-07-13 </w:t>
      </w:r>
      <w:r w:rsidRPr="00B3372E">
        <w:rPr>
          <w:rFonts w:ascii="David" w:hAnsi="David" w:cs="David" w:hint="cs"/>
          <w:b/>
          <w:bCs/>
          <w:rtl/>
        </w:rPr>
        <w:t>עמותת הורות משותפת-טובת הילד נ' המוסד לביטוח לאומי</w:t>
      </w:r>
      <w:r>
        <w:rPr>
          <w:rFonts w:ascii="David" w:hAnsi="David" w:cs="David" w:hint="cs"/>
          <w:rtl/>
        </w:rPr>
        <w:t>, (פורסם בנבו, 8.7.2014), בעמ' 6.</w:t>
      </w:r>
    </w:p>
  </w:footnote>
  <w:footnote w:id="125">
    <w:p w:rsidR="00B9259F" w:rsidRPr="00C9711C" w:rsidRDefault="00BE211D" w:rsidP="00C9711C">
      <w:pPr>
        <w:pStyle w:val="a5"/>
        <w:spacing w:after="0"/>
        <w:rPr>
          <w:rFonts w:ascii="David" w:hAnsi="David" w:cs="David" w:hint="default"/>
        </w:rPr>
      </w:pPr>
      <w:r w:rsidRPr="00C9711C">
        <w:rPr>
          <w:rStyle w:val="a7"/>
          <w:rFonts w:ascii="David" w:hAnsi="David" w:cs="David" w:hint="default"/>
        </w:rPr>
        <w:footnoteRef/>
      </w:r>
      <w:r w:rsidRPr="00C9711C">
        <w:rPr>
          <w:rFonts w:ascii="David" w:hAnsi="David" w:cs="David" w:hint="default"/>
          <w:rtl/>
        </w:rPr>
        <w:t xml:space="preserve"> עת"מ (ת"א) 2380-09 </w:t>
      </w:r>
      <w:r w:rsidRPr="00C9711C">
        <w:rPr>
          <w:rFonts w:ascii="David" w:hAnsi="David" w:cs="David" w:hint="default"/>
          <w:b/>
          <w:bCs/>
          <w:rtl/>
        </w:rPr>
        <w:t xml:space="preserve">יצחק יוסף נ' משרד הבינוי והשיכון, </w:t>
      </w:r>
      <w:r w:rsidRPr="00C9711C">
        <w:rPr>
          <w:rFonts w:ascii="David" w:hAnsi="David" w:cs="David" w:hint="default"/>
          <w:rtl/>
        </w:rPr>
        <w:t>(פורסם בנבו, 9.11.2010).</w:t>
      </w:r>
    </w:p>
  </w:footnote>
  <w:footnote w:id="126">
    <w:p w:rsidR="00B9259F" w:rsidRDefault="00BE211D" w:rsidP="000B193C">
      <w:pPr>
        <w:pStyle w:val="a5"/>
        <w:spacing w:after="0"/>
        <w:rPr>
          <w:rFonts w:hint="default"/>
        </w:rPr>
      </w:pPr>
      <w:r w:rsidRPr="00C9711C">
        <w:rPr>
          <w:rStyle w:val="a7"/>
          <w:rFonts w:ascii="David" w:hAnsi="David" w:cs="David" w:hint="default"/>
        </w:rPr>
        <w:footnoteRef/>
      </w:r>
      <w:r>
        <w:rPr>
          <w:rFonts w:ascii="David" w:hAnsi="David" w:cs="David" w:hint="cs"/>
          <w:rtl/>
        </w:rPr>
        <w:t xml:space="preserve"> </w:t>
      </w:r>
      <w:r w:rsidRPr="000B193C">
        <w:rPr>
          <w:rFonts w:ascii="David" w:hAnsi="David" w:cs="David" w:hint="default"/>
          <w:rtl/>
        </w:rPr>
        <w:t xml:space="preserve">ראה אתר משרד העבודה הרווחה ושירותים חברתיים, </w:t>
      </w:r>
      <w:hyperlink r:id="rId11" w:history="1">
        <w:r w:rsidRPr="000B193C">
          <w:rPr>
            <w:rStyle w:val="Hyperlink"/>
            <w:rFonts w:ascii="David" w:hAnsi="David" w:cs="David" w:hint="default"/>
          </w:rPr>
          <w:t>www.molsa.gov.il/Populations/Distress/DistressFamily/SpecialNeeds/Pages/TM_02_00_01.aspx</w:t>
        </w:r>
      </w:hyperlink>
      <w:r w:rsidRPr="000B193C">
        <w:rPr>
          <w:rFonts w:ascii="David" w:hAnsi="David" w:cs="David" w:hint="default"/>
          <w:rtl/>
        </w:rPr>
        <w:t xml:space="preserve"> , (נבדק </w:t>
      </w:r>
      <w:r w:rsidRPr="000B193C">
        <w:rPr>
          <w:rFonts w:ascii="David" w:hAnsi="David" w:cs="David" w:hint="default"/>
          <w:rtl/>
        </w:rPr>
        <w:t>לאחרונה ב-1.10.2018).</w:t>
      </w:r>
    </w:p>
  </w:footnote>
  <w:footnote w:id="127">
    <w:p w:rsidR="00B9259F" w:rsidRPr="00CC259D" w:rsidRDefault="00BE211D" w:rsidP="00ED28B7">
      <w:pPr>
        <w:pStyle w:val="a5"/>
        <w:spacing w:after="0"/>
        <w:jc w:val="both"/>
        <w:rPr>
          <w:rFonts w:ascii="David" w:hAnsi="David" w:cs="David" w:hint="default"/>
          <w:rtl/>
        </w:rPr>
      </w:pPr>
      <w:r w:rsidRPr="00CC259D">
        <w:rPr>
          <w:rStyle w:val="a7"/>
          <w:rFonts w:ascii="David" w:hAnsi="David" w:cs="David" w:hint="eastAsia"/>
        </w:rPr>
        <w:footnoteRef/>
      </w:r>
      <w:r w:rsidRPr="00CC259D">
        <w:rPr>
          <w:rFonts w:ascii="David" w:hAnsi="David" w:cs="David"/>
          <w:rtl/>
        </w:rPr>
        <w:t xml:space="preserve"> ס</w:t>
      </w:r>
      <w:r w:rsidRPr="00CC259D">
        <w:rPr>
          <w:rFonts w:ascii="David" w:hAnsi="David" w:cs="David"/>
        </w:rPr>
        <w:t>'</w:t>
      </w:r>
      <w:r>
        <w:rPr>
          <w:rFonts w:ascii="David" w:hAnsi="David" w:cs="David"/>
          <w:rtl/>
        </w:rPr>
        <w:t>35 ל</w:t>
      </w:r>
      <w:r>
        <w:rPr>
          <w:rFonts w:ascii="David" w:hAnsi="David" w:cs="David" w:hint="cs"/>
          <w:rtl/>
        </w:rPr>
        <w:t xml:space="preserve">פקודת הנזיקין. </w:t>
      </w:r>
    </w:p>
  </w:footnote>
  <w:footnote w:id="128">
    <w:p w:rsidR="00B9259F" w:rsidRPr="00AA2418" w:rsidRDefault="00BE211D" w:rsidP="0023596F">
      <w:pPr>
        <w:pStyle w:val="a5"/>
        <w:spacing w:after="0"/>
        <w:jc w:val="both"/>
        <w:rPr>
          <w:rFonts w:ascii="David" w:hAnsi="David" w:cs="David" w:hint="default"/>
          <w:b/>
          <w:bCs/>
        </w:rPr>
      </w:pPr>
      <w:r w:rsidRPr="00CC259D">
        <w:rPr>
          <w:rStyle w:val="a7"/>
          <w:rFonts w:ascii="David" w:hAnsi="David" w:cs="David" w:hint="eastAsia"/>
        </w:rPr>
        <w:footnoteRef/>
      </w:r>
      <w:r w:rsidRPr="00CC259D">
        <w:rPr>
          <w:rFonts w:ascii="David" w:hAnsi="David" w:cs="David"/>
          <w:rtl/>
        </w:rPr>
        <w:t xml:space="preserve"> </w:t>
      </w:r>
      <w:r w:rsidRPr="00AA2418">
        <w:rPr>
          <w:rFonts w:ascii="David" w:hAnsi="David" w:cs="David"/>
          <w:rtl/>
        </w:rPr>
        <w:t xml:space="preserve">דנ"א 7794/98 </w:t>
      </w:r>
      <w:r w:rsidRPr="00AA2418">
        <w:rPr>
          <w:rFonts w:ascii="David" w:hAnsi="David" w:cs="David"/>
          <w:b/>
          <w:bCs/>
          <w:rtl/>
        </w:rPr>
        <w:t>משה נ' קליפורד</w:t>
      </w:r>
      <w:r w:rsidRPr="00AA2418">
        <w:rPr>
          <w:rFonts w:ascii="David" w:hAnsi="David" w:cs="David"/>
          <w:rtl/>
        </w:rPr>
        <w:t xml:space="preserve">, </w:t>
      </w:r>
      <w:r>
        <w:rPr>
          <w:rFonts w:ascii="David" w:hAnsi="David" w:cs="David" w:hint="cs"/>
          <w:rtl/>
        </w:rPr>
        <w:t xml:space="preserve">פ"ד </w:t>
      </w:r>
      <w:r>
        <w:rPr>
          <w:rFonts w:ascii="David" w:hAnsi="David" w:cs="David"/>
          <w:rtl/>
        </w:rPr>
        <w:t>נז</w:t>
      </w:r>
      <w:r w:rsidRPr="00AA2418">
        <w:rPr>
          <w:rFonts w:ascii="David" w:hAnsi="David" w:cs="David"/>
          <w:rtl/>
        </w:rPr>
        <w:t>(4) 721</w:t>
      </w:r>
      <w:r>
        <w:rPr>
          <w:rFonts w:ascii="David" w:hAnsi="David" w:cs="David"/>
          <w:rtl/>
        </w:rPr>
        <w:t>, 744-748</w:t>
      </w:r>
      <w:r>
        <w:rPr>
          <w:rFonts w:ascii="David" w:hAnsi="David" w:cs="David" w:hint="cs"/>
          <w:rtl/>
        </w:rPr>
        <w:t xml:space="preserve"> (2003). </w:t>
      </w:r>
    </w:p>
  </w:footnote>
  <w:footnote w:id="129">
    <w:p w:rsidR="00B9259F" w:rsidRPr="00640A1F" w:rsidRDefault="00BE211D" w:rsidP="006A1731">
      <w:pPr>
        <w:pStyle w:val="a5"/>
        <w:spacing w:after="0"/>
        <w:rPr>
          <w:rFonts w:ascii="David" w:hAnsi="David" w:cs="David" w:hint="default"/>
          <w:rtl/>
        </w:rPr>
      </w:pPr>
      <w:r w:rsidRPr="00640A1F">
        <w:rPr>
          <w:rStyle w:val="a7"/>
          <w:rFonts w:ascii="David" w:hAnsi="David" w:cs="David" w:hint="default"/>
        </w:rPr>
        <w:footnoteRef/>
      </w:r>
      <w:r>
        <w:rPr>
          <w:rFonts w:ascii="David" w:hAnsi="David" w:cs="David" w:hint="cs"/>
          <w:rtl/>
        </w:rPr>
        <w:t xml:space="preserve"> רשלנות רפואית, פגיעה באוטונומיה של נפגעי הגזזת עקב אי יידוע בדבר הסיכון המוגבר לחלות</w:t>
      </w:r>
      <w:r w:rsidRPr="00640A1F">
        <w:rPr>
          <w:rFonts w:ascii="David" w:hAnsi="David" w:cs="David" w:hint="default"/>
          <w:rtl/>
        </w:rPr>
        <w:t xml:space="preserve"> </w:t>
      </w:r>
      <w:hyperlink r:id="rId12" w:history="1">
        <w:r w:rsidRPr="007729AE">
          <w:rPr>
            <w:rStyle w:val="Hyperlink"/>
            <w:rFonts w:ascii="David" w:hAnsi="David" w:cs="David" w:hint="default"/>
          </w:rPr>
          <w:t>www.rashlanut-refuit.org/P33632</w:t>
        </w:r>
        <w:r w:rsidRPr="007729AE">
          <w:rPr>
            <w:rStyle w:val="Hyperlink"/>
            <w:rFonts w:ascii="David" w:hAnsi="David" w:cs="David" w:hint="default"/>
            <w:rtl/>
          </w:rPr>
          <w:t>/</w:t>
        </w:r>
      </w:hyperlink>
      <w:r>
        <w:rPr>
          <w:rFonts w:ascii="David" w:hAnsi="David" w:cs="David" w:hint="cs"/>
          <w:rtl/>
        </w:rPr>
        <w:t xml:space="preserve"> , (נבדק לאחרונה ב-1.10.2018).</w:t>
      </w:r>
    </w:p>
  </w:footnote>
  <w:footnote w:id="130">
    <w:p w:rsidR="00B9259F" w:rsidRPr="00DB2892" w:rsidRDefault="00BE211D" w:rsidP="00BB1366">
      <w:pPr>
        <w:pStyle w:val="a5"/>
        <w:spacing w:after="0"/>
        <w:jc w:val="both"/>
        <w:rPr>
          <w:rFonts w:ascii="David" w:hAnsi="David" w:cs="David" w:hint="default"/>
        </w:rPr>
      </w:pPr>
      <w:r w:rsidRPr="00CC259D">
        <w:rPr>
          <w:rStyle w:val="a7"/>
          <w:rFonts w:ascii="David" w:hAnsi="David" w:cs="David" w:hint="eastAsia"/>
        </w:rPr>
        <w:footnoteRef/>
      </w:r>
      <w:r w:rsidRPr="00CC259D">
        <w:rPr>
          <w:rFonts w:ascii="David" w:hAnsi="David" w:cs="David"/>
          <w:rtl/>
        </w:rPr>
        <w:t xml:space="preserve"> </w:t>
      </w:r>
      <w:r w:rsidRPr="00DB2892">
        <w:rPr>
          <w:rFonts w:ascii="David" w:hAnsi="David" w:cs="David"/>
          <w:rtl/>
        </w:rPr>
        <w:t>ע</w:t>
      </w:r>
      <w:r w:rsidRPr="00DB2892">
        <w:rPr>
          <w:rFonts w:ascii="David" w:hAnsi="David" w:cs="David"/>
        </w:rPr>
        <w:t>"</w:t>
      </w:r>
      <w:r w:rsidRPr="00DB2892">
        <w:rPr>
          <w:rFonts w:ascii="David" w:hAnsi="David" w:cs="David"/>
          <w:rtl/>
        </w:rPr>
        <w:t xml:space="preserve">א 5604/94 </w:t>
      </w:r>
      <w:r w:rsidRPr="00DB2892">
        <w:rPr>
          <w:rFonts w:ascii="David" w:hAnsi="David" w:cs="David"/>
          <w:b/>
          <w:bCs/>
          <w:rtl/>
        </w:rPr>
        <w:t>חמד נ' מ"י</w:t>
      </w:r>
      <w:r w:rsidRPr="00DB2892">
        <w:rPr>
          <w:rFonts w:ascii="David" w:hAnsi="David" w:cs="David"/>
        </w:rPr>
        <w:t>,</w:t>
      </w:r>
      <w:r>
        <w:rPr>
          <w:rFonts w:ascii="David" w:hAnsi="David" w:cs="David"/>
          <w:rtl/>
        </w:rPr>
        <w:t xml:space="preserve"> פ"ד נח(2)</w:t>
      </w:r>
      <w:r>
        <w:rPr>
          <w:rFonts w:ascii="David" w:hAnsi="David" w:cs="David" w:hint="cs"/>
          <w:rtl/>
        </w:rPr>
        <w:t xml:space="preserve"> </w:t>
      </w:r>
      <w:r w:rsidRPr="00DB2892">
        <w:rPr>
          <w:rFonts w:ascii="David" w:hAnsi="David" w:cs="David"/>
          <w:rtl/>
        </w:rPr>
        <w:t>498</w:t>
      </w:r>
      <w:r>
        <w:rPr>
          <w:rFonts w:ascii="David" w:hAnsi="David" w:cs="David" w:hint="cs"/>
          <w:rtl/>
        </w:rPr>
        <w:t xml:space="preserve"> (2004)</w:t>
      </w:r>
      <w:r w:rsidRPr="00DB2892">
        <w:rPr>
          <w:rFonts w:ascii="David" w:hAnsi="David" w:cs="David"/>
          <w:rtl/>
        </w:rPr>
        <w:t xml:space="preserve">. </w:t>
      </w:r>
    </w:p>
  </w:footnote>
  <w:footnote w:id="131">
    <w:p w:rsidR="00B9259F" w:rsidRPr="009F0E63" w:rsidRDefault="00BE211D" w:rsidP="0023596F">
      <w:pPr>
        <w:pStyle w:val="a5"/>
        <w:spacing w:after="0"/>
        <w:jc w:val="both"/>
        <w:rPr>
          <w:rFonts w:ascii="David" w:hAnsi="David" w:cs="David" w:hint="default"/>
          <w:rtl/>
        </w:rPr>
      </w:pPr>
      <w:r w:rsidRPr="009F0E63">
        <w:rPr>
          <w:rStyle w:val="a7"/>
          <w:rFonts w:ascii="David" w:hAnsi="David" w:cs="David" w:hint="eastAsia"/>
        </w:rPr>
        <w:footnoteRef/>
      </w:r>
      <w:r w:rsidRPr="009F0E63">
        <w:rPr>
          <w:rFonts w:ascii="David" w:hAnsi="David" w:cs="David"/>
          <w:rtl/>
        </w:rPr>
        <w:t xml:space="preserve"> ע"א 343/74 </w:t>
      </w:r>
      <w:r w:rsidRPr="009F0E63">
        <w:rPr>
          <w:rFonts w:ascii="David" w:hAnsi="David" w:cs="David"/>
          <w:b/>
          <w:bCs/>
          <w:rtl/>
        </w:rPr>
        <w:t>גרובנר נ' עיריית חיפה</w:t>
      </w:r>
      <w:r w:rsidRPr="009F0E63">
        <w:rPr>
          <w:rFonts w:ascii="David" w:hAnsi="David" w:cs="David"/>
          <w:rtl/>
        </w:rPr>
        <w:t>, פ"ד ל(1) 414, 145-148, 154-163</w:t>
      </w:r>
      <w:r>
        <w:rPr>
          <w:rFonts w:ascii="David" w:hAnsi="David" w:cs="David" w:hint="cs"/>
          <w:rtl/>
        </w:rPr>
        <w:t xml:space="preserve"> (1975)</w:t>
      </w:r>
      <w:r w:rsidRPr="009F0E63">
        <w:rPr>
          <w:rFonts w:ascii="David" w:hAnsi="David" w:cs="David"/>
          <w:rtl/>
        </w:rPr>
        <w:t xml:space="preserve">. </w:t>
      </w:r>
    </w:p>
  </w:footnote>
  <w:footnote w:id="132">
    <w:p w:rsidR="00B9259F" w:rsidRPr="00520EDB" w:rsidRDefault="00BE211D" w:rsidP="00FB6E1A">
      <w:pPr>
        <w:pStyle w:val="a5"/>
        <w:spacing w:after="0"/>
        <w:jc w:val="both"/>
        <w:rPr>
          <w:rFonts w:ascii="David" w:hAnsi="David" w:cs="David" w:hint="default"/>
          <w:rtl/>
        </w:rPr>
      </w:pPr>
      <w:r w:rsidRPr="00520EDB">
        <w:rPr>
          <w:rStyle w:val="a7"/>
          <w:rFonts w:ascii="David" w:hAnsi="David" w:cs="David" w:hint="default"/>
        </w:rPr>
        <w:footnoteRef/>
      </w:r>
      <w:r w:rsidRPr="00520EDB">
        <w:rPr>
          <w:rFonts w:ascii="David" w:hAnsi="David" w:cs="David" w:hint="default"/>
          <w:b/>
          <w:bCs/>
          <w:rtl/>
        </w:rPr>
        <w:t>עניין גורדון</w:t>
      </w:r>
      <w:r w:rsidRPr="00520EDB">
        <w:rPr>
          <w:rFonts w:ascii="David" w:hAnsi="David" w:cs="David" w:hint="default"/>
          <w:rtl/>
        </w:rPr>
        <w:t>, לעיל ה"ש 86, בעמ' 131-132.</w:t>
      </w:r>
    </w:p>
  </w:footnote>
  <w:footnote w:id="133">
    <w:p w:rsidR="00B9259F" w:rsidRPr="00520EDB" w:rsidRDefault="00BE211D" w:rsidP="003D39AF">
      <w:pPr>
        <w:pStyle w:val="a5"/>
        <w:spacing w:after="0"/>
        <w:jc w:val="both"/>
        <w:rPr>
          <w:rFonts w:ascii="David" w:hAnsi="David" w:cs="David" w:hint="default"/>
          <w:rtl/>
        </w:rPr>
      </w:pPr>
      <w:r w:rsidRPr="00520EDB">
        <w:rPr>
          <w:rStyle w:val="a7"/>
          <w:rFonts w:ascii="David" w:hAnsi="David" w:cs="David" w:hint="default"/>
        </w:rPr>
        <w:footnoteRef/>
      </w:r>
      <w:r w:rsidRPr="00520EDB">
        <w:rPr>
          <w:rFonts w:ascii="David" w:hAnsi="David" w:cs="David" w:hint="default"/>
          <w:color w:val="000000" w:themeColor="text1"/>
          <w:rtl/>
        </w:rPr>
        <w:t>שם.</w:t>
      </w:r>
    </w:p>
  </w:footnote>
  <w:footnote w:id="134">
    <w:p w:rsidR="00B9259F" w:rsidRPr="00520EDB" w:rsidRDefault="00BE211D" w:rsidP="003A59A3">
      <w:pPr>
        <w:pStyle w:val="a5"/>
        <w:spacing w:after="0"/>
        <w:rPr>
          <w:rFonts w:ascii="David" w:hAnsi="David" w:cs="David" w:hint="default"/>
          <w:rtl/>
        </w:rPr>
      </w:pPr>
      <w:r w:rsidRPr="00520EDB">
        <w:rPr>
          <w:rStyle w:val="a7"/>
          <w:rFonts w:ascii="David" w:hAnsi="David" w:cs="David" w:hint="default"/>
        </w:rPr>
        <w:footnoteRef/>
      </w:r>
      <w:r w:rsidRPr="00520EDB">
        <w:rPr>
          <w:rFonts w:ascii="David" w:hAnsi="David" w:cs="David" w:hint="default"/>
          <w:rtl/>
        </w:rPr>
        <w:t xml:space="preserve"> </w:t>
      </w:r>
      <w:r w:rsidRPr="00520EDB">
        <w:rPr>
          <w:rFonts w:ascii="David" w:hAnsi="David" w:cs="David" w:hint="default"/>
          <w:b/>
          <w:bCs/>
          <w:rtl/>
        </w:rPr>
        <w:t xml:space="preserve">עניין ד"ר פריש ליאון, </w:t>
      </w:r>
      <w:r w:rsidRPr="00520EDB">
        <w:rPr>
          <w:rFonts w:ascii="David" w:hAnsi="David" w:cs="David" w:hint="default"/>
          <w:rtl/>
        </w:rPr>
        <w:t>לעיל ה"ש 57.</w:t>
      </w:r>
    </w:p>
  </w:footnote>
  <w:footnote w:id="135">
    <w:p w:rsidR="00B9259F" w:rsidRPr="002F1D79" w:rsidRDefault="00BE211D" w:rsidP="003A59A3">
      <w:pPr>
        <w:pStyle w:val="a5"/>
        <w:spacing w:after="0"/>
        <w:rPr>
          <w:rFonts w:ascii="David" w:hAnsi="David" w:cs="David" w:hint="default"/>
          <w:rtl/>
        </w:rPr>
      </w:pPr>
      <w:r w:rsidRPr="00520EDB">
        <w:rPr>
          <w:rStyle w:val="a7"/>
          <w:rFonts w:ascii="David" w:hAnsi="David" w:cs="David" w:hint="default"/>
        </w:rPr>
        <w:footnoteRef/>
      </w:r>
      <w:r w:rsidRPr="00520EDB">
        <w:rPr>
          <w:rFonts w:ascii="David" w:hAnsi="David" w:cs="David" w:hint="default"/>
          <w:rtl/>
        </w:rPr>
        <w:t xml:space="preserve"> תמר גדרון, אחריות המדינה, גופים ציבוריים וממלאי תפקידים ציבוריים לנזק שנגרם ברשלנות – מדרון חלקלק, </w:t>
      </w:r>
      <w:r w:rsidRPr="00520EDB">
        <w:rPr>
          <w:rFonts w:ascii="David" w:hAnsi="David" w:cs="David" w:hint="default"/>
          <w:b/>
          <w:bCs/>
          <w:rtl/>
        </w:rPr>
        <w:t xml:space="preserve">הפרקליט </w:t>
      </w:r>
      <w:r w:rsidRPr="00520EDB">
        <w:rPr>
          <w:rFonts w:ascii="David" w:hAnsi="David" w:cs="David" w:hint="default"/>
          <w:rtl/>
        </w:rPr>
        <w:t>נא תשע"ב</w:t>
      </w:r>
      <w:r w:rsidRPr="00520EDB">
        <w:rPr>
          <w:rFonts w:ascii="David" w:hAnsi="David" w:cs="David" w:hint="default"/>
          <w:b/>
          <w:bCs/>
          <w:rtl/>
        </w:rPr>
        <w:t xml:space="preserve">, </w:t>
      </w:r>
      <w:r w:rsidRPr="00520EDB">
        <w:rPr>
          <w:rFonts w:ascii="David" w:hAnsi="David" w:cs="David" w:hint="default"/>
          <w:rtl/>
        </w:rPr>
        <w:t>בעמ' 456</w:t>
      </w:r>
      <w:r w:rsidRPr="002F1D79">
        <w:rPr>
          <w:rFonts w:ascii="David" w:hAnsi="David" w:cs="David" w:hint="default"/>
          <w:rtl/>
        </w:rPr>
        <w:t>.</w:t>
      </w:r>
    </w:p>
  </w:footnote>
  <w:footnote w:id="136">
    <w:p w:rsidR="00B9259F" w:rsidRPr="003F76E2" w:rsidRDefault="00BE211D" w:rsidP="0088724C">
      <w:pPr>
        <w:pStyle w:val="a5"/>
        <w:spacing w:after="0"/>
        <w:rPr>
          <w:rFonts w:ascii="David" w:hAnsi="David" w:cs="David" w:hint="default"/>
          <w:rtl/>
        </w:rPr>
      </w:pPr>
      <w:r w:rsidRPr="003F76E2">
        <w:rPr>
          <w:rStyle w:val="a7"/>
          <w:rFonts w:ascii="David" w:hAnsi="David" w:cs="David" w:hint="default"/>
        </w:rPr>
        <w:footnoteRef/>
      </w:r>
      <w:r w:rsidRPr="003F76E2">
        <w:rPr>
          <w:rFonts w:ascii="David" w:hAnsi="David" w:cs="David" w:hint="default"/>
          <w:rtl/>
        </w:rPr>
        <w:t xml:space="preserve"> שם.</w:t>
      </w:r>
    </w:p>
  </w:footnote>
  <w:footnote w:id="137">
    <w:p w:rsidR="00B9259F" w:rsidRPr="006C2976" w:rsidRDefault="00BE211D" w:rsidP="006D45C0">
      <w:pPr>
        <w:pStyle w:val="a5"/>
        <w:spacing w:after="0"/>
        <w:rPr>
          <w:rFonts w:ascii="David" w:hAnsi="David" w:cs="David" w:hint="default"/>
          <w:rtl/>
        </w:rPr>
      </w:pPr>
      <w:r w:rsidRPr="006C2976">
        <w:rPr>
          <w:rStyle w:val="a7"/>
          <w:rFonts w:ascii="David" w:hAnsi="David" w:cs="David" w:hint="default"/>
        </w:rPr>
        <w:footnoteRef/>
      </w:r>
      <w:r w:rsidRPr="006C2976">
        <w:rPr>
          <w:rFonts w:ascii="David" w:hAnsi="David" w:cs="David" w:hint="default"/>
          <w:rtl/>
        </w:rPr>
        <w:t xml:space="preserve"> </w:t>
      </w:r>
      <w:r>
        <w:rPr>
          <w:rFonts w:ascii="David" w:hAnsi="David" w:cs="David" w:hint="cs"/>
          <w:rtl/>
        </w:rPr>
        <w:t xml:space="preserve">ישראל גלעד, </w:t>
      </w:r>
      <w:r w:rsidRPr="006D45C0">
        <w:rPr>
          <w:rFonts w:ascii="David" w:hAnsi="David" w:cs="David" w:hint="default"/>
          <w:rtl/>
        </w:rPr>
        <w:t>האחריות בנזיקין של רשויות ציבור ועובדי ציבור</w:t>
      </w:r>
      <w:r w:rsidRPr="006C2976">
        <w:rPr>
          <w:rFonts w:ascii="David" w:hAnsi="David" w:cs="David" w:hint="default"/>
          <w:rtl/>
        </w:rPr>
        <w:t>,</w:t>
      </w:r>
      <w:r>
        <w:rPr>
          <w:rFonts w:ascii="David" w:hAnsi="David" w:cs="David" w:hint="cs"/>
          <w:rtl/>
        </w:rPr>
        <w:t xml:space="preserve"> </w:t>
      </w:r>
      <w:r>
        <w:rPr>
          <w:rFonts w:ascii="David" w:hAnsi="David" w:cs="David" w:hint="cs"/>
          <w:b/>
          <w:bCs/>
          <w:rtl/>
        </w:rPr>
        <w:t xml:space="preserve">משפט וממשל </w:t>
      </w:r>
      <w:r>
        <w:rPr>
          <w:rFonts w:ascii="David" w:hAnsi="David" w:cs="David" w:hint="cs"/>
          <w:rtl/>
        </w:rPr>
        <w:t>ב תשנ"ה,</w:t>
      </w:r>
      <w:r w:rsidRPr="006C2976">
        <w:rPr>
          <w:rFonts w:ascii="David" w:hAnsi="David" w:cs="David" w:hint="default"/>
          <w:rtl/>
        </w:rPr>
        <w:t xml:space="preserve"> בעמ' 360.</w:t>
      </w:r>
    </w:p>
  </w:footnote>
  <w:footnote w:id="138">
    <w:p w:rsidR="00B9259F" w:rsidRPr="000F1CE1" w:rsidRDefault="00BE211D" w:rsidP="000F1CE1">
      <w:pPr>
        <w:pStyle w:val="a5"/>
        <w:spacing w:after="0"/>
        <w:rPr>
          <w:rFonts w:ascii="David" w:hAnsi="David" w:cs="David" w:hint="default"/>
          <w:rtl/>
        </w:rPr>
      </w:pPr>
      <w:r w:rsidRPr="000F1CE1">
        <w:rPr>
          <w:rStyle w:val="a7"/>
          <w:rFonts w:ascii="David" w:hAnsi="David" w:cs="David" w:hint="default"/>
        </w:rPr>
        <w:footnoteRef/>
      </w:r>
      <w:r w:rsidRPr="000F1CE1">
        <w:rPr>
          <w:rFonts w:ascii="David" w:hAnsi="David" w:cs="David" w:hint="default"/>
          <w:rtl/>
        </w:rPr>
        <w:t xml:space="preserve"> שם.</w:t>
      </w:r>
    </w:p>
  </w:footnote>
  <w:footnote w:id="139">
    <w:p w:rsidR="00B9259F" w:rsidRDefault="00BE211D" w:rsidP="000F1CE1">
      <w:pPr>
        <w:pStyle w:val="a5"/>
        <w:spacing w:after="0"/>
        <w:rPr>
          <w:rFonts w:hint="default"/>
          <w:rtl/>
        </w:rPr>
      </w:pPr>
      <w:r w:rsidRPr="000F1CE1">
        <w:rPr>
          <w:rStyle w:val="a7"/>
          <w:rFonts w:ascii="David" w:hAnsi="David" w:cs="David" w:hint="default"/>
        </w:rPr>
        <w:footnoteRef/>
      </w:r>
      <w:r>
        <w:rPr>
          <w:rFonts w:hint="default"/>
          <w:rtl/>
        </w:rPr>
        <w:t xml:space="preserve"> </w:t>
      </w:r>
      <w:r w:rsidRPr="000F1CE1">
        <w:rPr>
          <w:rFonts w:ascii="David" w:hAnsi="David" w:cs="David" w:hint="default"/>
          <w:rtl/>
        </w:rPr>
        <w:t>שם, בעמ' 361.</w:t>
      </w:r>
    </w:p>
  </w:footnote>
  <w:footnote w:id="140">
    <w:p w:rsidR="00B9259F" w:rsidRPr="000F1CE1" w:rsidRDefault="00BE211D" w:rsidP="006A232F">
      <w:pPr>
        <w:pStyle w:val="a5"/>
        <w:spacing w:after="0"/>
        <w:rPr>
          <w:rFonts w:ascii="David" w:hAnsi="David" w:cs="David" w:hint="default"/>
          <w:rtl/>
        </w:rPr>
      </w:pPr>
      <w:r w:rsidRPr="000F1CE1">
        <w:rPr>
          <w:rStyle w:val="a7"/>
          <w:rFonts w:ascii="David" w:hAnsi="David" w:cs="David" w:hint="default"/>
        </w:rPr>
        <w:footnoteRef/>
      </w:r>
      <w:r w:rsidRPr="000F1CE1">
        <w:rPr>
          <w:rFonts w:ascii="David" w:hAnsi="David" w:cs="David" w:hint="default"/>
          <w:rtl/>
        </w:rPr>
        <w:t xml:space="preserve"> שם.</w:t>
      </w:r>
    </w:p>
  </w:footnote>
  <w:footnote w:id="141">
    <w:p w:rsidR="00B9259F" w:rsidRPr="006A232F" w:rsidRDefault="00BE211D" w:rsidP="006A232F">
      <w:pPr>
        <w:pStyle w:val="a5"/>
        <w:spacing w:after="0"/>
        <w:rPr>
          <w:rFonts w:ascii="David" w:hAnsi="David" w:cs="David" w:hint="default"/>
          <w:rtl/>
        </w:rPr>
      </w:pPr>
      <w:r w:rsidRPr="006A232F">
        <w:rPr>
          <w:rStyle w:val="a7"/>
          <w:rFonts w:ascii="David" w:hAnsi="David" w:cs="David" w:hint="default"/>
        </w:rPr>
        <w:footnoteRef/>
      </w:r>
      <w:r w:rsidRPr="006A232F">
        <w:rPr>
          <w:rFonts w:ascii="David" w:hAnsi="David" w:cs="David" w:hint="default"/>
          <w:rtl/>
        </w:rPr>
        <w:t xml:space="preserve"> שם.</w:t>
      </w:r>
    </w:p>
  </w:footnote>
  <w:footnote w:id="142">
    <w:p w:rsidR="00B9259F" w:rsidRPr="0042213A" w:rsidRDefault="00BE211D" w:rsidP="0042213A">
      <w:pPr>
        <w:pStyle w:val="a5"/>
        <w:spacing w:after="0"/>
        <w:rPr>
          <w:rFonts w:ascii="David" w:hAnsi="David" w:cs="David" w:hint="default"/>
        </w:rPr>
      </w:pPr>
      <w:r w:rsidRPr="0042213A">
        <w:rPr>
          <w:rStyle w:val="a7"/>
          <w:rFonts w:ascii="David" w:hAnsi="David" w:cs="David" w:hint="default"/>
        </w:rPr>
        <w:footnoteRef/>
      </w:r>
      <w:r w:rsidRPr="0042213A">
        <w:rPr>
          <w:rFonts w:ascii="David" w:hAnsi="David" w:cs="David" w:hint="default"/>
          <w:rtl/>
        </w:rPr>
        <w:t xml:space="preserve"> </w:t>
      </w:r>
      <w:r w:rsidRPr="0042213A">
        <w:rPr>
          <w:rFonts w:ascii="David" w:hAnsi="David" w:cs="David" w:hint="default"/>
          <w:b/>
          <w:bCs/>
        </w:rPr>
        <w:t>East Suffolk Rivers Catchment Board v.</w:t>
      </w:r>
      <w:r w:rsidRPr="0042213A">
        <w:rPr>
          <w:rFonts w:ascii="David" w:hAnsi="David" w:cs="David" w:hint="default"/>
        </w:rPr>
        <w:t xml:space="preserve"> Kent [1941] A.C. 74</w:t>
      </w:r>
    </w:p>
  </w:footnote>
  <w:footnote w:id="143">
    <w:p w:rsidR="00B9259F" w:rsidRDefault="00BE211D" w:rsidP="0042213A">
      <w:pPr>
        <w:pStyle w:val="a5"/>
        <w:spacing w:after="0"/>
        <w:rPr>
          <w:rFonts w:hint="default"/>
          <w:rtl/>
        </w:rPr>
      </w:pPr>
      <w:r w:rsidRPr="0042213A">
        <w:rPr>
          <w:rStyle w:val="a7"/>
          <w:rFonts w:ascii="David" w:hAnsi="David" w:cs="David" w:hint="default"/>
        </w:rPr>
        <w:footnoteRef/>
      </w:r>
      <w:r w:rsidRPr="0042213A">
        <w:rPr>
          <w:rFonts w:ascii="David" w:hAnsi="David" w:cs="David" w:hint="default"/>
          <w:rtl/>
        </w:rPr>
        <w:t xml:space="preserve"> שם.</w:t>
      </w:r>
    </w:p>
  </w:footnote>
  <w:footnote w:id="144">
    <w:p w:rsidR="00B9259F" w:rsidRPr="004115D3" w:rsidRDefault="00BE211D" w:rsidP="00BE2E09">
      <w:pPr>
        <w:pStyle w:val="a5"/>
        <w:spacing w:after="0"/>
        <w:rPr>
          <w:rFonts w:ascii="David" w:hAnsi="David" w:cs="David" w:hint="default"/>
          <w:rtl/>
        </w:rPr>
      </w:pPr>
      <w:r w:rsidRPr="004115D3">
        <w:rPr>
          <w:rStyle w:val="a7"/>
          <w:rFonts w:ascii="David" w:hAnsi="David" w:cs="David" w:hint="default"/>
        </w:rPr>
        <w:footnoteRef/>
      </w:r>
      <w:r w:rsidRPr="004115D3">
        <w:rPr>
          <w:rFonts w:ascii="David" w:hAnsi="David" w:cs="David" w:hint="default"/>
          <w:rtl/>
        </w:rPr>
        <w:t xml:space="preserve"> </w:t>
      </w:r>
      <w:r w:rsidRPr="004115D3">
        <w:rPr>
          <w:rFonts w:ascii="David" w:hAnsi="David" w:cs="David" w:hint="default"/>
          <w:b/>
          <w:bCs/>
        </w:rPr>
        <w:t>Anns v. Merton London Borough Council</w:t>
      </w:r>
      <w:r w:rsidRPr="004115D3">
        <w:rPr>
          <w:rFonts w:ascii="David" w:hAnsi="David" w:cs="David" w:hint="default"/>
        </w:rPr>
        <w:t xml:space="preserve"> [1978] A.C.728</w:t>
      </w:r>
    </w:p>
  </w:footnote>
  <w:footnote w:id="145">
    <w:p w:rsidR="00B9259F" w:rsidRPr="00BE2E09" w:rsidRDefault="00BE211D" w:rsidP="00BE2E09">
      <w:pPr>
        <w:pStyle w:val="a5"/>
        <w:spacing w:after="0"/>
        <w:rPr>
          <w:rFonts w:ascii="David" w:hAnsi="David" w:cs="David" w:hint="default"/>
          <w:rtl/>
        </w:rPr>
      </w:pPr>
      <w:r w:rsidRPr="00BE2E09">
        <w:rPr>
          <w:rStyle w:val="a7"/>
          <w:rFonts w:ascii="David" w:hAnsi="David" w:cs="David" w:hint="default"/>
        </w:rPr>
        <w:footnoteRef/>
      </w:r>
      <w:r w:rsidRPr="00BE2E09">
        <w:rPr>
          <w:rFonts w:ascii="David" w:hAnsi="David" w:cs="David" w:hint="default"/>
          <w:rtl/>
        </w:rPr>
        <w:t xml:space="preserve"> </w:t>
      </w:r>
      <w:r w:rsidRPr="00AA5180">
        <w:rPr>
          <w:rFonts w:ascii="David" w:hAnsi="David" w:cs="David" w:hint="default"/>
          <w:b/>
          <w:bCs/>
        </w:rPr>
        <w:t>Curran v. Northern Ireland Co-ownership Hosing Association</w:t>
      </w:r>
      <w:r w:rsidRPr="00BE2E09">
        <w:rPr>
          <w:rFonts w:ascii="David" w:hAnsi="David" w:cs="David" w:hint="default"/>
        </w:rPr>
        <w:t xml:space="preserve"> [1987] A.C. 718, 724, </w:t>
      </w:r>
      <w:r w:rsidRPr="00AA5180">
        <w:rPr>
          <w:rFonts w:ascii="David" w:hAnsi="David" w:cs="David" w:hint="default"/>
          <w:b/>
          <w:bCs/>
        </w:rPr>
        <w:t>Southerland Shite Council v. Heyman</w:t>
      </w:r>
      <w:r w:rsidRPr="00BE2E09">
        <w:rPr>
          <w:rFonts w:ascii="David" w:hAnsi="David" w:cs="David" w:hint="default"/>
        </w:rPr>
        <w:t xml:space="preserve"> [1985] 59 A.L.J.R 564.</w:t>
      </w:r>
    </w:p>
  </w:footnote>
  <w:footnote w:id="146">
    <w:p w:rsidR="00B9259F" w:rsidRPr="00683E53" w:rsidRDefault="00BE211D" w:rsidP="00CC658B">
      <w:pPr>
        <w:pStyle w:val="a5"/>
        <w:spacing w:after="0"/>
        <w:rPr>
          <w:rFonts w:ascii="David" w:hAnsi="David" w:cs="David" w:hint="default"/>
        </w:rPr>
      </w:pPr>
      <w:r w:rsidRPr="00683E53">
        <w:rPr>
          <w:rStyle w:val="a7"/>
          <w:rFonts w:ascii="David" w:hAnsi="David" w:cs="David" w:hint="default"/>
        </w:rPr>
        <w:footnoteRef/>
      </w:r>
      <w:r w:rsidRPr="00683E53">
        <w:rPr>
          <w:rFonts w:ascii="David" w:hAnsi="David" w:cs="David" w:hint="default"/>
          <w:rtl/>
        </w:rPr>
        <w:t xml:space="preserve"> </w:t>
      </w:r>
      <w:r w:rsidRPr="00683E53">
        <w:rPr>
          <w:rFonts w:ascii="David" w:hAnsi="David" w:cs="David" w:hint="default"/>
          <w:b/>
          <w:bCs/>
          <w:rtl/>
        </w:rPr>
        <w:t>עניין</w:t>
      </w:r>
      <w:r w:rsidRPr="00683E53">
        <w:rPr>
          <w:rFonts w:ascii="David" w:hAnsi="David" w:cs="David" w:hint="default"/>
          <w:rtl/>
        </w:rPr>
        <w:t xml:space="preserve"> </w:t>
      </w:r>
      <w:r w:rsidRPr="00683E53">
        <w:rPr>
          <w:rFonts w:ascii="David" w:hAnsi="David" w:cs="David" w:hint="default"/>
          <w:b/>
          <w:bCs/>
        </w:rPr>
        <w:t>Anns</w:t>
      </w:r>
      <w:r w:rsidRPr="00683E53">
        <w:rPr>
          <w:rFonts w:ascii="David" w:hAnsi="David" w:cs="David" w:hint="default"/>
          <w:rtl/>
        </w:rPr>
        <w:t xml:space="preserve">, לעיל ה"ש </w:t>
      </w:r>
      <w:r>
        <w:rPr>
          <w:rFonts w:ascii="David" w:hAnsi="David" w:cs="David" w:hint="cs"/>
          <w:rtl/>
        </w:rPr>
        <w:t>144</w:t>
      </w:r>
      <w:r w:rsidRPr="00683E53">
        <w:rPr>
          <w:rFonts w:ascii="David" w:hAnsi="David" w:cs="David" w:hint="default"/>
          <w:rtl/>
        </w:rPr>
        <w:t>, בעמ' 754-758</w:t>
      </w:r>
      <w:r w:rsidRPr="00683E53">
        <w:rPr>
          <w:rFonts w:ascii="David" w:hAnsi="David" w:cs="David" w:hint="default"/>
        </w:rPr>
        <w:t>.</w:t>
      </w:r>
    </w:p>
  </w:footnote>
  <w:footnote w:id="147">
    <w:p w:rsidR="00B9259F" w:rsidRPr="00683E53" w:rsidRDefault="00BE211D" w:rsidP="00CC658B">
      <w:pPr>
        <w:pStyle w:val="a5"/>
        <w:spacing w:after="0"/>
        <w:rPr>
          <w:rFonts w:ascii="David" w:hAnsi="David" w:cs="David" w:hint="default"/>
          <w:rtl/>
        </w:rPr>
      </w:pPr>
      <w:r w:rsidRPr="00683E53">
        <w:rPr>
          <w:rStyle w:val="a7"/>
          <w:rFonts w:ascii="David" w:hAnsi="David" w:cs="David" w:hint="default"/>
        </w:rPr>
        <w:footnoteRef/>
      </w:r>
      <w:r w:rsidRPr="00683E53">
        <w:rPr>
          <w:rFonts w:ascii="David" w:hAnsi="David" w:cs="David" w:hint="default"/>
          <w:rtl/>
        </w:rPr>
        <w:t xml:space="preserve"> </w:t>
      </w:r>
      <w:r>
        <w:rPr>
          <w:rFonts w:ascii="David" w:hAnsi="David" w:cs="David" w:hint="cs"/>
          <w:rtl/>
        </w:rPr>
        <w:t>תמר גדרון,</w:t>
      </w:r>
      <w:r w:rsidRPr="00683E53">
        <w:rPr>
          <w:rFonts w:ascii="David" w:hAnsi="David" w:cs="David" w:hint="default"/>
          <w:rtl/>
        </w:rPr>
        <w:t xml:space="preserve">לעיל ה"ש </w:t>
      </w:r>
      <w:r>
        <w:rPr>
          <w:rFonts w:ascii="David" w:hAnsi="David" w:cs="David" w:hint="cs"/>
          <w:rtl/>
        </w:rPr>
        <w:t>135</w:t>
      </w:r>
      <w:r w:rsidRPr="00683E53">
        <w:rPr>
          <w:rFonts w:ascii="David" w:hAnsi="David" w:cs="David" w:hint="default"/>
          <w:rtl/>
        </w:rPr>
        <w:t>, בעמ' 364.</w:t>
      </w:r>
    </w:p>
  </w:footnote>
  <w:footnote w:id="148">
    <w:p w:rsidR="00B9259F" w:rsidRPr="00A25373" w:rsidRDefault="00BE211D" w:rsidP="00A25373">
      <w:pPr>
        <w:pStyle w:val="a5"/>
        <w:spacing w:after="0"/>
        <w:rPr>
          <w:rFonts w:ascii="David" w:hAnsi="David" w:cs="David" w:hint="default"/>
          <w:rtl/>
        </w:rPr>
      </w:pPr>
      <w:r w:rsidRPr="00A25373">
        <w:rPr>
          <w:rStyle w:val="a7"/>
          <w:rFonts w:ascii="David" w:hAnsi="David" w:cs="David" w:hint="default"/>
        </w:rPr>
        <w:footnoteRef/>
      </w:r>
      <w:r w:rsidRPr="00A25373">
        <w:rPr>
          <w:rFonts w:ascii="David" w:hAnsi="David" w:cs="David" w:hint="default"/>
          <w:rtl/>
        </w:rPr>
        <w:t xml:space="preserve"> שם.</w:t>
      </w:r>
    </w:p>
  </w:footnote>
  <w:footnote w:id="149">
    <w:p w:rsidR="00B9259F" w:rsidRPr="00A25373" w:rsidRDefault="00BE211D" w:rsidP="00132AE9">
      <w:pPr>
        <w:pStyle w:val="a5"/>
        <w:spacing w:after="0"/>
        <w:rPr>
          <w:rFonts w:ascii="David" w:hAnsi="David" w:cs="David" w:hint="default"/>
        </w:rPr>
      </w:pPr>
      <w:r w:rsidRPr="00A25373">
        <w:rPr>
          <w:rStyle w:val="a7"/>
          <w:rFonts w:ascii="David" w:hAnsi="David" w:cs="David" w:hint="default"/>
        </w:rPr>
        <w:footnoteRef/>
      </w:r>
      <w:r w:rsidRPr="00A25373">
        <w:rPr>
          <w:rFonts w:ascii="David" w:hAnsi="David" w:cs="David" w:hint="default"/>
          <w:rtl/>
        </w:rPr>
        <w:t xml:space="preserve"> </w:t>
      </w:r>
      <w:r w:rsidRPr="00683E53">
        <w:rPr>
          <w:rFonts w:ascii="David" w:hAnsi="David" w:cs="David" w:hint="default"/>
          <w:b/>
          <w:bCs/>
          <w:rtl/>
        </w:rPr>
        <w:t>עניין</w:t>
      </w:r>
      <w:r w:rsidRPr="00683E53">
        <w:rPr>
          <w:rFonts w:ascii="David" w:hAnsi="David" w:cs="David" w:hint="default"/>
          <w:rtl/>
        </w:rPr>
        <w:t xml:space="preserve"> </w:t>
      </w:r>
      <w:r w:rsidRPr="00683E53">
        <w:rPr>
          <w:rFonts w:ascii="David" w:hAnsi="David" w:cs="David" w:hint="default"/>
          <w:b/>
          <w:bCs/>
        </w:rPr>
        <w:t>Anns</w:t>
      </w:r>
      <w:r>
        <w:rPr>
          <w:rFonts w:ascii="David" w:hAnsi="David" w:cs="David" w:hint="default"/>
          <w:rtl/>
        </w:rPr>
        <w:t xml:space="preserve">, לעיל ה"ש </w:t>
      </w:r>
      <w:r>
        <w:rPr>
          <w:rFonts w:ascii="David" w:hAnsi="David" w:cs="David" w:hint="cs"/>
          <w:rtl/>
        </w:rPr>
        <w:t>144</w:t>
      </w:r>
      <w:r>
        <w:rPr>
          <w:rFonts w:ascii="David" w:hAnsi="David" w:cs="David" w:hint="default"/>
          <w:rtl/>
        </w:rPr>
        <w:t>, ב</w:t>
      </w:r>
      <w:r>
        <w:rPr>
          <w:rFonts w:ascii="David" w:hAnsi="David" w:cs="David" w:hint="cs"/>
          <w:rtl/>
        </w:rPr>
        <w:t>עמ' 758</w:t>
      </w:r>
      <w:r w:rsidRPr="00683E53">
        <w:rPr>
          <w:rFonts w:ascii="David" w:hAnsi="David" w:cs="David" w:hint="default"/>
        </w:rPr>
        <w:t>.</w:t>
      </w:r>
    </w:p>
  </w:footnote>
  <w:footnote w:id="150">
    <w:p w:rsidR="00B9259F" w:rsidRDefault="00BE211D" w:rsidP="00CC658B">
      <w:pPr>
        <w:pStyle w:val="a5"/>
        <w:spacing w:after="0"/>
        <w:rPr>
          <w:rFonts w:hint="default"/>
          <w:rtl/>
        </w:rPr>
      </w:pPr>
      <w:r w:rsidRPr="00A25373">
        <w:rPr>
          <w:rStyle w:val="a7"/>
          <w:rFonts w:ascii="David" w:hAnsi="David" w:cs="David" w:hint="default"/>
        </w:rPr>
        <w:footnoteRef/>
      </w:r>
      <w:r w:rsidRPr="00A25373">
        <w:rPr>
          <w:rFonts w:ascii="David" w:hAnsi="David" w:cs="David" w:hint="default"/>
          <w:rtl/>
        </w:rPr>
        <w:t xml:space="preserve"> </w:t>
      </w:r>
      <w:r>
        <w:rPr>
          <w:rFonts w:ascii="David" w:hAnsi="David" w:cs="David" w:hint="cs"/>
          <w:rtl/>
        </w:rPr>
        <w:t xml:space="preserve">תמר גדרון, </w:t>
      </w:r>
      <w:r w:rsidRPr="00683E53">
        <w:rPr>
          <w:rFonts w:ascii="David" w:hAnsi="David" w:cs="David" w:hint="default"/>
          <w:rtl/>
        </w:rPr>
        <w:t xml:space="preserve">לעיל ה"ש </w:t>
      </w:r>
      <w:r>
        <w:rPr>
          <w:rFonts w:ascii="David" w:hAnsi="David" w:cs="David" w:hint="cs"/>
          <w:rtl/>
        </w:rPr>
        <w:t>135</w:t>
      </w:r>
      <w:r w:rsidRPr="00683E53">
        <w:rPr>
          <w:rFonts w:ascii="David" w:hAnsi="David" w:cs="David" w:hint="default"/>
          <w:rtl/>
        </w:rPr>
        <w:t>, בעמ' 364.</w:t>
      </w:r>
    </w:p>
  </w:footnote>
  <w:footnote w:id="151">
    <w:p w:rsidR="00B9259F" w:rsidRPr="004A2857" w:rsidRDefault="00BE211D" w:rsidP="00CC658B">
      <w:pPr>
        <w:pStyle w:val="a5"/>
        <w:spacing w:after="0"/>
        <w:rPr>
          <w:rFonts w:ascii="David" w:hAnsi="David" w:cs="David" w:hint="default"/>
        </w:rPr>
      </w:pPr>
      <w:r w:rsidRPr="004A2857">
        <w:rPr>
          <w:rStyle w:val="a7"/>
          <w:rFonts w:ascii="David" w:hAnsi="David" w:cs="David" w:hint="default"/>
        </w:rPr>
        <w:footnoteRef/>
      </w:r>
      <w:r w:rsidRPr="004A2857">
        <w:rPr>
          <w:rFonts w:ascii="David" w:hAnsi="David" w:cs="David" w:hint="default"/>
          <w:rtl/>
        </w:rPr>
        <w:t xml:space="preserve"> </w:t>
      </w:r>
      <w:r>
        <w:rPr>
          <w:rFonts w:ascii="David" w:hAnsi="David" w:cs="David" w:hint="cs"/>
          <w:rtl/>
        </w:rPr>
        <w:t xml:space="preserve">שם, </w:t>
      </w:r>
      <w:r w:rsidRPr="004A2857">
        <w:rPr>
          <w:rFonts w:ascii="David" w:hAnsi="David" w:cs="David" w:hint="default"/>
          <w:rtl/>
        </w:rPr>
        <w:t>בעמ' 366.</w:t>
      </w:r>
    </w:p>
  </w:footnote>
  <w:footnote w:id="152">
    <w:p w:rsidR="00B9259F" w:rsidRPr="00960543" w:rsidRDefault="00BE211D" w:rsidP="00B005F9">
      <w:pPr>
        <w:pStyle w:val="a5"/>
        <w:spacing w:after="0"/>
        <w:rPr>
          <w:rFonts w:ascii="David" w:hAnsi="David" w:cs="David" w:hint="default"/>
          <w:rtl/>
        </w:rPr>
      </w:pPr>
      <w:r w:rsidRPr="00960543">
        <w:rPr>
          <w:rStyle w:val="a7"/>
          <w:rFonts w:ascii="David" w:hAnsi="David" w:cs="David" w:hint="default"/>
        </w:rPr>
        <w:footnoteRef/>
      </w:r>
      <w:r w:rsidRPr="00960543">
        <w:rPr>
          <w:rFonts w:ascii="David" w:hAnsi="David" w:cs="David" w:hint="default"/>
          <w:rtl/>
        </w:rPr>
        <w:t xml:space="preserve"> שם.</w:t>
      </w:r>
    </w:p>
  </w:footnote>
  <w:footnote w:id="153">
    <w:p w:rsidR="00B9259F" w:rsidRPr="00080C1B" w:rsidRDefault="00BE211D" w:rsidP="00960543">
      <w:pPr>
        <w:pStyle w:val="a5"/>
        <w:spacing w:after="0"/>
        <w:rPr>
          <w:rFonts w:ascii="David" w:hAnsi="David" w:cs="David" w:hint="default"/>
          <w:rtl/>
        </w:rPr>
      </w:pPr>
      <w:r w:rsidRPr="00080C1B">
        <w:rPr>
          <w:rStyle w:val="a7"/>
          <w:rFonts w:ascii="David" w:hAnsi="David" w:cs="David" w:hint="default"/>
        </w:rPr>
        <w:footnoteRef/>
      </w:r>
      <w:r w:rsidRPr="00080C1B">
        <w:rPr>
          <w:rFonts w:ascii="David" w:hAnsi="David" w:cs="David" w:hint="default"/>
          <w:rtl/>
        </w:rPr>
        <w:t xml:space="preserve"> </w:t>
      </w:r>
      <w:r w:rsidRPr="00080C1B">
        <w:rPr>
          <w:rFonts w:ascii="David" w:hAnsi="David" w:cs="David" w:hint="default"/>
          <w:b/>
          <w:bCs/>
        </w:rPr>
        <w:t xml:space="preserve">Lonrho Ltd v. </w:t>
      </w:r>
      <w:r w:rsidRPr="00080C1B">
        <w:rPr>
          <w:rFonts w:ascii="David" w:hAnsi="David" w:cs="David" w:hint="default"/>
          <w:b/>
          <w:bCs/>
        </w:rPr>
        <w:t>Shell Petroleum Co. Ltd</w:t>
      </w:r>
      <w:r w:rsidRPr="00080C1B">
        <w:rPr>
          <w:rFonts w:ascii="David" w:hAnsi="David" w:cs="David" w:hint="default"/>
        </w:rPr>
        <w:t>. (No. 2) A.C. 173</w:t>
      </w:r>
    </w:p>
  </w:footnote>
  <w:footnote w:id="154">
    <w:p w:rsidR="00B9259F" w:rsidRPr="00080C1B" w:rsidRDefault="00BE211D" w:rsidP="00080C1B">
      <w:pPr>
        <w:pStyle w:val="a5"/>
        <w:spacing w:after="0"/>
        <w:rPr>
          <w:rFonts w:ascii="David" w:hAnsi="David" w:cs="David" w:hint="default"/>
          <w:rtl/>
        </w:rPr>
      </w:pPr>
      <w:r w:rsidRPr="00080C1B">
        <w:rPr>
          <w:rStyle w:val="a7"/>
          <w:rFonts w:ascii="David" w:hAnsi="David" w:cs="David" w:hint="default"/>
        </w:rPr>
        <w:footnoteRef/>
      </w:r>
      <w:r w:rsidRPr="00080C1B">
        <w:rPr>
          <w:rFonts w:ascii="David" w:hAnsi="David" w:cs="David" w:hint="default"/>
          <w:rtl/>
        </w:rPr>
        <w:t xml:space="preserve"> תמר גדרון, לעיל ה"ש 135, בעמ' 366.</w:t>
      </w:r>
    </w:p>
  </w:footnote>
  <w:footnote w:id="155">
    <w:p w:rsidR="00B9259F" w:rsidRPr="00080C1B" w:rsidRDefault="00BE211D" w:rsidP="00080C1B">
      <w:pPr>
        <w:pStyle w:val="a5"/>
        <w:spacing w:after="0"/>
        <w:rPr>
          <w:rFonts w:ascii="David" w:hAnsi="David" w:cs="David" w:hint="default"/>
        </w:rPr>
      </w:pPr>
      <w:r w:rsidRPr="00080C1B">
        <w:rPr>
          <w:rStyle w:val="a7"/>
          <w:rFonts w:ascii="David" w:hAnsi="David" w:cs="David" w:hint="default"/>
        </w:rPr>
        <w:footnoteRef/>
      </w:r>
      <w:r w:rsidRPr="00080C1B">
        <w:rPr>
          <w:rFonts w:ascii="David" w:hAnsi="David" w:cs="David" w:hint="default"/>
          <w:rtl/>
        </w:rPr>
        <w:t xml:space="preserve"> </w:t>
      </w:r>
      <w:r w:rsidRPr="00080C1B">
        <w:rPr>
          <w:rFonts w:ascii="David" w:hAnsi="David" w:cs="David" w:hint="default"/>
          <w:b/>
          <w:bCs/>
          <w:rtl/>
        </w:rPr>
        <w:t>סעיף 76,</w:t>
      </w:r>
      <w:r w:rsidRPr="00080C1B">
        <w:rPr>
          <w:rFonts w:ascii="David" w:hAnsi="David" w:cs="David" w:hint="default"/>
          <w:rtl/>
        </w:rPr>
        <w:t xml:space="preserve"> לפקודת הנזיקין [נוסח חדש].</w:t>
      </w:r>
    </w:p>
  </w:footnote>
  <w:footnote w:id="156">
    <w:p w:rsidR="00B9259F" w:rsidRPr="00D85BB2" w:rsidRDefault="00BE211D" w:rsidP="00080C1B">
      <w:pPr>
        <w:tabs>
          <w:tab w:val="num" w:pos="430"/>
        </w:tabs>
        <w:spacing w:after="0" w:line="240" w:lineRule="auto"/>
        <w:rPr>
          <w:rFonts w:ascii="David" w:hAnsi="David" w:cs="David" w:hint="default"/>
          <w:sz w:val="20"/>
          <w:szCs w:val="20"/>
          <w:rtl/>
        </w:rPr>
      </w:pPr>
      <w:r w:rsidRPr="00080C1B">
        <w:rPr>
          <w:rFonts w:ascii="David" w:hAnsi="David" w:cs="David" w:hint="default"/>
          <w:sz w:val="20"/>
          <w:szCs w:val="20"/>
        </w:rPr>
        <w:t xml:space="preserve"> </w:t>
      </w:r>
      <w:r w:rsidRPr="00080C1B">
        <w:rPr>
          <w:rStyle w:val="a7"/>
          <w:rFonts w:ascii="David" w:hAnsi="David" w:cs="David" w:hint="default"/>
          <w:sz w:val="20"/>
          <w:szCs w:val="20"/>
        </w:rPr>
        <w:footnoteRef/>
      </w:r>
      <w:r w:rsidRPr="00080C1B">
        <w:rPr>
          <w:rFonts w:ascii="David" w:hAnsi="David" w:cs="David" w:hint="default"/>
          <w:sz w:val="20"/>
          <w:szCs w:val="20"/>
          <w:rtl/>
        </w:rPr>
        <w:t xml:space="preserve">רע"א 1272/05 </w:t>
      </w:r>
      <w:r w:rsidRPr="00080C1B">
        <w:rPr>
          <w:rFonts w:ascii="David" w:hAnsi="David" w:cs="David" w:hint="default"/>
          <w:b/>
          <w:bCs/>
          <w:sz w:val="20"/>
          <w:szCs w:val="20"/>
          <w:rtl/>
        </w:rPr>
        <w:t>כרמי נ' סבג</w:t>
      </w:r>
      <w:r w:rsidRPr="00080C1B">
        <w:rPr>
          <w:rFonts w:ascii="David" w:hAnsi="David" w:cs="David" w:hint="default"/>
          <w:sz w:val="20"/>
          <w:szCs w:val="20"/>
          <w:rtl/>
        </w:rPr>
        <w:t xml:space="preserve">, פ"ד סב(3) 396, ע"א 236/81 </w:t>
      </w:r>
      <w:r w:rsidRPr="00080C1B">
        <w:rPr>
          <w:rFonts w:ascii="David" w:hAnsi="David" w:cs="David" w:hint="default"/>
          <w:b/>
          <w:bCs/>
          <w:sz w:val="20"/>
          <w:szCs w:val="20"/>
          <w:rtl/>
        </w:rPr>
        <w:t>לסרי נ' ציון חברה לביטוח בע"מ</w:t>
      </w:r>
      <w:r w:rsidRPr="00080C1B">
        <w:rPr>
          <w:rFonts w:ascii="David" w:hAnsi="David" w:cs="David" w:hint="default"/>
          <w:sz w:val="20"/>
          <w:szCs w:val="20"/>
          <w:rtl/>
        </w:rPr>
        <w:t xml:space="preserve">, מב (3) 705, ע"א 9073/09 </w:t>
      </w:r>
      <w:r w:rsidRPr="00080C1B">
        <w:rPr>
          <w:rFonts w:ascii="David" w:hAnsi="David" w:cs="David" w:hint="default"/>
          <w:b/>
          <w:bCs/>
          <w:sz w:val="20"/>
          <w:szCs w:val="20"/>
          <w:rtl/>
        </w:rPr>
        <w:t xml:space="preserve">אסותא נ' שרף </w:t>
      </w:r>
      <w:r w:rsidRPr="00080C1B">
        <w:rPr>
          <w:rFonts w:ascii="David" w:hAnsi="David" w:cs="David" w:hint="default"/>
          <w:sz w:val="20"/>
          <w:szCs w:val="20"/>
          <w:rtl/>
        </w:rPr>
        <w:t>(פורסם בנבו, ניתן</w:t>
      </w:r>
      <w:r w:rsidRPr="00080C1B">
        <w:rPr>
          <w:rFonts w:ascii="David" w:hAnsi="David" w:cs="David" w:hint="default"/>
          <w:sz w:val="20"/>
          <w:szCs w:val="20"/>
          <w:rtl/>
        </w:rPr>
        <w:t xml:space="preserve"> ביום 14.6.2011).</w:t>
      </w:r>
    </w:p>
  </w:footnote>
  <w:footnote w:id="157">
    <w:p w:rsidR="00B9259F" w:rsidRPr="007B320F" w:rsidRDefault="00BE211D" w:rsidP="007B320F">
      <w:pPr>
        <w:pStyle w:val="a5"/>
        <w:spacing w:after="0"/>
        <w:rPr>
          <w:rFonts w:ascii="David" w:hAnsi="David" w:cs="David" w:hint="default"/>
          <w:rtl/>
        </w:rPr>
      </w:pPr>
      <w:r w:rsidRPr="007B320F">
        <w:rPr>
          <w:rStyle w:val="a7"/>
          <w:rFonts w:ascii="David" w:hAnsi="David" w:cs="David" w:hint="default"/>
        </w:rPr>
        <w:footnoteRef/>
      </w:r>
      <w:r w:rsidRPr="007B320F">
        <w:rPr>
          <w:rFonts w:ascii="David" w:hAnsi="David" w:cs="David" w:hint="default"/>
          <w:rtl/>
        </w:rPr>
        <w:t xml:space="preserve"> ע"א 248/86 </w:t>
      </w:r>
      <w:r w:rsidRPr="007B320F">
        <w:rPr>
          <w:rFonts w:ascii="David" w:hAnsi="David" w:cs="David" w:hint="default"/>
          <w:b/>
          <w:bCs/>
          <w:rtl/>
        </w:rPr>
        <w:t xml:space="preserve">עיזבון חננשוילי נ' רותם חברה לביטוח בע"מ, </w:t>
      </w:r>
      <w:r w:rsidRPr="007B320F">
        <w:rPr>
          <w:rFonts w:ascii="David" w:hAnsi="David" w:cs="David" w:hint="default"/>
          <w:rtl/>
        </w:rPr>
        <w:t xml:space="preserve">פ"ד מה(2) </w:t>
      </w:r>
      <w:r>
        <w:rPr>
          <w:rFonts w:ascii="David" w:hAnsi="David" w:cs="David" w:hint="cs"/>
          <w:rtl/>
        </w:rPr>
        <w:t>,</w:t>
      </w:r>
      <w:r w:rsidRPr="007B320F">
        <w:rPr>
          <w:rFonts w:ascii="David" w:hAnsi="David" w:cs="David" w:hint="default"/>
          <w:rtl/>
        </w:rPr>
        <w:t xml:space="preserve">(1991). </w:t>
      </w:r>
    </w:p>
  </w:footnote>
  <w:footnote w:id="158">
    <w:p w:rsidR="00B9259F" w:rsidRDefault="00BE211D" w:rsidP="00AB77B0">
      <w:pPr>
        <w:pStyle w:val="a5"/>
        <w:spacing w:after="0"/>
        <w:rPr>
          <w:rFonts w:hint="default"/>
          <w:rtl/>
        </w:rPr>
      </w:pPr>
      <w:r w:rsidRPr="007B320F">
        <w:rPr>
          <w:rStyle w:val="a7"/>
          <w:rFonts w:ascii="David" w:hAnsi="David" w:cs="David" w:hint="default"/>
        </w:rPr>
        <w:footnoteRef/>
      </w:r>
      <w:r w:rsidRPr="007B320F">
        <w:rPr>
          <w:rFonts w:ascii="David" w:hAnsi="David" w:cs="David" w:hint="default"/>
          <w:rtl/>
        </w:rPr>
        <w:t xml:space="preserve"> </w:t>
      </w:r>
      <w:r w:rsidRPr="001E7543">
        <w:rPr>
          <w:rFonts w:ascii="David" w:hAnsi="David" w:cs="David" w:hint="default"/>
          <w:b/>
          <w:bCs/>
          <w:rtl/>
        </w:rPr>
        <w:t>עניין</w:t>
      </w:r>
      <w:r w:rsidRPr="001E7543">
        <w:rPr>
          <w:rFonts w:ascii="David" w:hAnsi="David" w:cs="David" w:hint="default"/>
          <w:rtl/>
        </w:rPr>
        <w:t xml:space="preserve"> </w:t>
      </w:r>
      <w:r w:rsidRPr="001E7543">
        <w:rPr>
          <w:rFonts w:ascii="David" w:hAnsi="David" w:cs="David" w:hint="default"/>
          <w:b/>
          <w:bCs/>
          <w:rtl/>
        </w:rPr>
        <w:t>חננשוילי</w:t>
      </w:r>
      <w:r>
        <w:rPr>
          <w:rFonts w:ascii="David" w:hAnsi="David" w:cs="David" w:hint="default"/>
          <w:rtl/>
        </w:rPr>
        <w:t>, בעמ' 530</w:t>
      </w:r>
      <w:r>
        <w:rPr>
          <w:rFonts w:ascii="David" w:hAnsi="David" w:cs="David" w:hint="cs"/>
          <w:rtl/>
        </w:rPr>
        <w:t xml:space="preserve">,שם. </w:t>
      </w:r>
    </w:p>
  </w:footnote>
  <w:footnote w:id="159">
    <w:p w:rsidR="00B9259F" w:rsidRPr="00AB77B0" w:rsidRDefault="00BE211D" w:rsidP="00AB77B0">
      <w:pPr>
        <w:pStyle w:val="a5"/>
        <w:spacing w:after="0"/>
        <w:rPr>
          <w:rFonts w:ascii="David" w:hAnsi="David" w:cs="David" w:hint="default"/>
          <w:rtl/>
        </w:rPr>
      </w:pPr>
      <w:r w:rsidRPr="00AB77B0">
        <w:rPr>
          <w:rStyle w:val="a7"/>
          <w:rFonts w:ascii="David" w:hAnsi="David" w:cs="David" w:hint="default"/>
        </w:rPr>
        <w:footnoteRef/>
      </w:r>
      <w:r w:rsidRPr="00AB77B0">
        <w:rPr>
          <w:rFonts w:ascii="David" w:hAnsi="David" w:cs="David" w:hint="default"/>
          <w:rtl/>
        </w:rPr>
        <w:t xml:space="preserve"> </w:t>
      </w:r>
      <w:r w:rsidRPr="001E7543">
        <w:rPr>
          <w:rFonts w:ascii="David" w:hAnsi="David" w:cs="David" w:hint="default"/>
          <w:b/>
          <w:bCs/>
          <w:rtl/>
        </w:rPr>
        <w:t>עניין</w:t>
      </w:r>
      <w:r w:rsidRPr="001E7543">
        <w:rPr>
          <w:rFonts w:ascii="David" w:hAnsi="David" w:cs="David" w:hint="default"/>
          <w:rtl/>
        </w:rPr>
        <w:t xml:space="preserve"> </w:t>
      </w:r>
      <w:r w:rsidRPr="001E7543">
        <w:rPr>
          <w:rFonts w:ascii="David" w:hAnsi="David" w:cs="David" w:hint="default"/>
          <w:b/>
          <w:bCs/>
          <w:rtl/>
        </w:rPr>
        <w:t>חננשוילי</w:t>
      </w:r>
      <w:r>
        <w:rPr>
          <w:rFonts w:ascii="David" w:hAnsi="David" w:cs="David" w:hint="default"/>
          <w:rtl/>
        </w:rPr>
        <w:t>, בעמ' 538</w:t>
      </w:r>
      <w:r>
        <w:rPr>
          <w:rFonts w:ascii="David" w:hAnsi="David" w:cs="David" w:hint="cs"/>
          <w:rtl/>
        </w:rPr>
        <w:t>, שם.</w:t>
      </w:r>
    </w:p>
  </w:footnote>
  <w:footnote w:id="160">
    <w:p w:rsidR="00B9259F" w:rsidRDefault="00BE211D" w:rsidP="00AB77B0">
      <w:pPr>
        <w:pStyle w:val="a5"/>
        <w:spacing w:after="0"/>
        <w:rPr>
          <w:rFonts w:hint="default"/>
          <w:rtl/>
        </w:rPr>
      </w:pPr>
      <w:r w:rsidRPr="00937E86">
        <w:rPr>
          <w:rStyle w:val="a7"/>
          <w:rFonts w:ascii="David" w:hAnsi="David" w:cs="David" w:hint="default"/>
        </w:rPr>
        <w:footnoteRef/>
      </w:r>
      <w:r w:rsidRPr="00937E86">
        <w:rPr>
          <w:rFonts w:ascii="David" w:hAnsi="David" w:cs="David" w:hint="default"/>
          <w:rtl/>
        </w:rPr>
        <w:t xml:space="preserve"> </w:t>
      </w:r>
      <w:r w:rsidRPr="001E7543">
        <w:rPr>
          <w:rFonts w:ascii="David" w:hAnsi="David" w:cs="David" w:hint="default"/>
          <w:b/>
          <w:bCs/>
          <w:rtl/>
        </w:rPr>
        <w:t>עניין</w:t>
      </w:r>
      <w:r w:rsidRPr="001E7543">
        <w:rPr>
          <w:rFonts w:ascii="David" w:hAnsi="David" w:cs="David" w:hint="default"/>
          <w:rtl/>
        </w:rPr>
        <w:t xml:space="preserve"> </w:t>
      </w:r>
      <w:r w:rsidRPr="001E7543">
        <w:rPr>
          <w:rFonts w:ascii="David" w:hAnsi="David" w:cs="David" w:hint="default"/>
          <w:b/>
          <w:bCs/>
          <w:rtl/>
        </w:rPr>
        <w:t>חננשוילי</w:t>
      </w:r>
      <w:r>
        <w:rPr>
          <w:rFonts w:ascii="David" w:hAnsi="David" w:cs="David" w:hint="default"/>
          <w:rtl/>
        </w:rPr>
        <w:t>, בעמ' 540</w:t>
      </w:r>
      <w:r>
        <w:rPr>
          <w:rFonts w:ascii="David" w:hAnsi="David" w:cs="David" w:hint="cs"/>
          <w:rtl/>
        </w:rPr>
        <w:t>, שם.</w:t>
      </w:r>
    </w:p>
  </w:footnote>
  <w:footnote w:id="161">
    <w:p w:rsidR="00B9259F" w:rsidRPr="00170A45" w:rsidRDefault="00BE211D" w:rsidP="00AB77B0">
      <w:pPr>
        <w:pStyle w:val="a5"/>
        <w:spacing w:after="0"/>
        <w:rPr>
          <w:rFonts w:ascii="David" w:hAnsi="David" w:cs="David" w:hint="default"/>
        </w:rPr>
      </w:pPr>
      <w:r w:rsidRPr="00170A45">
        <w:rPr>
          <w:rStyle w:val="a7"/>
          <w:rFonts w:ascii="David" w:hAnsi="David" w:cs="David" w:hint="default"/>
        </w:rPr>
        <w:footnoteRef/>
      </w:r>
      <w:r w:rsidRPr="00170A45">
        <w:rPr>
          <w:rFonts w:ascii="David" w:hAnsi="David" w:cs="David" w:hint="default"/>
          <w:rtl/>
        </w:rPr>
        <w:t xml:space="preserve"> </w:t>
      </w:r>
      <w:r w:rsidRPr="001E7543">
        <w:rPr>
          <w:rFonts w:ascii="David" w:hAnsi="David" w:cs="David" w:hint="default"/>
          <w:b/>
          <w:bCs/>
          <w:rtl/>
        </w:rPr>
        <w:t>עניין</w:t>
      </w:r>
      <w:r w:rsidRPr="001E7543">
        <w:rPr>
          <w:rFonts w:ascii="David" w:hAnsi="David" w:cs="David" w:hint="default"/>
          <w:rtl/>
        </w:rPr>
        <w:t xml:space="preserve"> </w:t>
      </w:r>
      <w:r w:rsidRPr="001E7543">
        <w:rPr>
          <w:rFonts w:ascii="David" w:hAnsi="David" w:cs="David" w:hint="default"/>
          <w:b/>
          <w:bCs/>
          <w:rtl/>
        </w:rPr>
        <w:t>חננשוילי</w:t>
      </w:r>
      <w:r>
        <w:rPr>
          <w:rFonts w:ascii="David" w:hAnsi="David" w:cs="David" w:hint="default"/>
          <w:rtl/>
        </w:rPr>
        <w:t>, בעמ' 548</w:t>
      </w:r>
      <w:r>
        <w:rPr>
          <w:rFonts w:ascii="David" w:hAnsi="David" w:cs="David" w:hint="cs"/>
          <w:rtl/>
        </w:rPr>
        <w:t>, שם.</w:t>
      </w:r>
    </w:p>
  </w:footnote>
  <w:footnote w:id="162">
    <w:p w:rsidR="00B9259F" w:rsidRPr="00170A45" w:rsidRDefault="00BE211D" w:rsidP="00AB77B0">
      <w:pPr>
        <w:pStyle w:val="a5"/>
        <w:spacing w:after="0"/>
        <w:rPr>
          <w:rFonts w:ascii="David" w:hAnsi="David" w:cs="David" w:hint="default"/>
        </w:rPr>
      </w:pPr>
      <w:r w:rsidRPr="00170A45">
        <w:rPr>
          <w:rStyle w:val="a7"/>
          <w:rFonts w:ascii="David" w:hAnsi="David" w:cs="David" w:hint="default"/>
        </w:rPr>
        <w:footnoteRef/>
      </w:r>
      <w:r w:rsidRPr="00170A45">
        <w:rPr>
          <w:rFonts w:ascii="David" w:hAnsi="David" w:cs="David" w:hint="default"/>
          <w:rtl/>
        </w:rPr>
        <w:t xml:space="preserve"> </w:t>
      </w:r>
      <w:r w:rsidRPr="001E7543">
        <w:rPr>
          <w:rFonts w:ascii="David" w:hAnsi="David" w:cs="David" w:hint="default"/>
          <w:b/>
          <w:bCs/>
          <w:rtl/>
        </w:rPr>
        <w:t>עניין</w:t>
      </w:r>
      <w:r w:rsidRPr="001E7543">
        <w:rPr>
          <w:rFonts w:ascii="David" w:hAnsi="David" w:cs="David" w:hint="default"/>
          <w:rtl/>
        </w:rPr>
        <w:t xml:space="preserve"> </w:t>
      </w:r>
      <w:r w:rsidRPr="001E7543">
        <w:rPr>
          <w:rFonts w:ascii="David" w:hAnsi="David" w:cs="David" w:hint="default"/>
          <w:b/>
          <w:bCs/>
          <w:rtl/>
        </w:rPr>
        <w:t>חננשוילי</w:t>
      </w:r>
      <w:r w:rsidRPr="00170A45">
        <w:rPr>
          <w:rFonts w:ascii="David" w:hAnsi="David" w:cs="David" w:hint="default"/>
          <w:rtl/>
        </w:rPr>
        <w:t xml:space="preserve">, בעמ' </w:t>
      </w:r>
      <w:r>
        <w:rPr>
          <w:rFonts w:ascii="David" w:hAnsi="David" w:cs="David" w:hint="cs"/>
          <w:rtl/>
        </w:rPr>
        <w:t>551, שם.</w:t>
      </w:r>
    </w:p>
  </w:footnote>
  <w:footnote w:id="163">
    <w:p w:rsidR="00B9259F" w:rsidRPr="00170A45" w:rsidRDefault="00BE211D" w:rsidP="00725FBD">
      <w:pPr>
        <w:pStyle w:val="a5"/>
        <w:spacing w:after="0"/>
        <w:rPr>
          <w:rFonts w:ascii="David" w:hAnsi="David" w:cs="David" w:hint="default"/>
          <w:rtl/>
        </w:rPr>
      </w:pPr>
      <w:r w:rsidRPr="00170A45">
        <w:rPr>
          <w:rStyle w:val="a7"/>
          <w:rFonts w:ascii="David" w:hAnsi="David" w:cs="David" w:hint="default"/>
        </w:rPr>
        <w:footnoteRef/>
      </w:r>
      <w:r w:rsidRPr="00170A45">
        <w:rPr>
          <w:rFonts w:ascii="David" w:hAnsi="David" w:cs="David" w:hint="default"/>
          <w:rtl/>
        </w:rPr>
        <w:t xml:space="preserve"> שם.</w:t>
      </w:r>
    </w:p>
  </w:footnote>
  <w:footnote w:id="164">
    <w:p w:rsidR="00B9259F" w:rsidRPr="001E7543" w:rsidRDefault="00BE211D" w:rsidP="00725FBD">
      <w:pPr>
        <w:pStyle w:val="a5"/>
        <w:spacing w:after="0"/>
        <w:rPr>
          <w:rFonts w:ascii="David" w:hAnsi="David" w:cs="David" w:hint="default"/>
        </w:rPr>
      </w:pPr>
      <w:r w:rsidRPr="001E7543">
        <w:rPr>
          <w:rStyle w:val="a7"/>
          <w:rFonts w:ascii="David" w:hAnsi="David" w:cs="David" w:hint="default"/>
        </w:rPr>
        <w:footnoteRef/>
      </w:r>
      <w:r w:rsidRPr="001E7543">
        <w:rPr>
          <w:rFonts w:ascii="David" w:hAnsi="David" w:cs="David" w:hint="default"/>
          <w:rtl/>
        </w:rPr>
        <w:t xml:space="preserve"> </w:t>
      </w:r>
      <w:r w:rsidRPr="001E7543">
        <w:rPr>
          <w:rFonts w:ascii="David" w:hAnsi="David" w:cs="David" w:hint="default"/>
          <w:b/>
          <w:bCs/>
          <w:rtl/>
        </w:rPr>
        <w:t>עניין</w:t>
      </w:r>
      <w:r w:rsidRPr="001E7543">
        <w:rPr>
          <w:rFonts w:ascii="David" w:hAnsi="David" w:cs="David" w:hint="default"/>
          <w:rtl/>
        </w:rPr>
        <w:t xml:space="preserve"> </w:t>
      </w:r>
      <w:r w:rsidRPr="001E7543">
        <w:rPr>
          <w:rFonts w:ascii="David" w:hAnsi="David" w:cs="David" w:hint="default"/>
          <w:b/>
          <w:bCs/>
          <w:rtl/>
        </w:rPr>
        <w:t>חננשוילי</w:t>
      </w:r>
      <w:r w:rsidRPr="001E7543">
        <w:rPr>
          <w:rFonts w:ascii="David" w:hAnsi="David" w:cs="David" w:hint="default"/>
          <w:rtl/>
        </w:rPr>
        <w:t xml:space="preserve">, </w:t>
      </w:r>
      <w:r>
        <w:rPr>
          <w:rFonts w:ascii="David" w:hAnsi="David" w:cs="David" w:hint="default"/>
          <w:rtl/>
        </w:rPr>
        <w:t>בעמ' 571</w:t>
      </w:r>
      <w:r>
        <w:rPr>
          <w:rFonts w:ascii="David" w:hAnsi="David" w:cs="David" w:hint="cs"/>
          <w:rtl/>
        </w:rPr>
        <w:t>, שם.</w:t>
      </w:r>
    </w:p>
  </w:footnote>
  <w:footnote w:id="165">
    <w:p w:rsidR="00B9259F" w:rsidRDefault="00BE211D" w:rsidP="001E7543">
      <w:pPr>
        <w:pStyle w:val="a5"/>
        <w:spacing w:after="0"/>
        <w:rPr>
          <w:rFonts w:hint="default"/>
          <w:rtl/>
        </w:rPr>
      </w:pPr>
      <w:r w:rsidRPr="001E7543">
        <w:rPr>
          <w:rStyle w:val="a7"/>
          <w:rFonts w:ascii="David" w:hAnsi="David" w:cs="David" w:hint="default"/>
        </w:rPr>
        <w:footnoteRef/>
      </w:r>
      <w:r>
        <w:rPr>
          <w:rFonts w:hint="default"/>
          <w:rtl/>
        </w:rPr>
        <w:t xml:space="preserve"> </w:t>
      </w:r>
      <w:r w:rsidRPr="001E7543">
        <w:rPr>
          <w:rFonts w:ascii="David" w:hAnsi="David" w:cs="David" w:hint="default"/>
          <w:rtl/>
        </w:rPr>
        <w:t>שם</w:t>
      </w:r>
      <w:r>
        <w:rPr>
          <w:rFonts w:hint="cs"/>
          <w:rtl/>
        </w:rPr>
        <w:t>.</w:t>
      </w:r>
    </w:p>
  </w:footnote>
  <w:footnote w:id="166">
    <w:p w:rsidR="00B9259F" w:rsidRPr="00F93FB7" w:rsidRDefault="00BE211D" w:rsidP="00F93FB7">
      <w:pPr>
        <w:pStyle w:val="a5"/>
        <w:spacing w:after="0"/>
        <w:rPr>
          <w:rFonts w:ascii="David" w:hAnsi="David" w:cs="David" w:hint="default"/>
          <w:rtl/>
        </w:rPr>
      </w:pPr>
      <w:r w:rsidRPr="00F93FB7">
        <w:rPr>
          <w:rStyle w:val="a7"/>
          <w:rFonts w:ascii="David" w:hAnsi="David" w:cs="David" w:hint="default"/>
        </w:rPr>
        <w:footnoteRef/>
      </w:r>
      <w:r w:rsidRPr="00F93FB7">
        <w:rPr>
          <w:rFonts w:ascii="David" w:hAnsi="David" w:cs="David" w:hint="default"/>
          <w:rtl/>
        </w:rPr>
        <w:t xml:space="preserve"> שם.</w:t>
      </w:r>
    </w:p>
  </w:footnote>
  <w:footnote w:id="167">
    <w:p w:rsidR="00B9259F" w:rsidRPr="00F93FB7" w:rsidRDefault="00BE211D" w:rsidP="00F93FB7">
      <w:pPr>
        <w:pStyle w:val="a5"/>
        <w:spacing w:after="0"/>
        <w:rPr>
          <w:rFonts w:ascii="David" w:hAnsi="David" w:cs="David" w:hint="default"/>
        </w:rPr>
      </w:pPr>
      <w:r w:rsidRPr="00F93FB7">
        <w:rPr>
          <w:rStyle w:val="a7"/>
          <w:rFonts w:ascii="David" w:hAnsi="David" w:cs="David" w:hint="default"/>
        </w:rPr>
        <w:footnoteRef/>
      </w:r>
      <w:r w:rsidRPr="00F93FB7">
        <w:rPr>
          <w:rFonts w:ascii="David" w:hAnsi="David" w:cs="David" w:hint="default"/>
          <w:rtl/>
        </w:rPr>
        <w:t xml:space="preserve"> איתן ענבר, </w:t>
      </w:r>
      <w:r w:rsidRPr="00F93FB7">
        <w:rPr>
          <w:rFonts w:ascii="David" w:hAnsi="David" w:cs="David" w:hint="default"/>
          <w:b/>
          <w:bCs/>
          <w:rtl/>
        </w:rPr>
        <w:t>דיני</w:t>
      </w:r>
      <w:r w:rsidRPr="00F93FB7">
        <w:rPr>
          <w:rFonts w:ascii="David" w:hAnsi="David" w:cs="David" w:hint="default"/>
          <w:rtl/>
        </w:rPr>
        <w:t xml:space="preserve"> </w:t>
      </w:r>
      <w:r w:rsidRPr="00F93FB7">
        <w:rPr>
          <w:rFonts w:ascii="David" w:hAnsi="David" w:cs="David" w:hint="default"/>
          <w:b/>
          <w:bCs/>
          <w:rtl/>
        </w:rPr>
        <w:t>נזיקין</w:t>
      </w:r>
      <w:r w:rsidRPr="00F93FB7">
        <w:rPr>
          <w:rFonts w:ascii="David" w:hAnsi="David" w:cs="David" w:hint="default"/>
          <w:rtl/>
        </w:rPr>
        <w:t xml:space="preserve">, </w:t>
      </w:r>
      <w:r w:rsidRPr="00C81258">
        <w:rPr>
          <w:rFonts w:ascii="David" w:hAnsi="David" w:cs="David"/>
          <w:rtl/>
        </w:rPr>
        <w:t>התשס"ג – יולי 2002</w:t>
      </w:r>
      <w:r>
        <w:rPr>
          <w:rFonts w:ascii="David" w:hAnsi="David" w:cs="David" w:hint="cs"/>
          <w:rtl/>
        </w:rPr>
        <w:t xml:space="preserve">, </w:t>
      </w:r>
      <w:r w:rsidRPr="00F93FB7">
        <w:rPr>
          <w:rFonts w:ascii="David" w:hAnsi="David" w:cs="David" w:hint="default"/>
          <w:rtl/>
        </w:rPr>
        <w:t>בעמ' 214.</w:t>
      </w:r>
    </w:p>
  </w:footnote>
  <w:footnote w:id="168">
    <w:p w:rsidR="00B9259F" w:rsidRPr="000E2BCC" w:rsidRDefault="00BE211D" w:rsidP="00082B1D">
      <w:pPr>
        <w:pStyle w:val="a5"/>
        <w:spacing w:after="0"/>
        <w:rPr>
          <w:rFonts w:ascii="David" w:hAnsi="David" w:cs="David" w:hint="default"/>
        </w:rPr>
      </w:pPr>
      <w:r w:rsidRPr="000E2BCC">
        <w:rPr>
          <w:rStyle w:val="a7"/>
          <w:rFonts w:ascii="David" w:hAnsi="David" w:cs="David" w:hint="default"/>
        </w:rPr>
        <w:footnoteRef/>
      </w:r>
      <w:r w:rsidRPr="000E2BCC">
        <w:rPr>
          <w:rFonts w:ascii="David" w:hAnsi="David" w:cs="David" w:hint="default"/>
          <w:rtl/>
        </w:rPr>
        <w:t xml:space="preserve"> אריאל פורת, </w:t>
      </w:r>
      <w:r w:rsidRPr="000E2BCC">
        <w:rPr>
          <w:rFonts w:ascii="David" w:hAnsi="David" w:cs="David" w:hint="default"/>
          <w:b/>
          <w:bCs/>
          <w:rtl/>
        </w:rPr>
        <w:t>נזיקין</w:t>
      </w:r>
      <w:r w:rsidRPr="000E2BCC">
        <w:rPr>
          <w:rFonts w:ascii="David" w:hAnsi="David" w:cs="David" w:hint="default"/>
          <w:rtl/>
        </w:rPr>
        <w:t>, כרך א',</w:t>
      </w:r>
      <w:r>
        <w:rPr>
          <w:rFonts w:ascii="David" w:hAnsi="David" w:cs="David" w:hint="cs"/>
          <w:sz w:val="24"/>
          <w:szCs w:val="24"/>
          <w:rtl/>
        </w:rPr>
        <w:t xml:space="preserve"> </w:t>
      </w:r>
      <w:r w:rsidRPr="00FE680E">
        <w:rPr>
          <w:rFonts w:ascii="David" w:hAnsi="David" w:cs="David" w:hint="cs"/>
          <w:rtl/>
        </w:rPr>
        <w:t>התשע"ג 2013,</w:t>
      </w:r>
      <w:r w:rsidRPr="00FE680E">
        <w:rPr>
          <w:rFonts w:ascii="David" w:hAnsi="David" w:cs="David" w:hint="default"/>
          <w:sz w:val="16"/>
          <w:szCs w:val="16"/>
          <w:rtl/>
        </w:rPr>
        <w:t xml:space="preserve"> </w:t>
      </w:r>
      <w:r w:rsidRPr="000E2BCC">
        <w:rPr>
          <w:rFonts w:ascii="David" w:hAnsi="David" w:cs="David" w:hint="default"/>
          <w:rtl/>
        </w:rPr>
        <w:t>בעמ' 223.</w:t>
      </w:r>
    </w:p>
  </w:footnote>
  <w:footnote w:id="169">
    <w:p w:rsidR="00B9259F" w:rsidRPr="00082B1D" w:rsidRDefault="00BE211D" w:rsidP="00082B1D">
      <w:pPr>
        <w:pStyle w:val="a5"/>
        <w:spacing w:after="0"/>
        <w:rPr>
          <w:rFonts w:ascii="David" w:hAnsi="David" w:cs="David" w:hint="default"/>
        </w:rPr>
      </w:pPr>
      <w:r w:rsidRPr="00082B1D">
        <w:rPr>
          <w:rStyle w:val="a7"/>
          <w:rFonts w:ascii="David" w:hAnsi="David" w:cs="David" w:hint="default"/>
        </w:rPr>
        <w:footnoteRef/>
      </w:r>
      <w:r w:rsidRPr="00082B1D">
        <w:rPr>
          <w:rFonts w:ascii="David" w:hAnsi="David" w:cs="David" w:hint="default"/>
          <w:rtl/>
        </w:rPr>
        <w:t xml:space="preserve"> תמר גדרון, "חובת הזהירות בעוולת הרשלנות ונזק כלכלי טהור" </w:t>
      </w:r>
      <w:r w:rsidRPr="00082B1D">
        <w:rPr>
          <w:rFonts w:ascii="David" w:hAnsi="David" w:cs="David" w:hint="default"/>
          <w:b/>
          <w:bCs/>
          <w:rtl/>
        </w:rPr>
        <w:t xml:space="preserve">הפרקליט מב </w:t>
      </w:r>
      <w:r w:rsidRPr="00082B1D">
        <w:rPr>
          <w:rFonts w:ascii="David" w:hAnsi="David" w:cs="David" w:hint="default"/>
          <w:rtl/>
        </w:rPr>
        <w:t>126 (1995).</w:t>
      </w:r>
    </w:p>
  </w:footnote>
  <w:footnote w:id="170">
    <w:p w:rsidR="00B9259F" w:rsidRPr="00210011" w:rsidRDefault="00BE211D" w:rsidP="00BB6402">
      <w:pPr>
        <w:pStyle w:val="a5"/>
        <w:spacing w:after="0"/>
        <w:rPr>
          <w:rFonts w:ascii="David" w:hAnsi="David" w:cs="David" w:hint="default"/>
          <w:rtl/>
        </w:rPr>
      </w:pPr>
      <w:r w:rsidRPr="00210011">
        <w:rPr>
          <w:rStyle w:val="a7"/>
          <w:rFonts w:ascii="David" w:hAnsi="David" w:cs="David" w:hint="default"/>
        </w:rPr>
        <w:footnoteRef/>
      </w:r>
      <w:r w:rsidRPr="00210011">
        <w:rPr>
          <w:rFonts w:ascii="David" w:hAnsi="David" w:cs="David" w:hint="default"/>
          <w:rtl/>
        </w:rPr>
        <w:t xml:space="preserve"> תמר גדרון, לעיל ה"ש 169, בעמ' 224.</w:t>
      </w:r>
    </w:p>
  </w:footnote>
  <w:footnote w:id="171">
    <w:p w:rsidR="00B9259F" w:rsidRPr="00210011" w:rsidRDefault="00BE211D" w:rsidP="00482DBA">
      <w:pPr>
        <w:pStyle w:val="a5"/>
        <w:spacing w:after="0"/>
        <w:rPr>
          <w:rFonts w:ascii="David" w:hAnsi="David" w:cs="David" w:hint="default"/>
          <w:rtl/>
        </w:rPr>
      </w:pPr>
      <w:r w:rsidRPr="00210011">
        <w:rPr>
          <w:rStyle w:val="a7"/>
          <w:rFonts w:ascii="David" w:hAnsi="David" w:cs="David" w:hint="default"/>
        </w:rPr>
        <w:footnoteRef/>
      </w:r>
      <w:r w:rsidRPr="00210011">
        <w:rPr>
          <w:rFonts w:ascii="David" w:hAnsi="David" w:cs="David" w:hint="default"/>
          <w:rtl/>
        </w:rPr>
        <w:t xml:space="preserve"> שם.</w:t>
      </w:r>
    </w:p>
  </w:footnote>
  <w:footnote w:id="172">
    <w:p w:rsidR="00B9259F" w:rsidRPr="00210011" w:rsidRDefault="00BE211D" w:rsidP="00B07033">
      <w:pPr>
        <w:pStyle w:val="a5"/>
        <w:spacing w:after="0"/>
        <w:rPr>
          <w:rFonts w:ascii="David" w:hAnsi="David" w:cs="David" w:hint="default"/>
        </w:rPr>
      </w:pPr>
      <w:r w:rsidRPr="00210011">
        <w:rPr>
          <w:rStyle w:val="a7"/>
          <w:rFonts w:ascii="David" w:hAnsi="David" w:cs="David" w:hint="default"/>
        </w:rPr>
        <w:footnoteRef/>
      </w:r>
      <w:r w:rsidRPr="00210011">
        <w:rPr>
          <w:rFonts w:ascii="David" w:hAnsi="David" w:cs="David" w:hint="default"/>
          <w:rtl/>
        </w:rPr>
        <w:t xml:space="preserve"> שם.</w:t>
      </w:r>
    </w:p>
  </w:footnote>
  <w:footnote w:id="173">
    <w:p w:rsidR="00B9259F" w:rsidRPr="00210011" w:rsidRDefault="00BE211D" w:rsidP="00F85DA5">
      <w:pPr>
        <w:pStyle w:val="a5"/>
        <w:spacing w:after="0"/>
        <w:rPr>
          <w:rFonts w:ascii="David" w:hAnsi="David" w:cs="David" w:hint="default"/>
        </w:rPr>
      </w:pPr>
      <w:r w:rsidRPr="00210011">
        <w:rPr>
          <w:rStyle w:val="a7"/>
          <w:rFonts w:ascii="David" w:hAnsi="David" w:cs="David" w:hint="default"/>
        </w:rPr>
        <w:footnoteRef/>
      </w:r>
      <w:r w:rsidRPr="00210011">
        <w:rPr>
          <w:rFonts w:ascii="David" w:hAnsi="David" w:cs="David" w:hint="default"/>
          <w:rtl/>
        </w:rPr>
        <w:t xml:space="preserve"> ע"א 593/81 </w:t>
      </w:r>
      <w:r w:rsidRPr="00210011">
        <w:rPr>
          <w:rFonts w:ascii="David" w:hAnsi="David" w:cs="David" w:hint="default"/>
          <w:b/>
          <w:bCs/>
          <w:rtl/>
        </w:rPr>
        <w:t xml:space="preserve">מפעלי רכב אשדוד בע"מ נ' צידיק ז"ל, </w:t>
      </w:r>
      <w:r w:rsidRPr="00210011">
        <w:rPr>
          <w:rFonts w:ascii="David" w:hAnsi="David" w:cs="David" w:hint="default"/>
          <w:rtl/>
        </w:rPr>
        <w:t>פ"ד מא(3) 169, 192-189 (1987).</w:t>
      </w:r>
    </w:p>
  </w:footnote>
  <w:footnote w:id="174">
    <w:p w:rsidR="00B9259F" w:rsidRPr="00210011" w:rsidRDefault="00BE211D" w:rsidP="00243858">
      <w:pPr>
        <w:pStyle w:val="a5"/>
        <w:spacing w:after="0"/>
        <w:rPr>
          <w:rFonts w:ascii="David" w:hAnsi="David" w:cs="David" w:hint="default"/>
        </w:rPr>
      </w:pPr>
      <w:r w:rsidRPr="00210011">
        <w:rPr>
          <w:rStyle w:val="a7"/>
          <w:rFonts w:ascii="David" w:hAnsi="David" w:cs="David" w:hint="default"/>
        </w:rPr>
        <w:footnoteRef/>
      </w:r>
      <w:r w:rsidRPr="00210011">
        <w:rPr>
          <w:rFonts w:ascii="David" w:hAnsi="David" w:cs="David" w:hint="default"/>
          <w:rtl/>
        </w:rPr>
        <w:t xml:space="preserve"> איתן ענבר, לעיל ה"ש 168, בעמ' 224.</w:t>
      </w:r>
    </w:p>
  </w:footnote>
  <w:footnote w:id="175">
    <w:p w:rsidR="00B9259F" w:rsidRPr="00210011" w:rsidRDefault="00BE211D" w:rsidP="00F44A92">
      <w:pPr>
        <w:pStyle w:val="a5"/>
        <w:spacing w:after="0"/>
        <w:rPr>
          <w:rFonts w:ascii="David" w:hAnsi="David" w:cs="David" w:hint="default"/>
        </w:rPr>
      </w:pPr>
      <w:r w:rsidRPr="00210011">
        <w:rPr>
          <w:rStyle w:val="a7"/>
          <w:rFonts w:ascii="David" w:hAnsi="David" w:cs="David" w:hint="default"/>
        </w:rPr>
        <w:footnoteRef/>
      </w:r>
      <w:r w:rsidRPr="00210011">
        <w:rPr>
          <w:rFonts w:ascii="David" w:hAnsi="David" w:cs="David" w:hint="default"/>
          <w:rtl/>
        </w:rPr>
        <w:t xml:space="preserve"> </w:t>
      </w:r>
      <w:r w:rsidRPr="00210011">
        <w:rPr>
          <w:rFonts w:ascii="David" w:hAnsi="David" w:cs="David" w:hint="default"/>
        </w:rPr>
        <w:t xml:space="preserve"> </w:t>
      </w:r>
      <w:r w:rsidRPr="00210011">
        <w:rPr>
          <w:rFonts w:ascii="David" w:hAnsi="David" w:cs="David" w:hint="default"/>
          <w:b/>
          <w:bCs/>
        </w:rPr>
        <w:t xml:space="preserve">Pruitt v. Allied Chemical Corp, </w:t>
      </w:r>
      <w:r w:rsidRPr="00210011">
        <w:rPr>
          <w:rFonts w:ascii="David" w:hAnsi="David" w:cs="David" w:hint="default"/>
        </w:rPr>
        <w:t>523 F. sup.975 (1981).</w:t>
      </w:r>
    </w:p>
  </w:footnote>
  <w:footnote w:id="176">
    <w:p w:rsidR="00B9259F" w:rsidRPr="00210011" w:rsidRDefault="00BE211D" w:rsidP="00F44A92">
      <w:pPr>
        <w:pStyle w:val="a5"/>
        <w:spacing w:after="0"/>
        <w:rPr>
          <w:rFonts w:ascii="David" w:hAnsi="David" w:cs="David" w:hint="default"/>
          <w:rtl/>
        </w:rPr>
      </w:pPr>
      <w:r w:rsidRPr="00210011">
        <w:rPr>
          <w:rStyle w:val="a7"/>
          <w:rFonts w:ascii="David" w:hAnsi="David" w:cs="David" w:hint="default"/>
        </w:rPr>
        <w:footnoteRef/>
      </w:r>
      <w:r w:rsidRPr="00210011">
        <w:rPr>
          <w:rFonts w:ascii="David" w:hAnsi="David" w:cs="David" w:hint="default"/>
          <w:rtl/>
        </w:rPr>
        <w:t xml:space="preserve"> שם.</w:t>
      </w:r>
    </w:p>
  </w:footnote>
  <w:footnote w:id="177">
    <w:p w:rsidR="00B9259F" w:rsidRPr="00210011" w:rsidRDefault="00BE211D" w:rsidP="004955A0">
      <w:pPr>
        <w:pStyle w:val="a5"/>
        <w:spacing w:after="0"/>
        <w:rPr>
          <w:rFonts w:ascii="David" w:hAnsi="David" w:cs="David" w:hint="default"/>
          <w:rtl/>
        </w:rPr>
      </w:pPr>
      <w:r w:rsidRPr="00210011">
        <w:rPr>
          <w:rStyle w:val="a7"/>
          <w:rFonts w:ascii="David" w:hAnsi="David" w:cs="David" w:hint="default"/>
        </w:rPr>
        <w:footnoteRef/>
      </w:r>
      <w:r w:rsidRPr="00210011">
        <w:rPr>
          <w:rFonts w:ascii="David" w:hAnsi="David" w:cs="David" w:hint="default"/>
          <w:rtl/>
        </w:rPr>
        <w:t xml:space="preserve"> איתן ענבר, לעיל ה"ש 168, בעמ' 226. </w:t>
      </w:r>
    </w:p>
  </w:footnote>
  <w:footnote w:id="178">
    <w:p w:rsidR="00B9259F" w:rsidRPr="00CF7747" w:rsidRDefault="00BE211D" w:rsidP="00A46EBC">
      <w:pPr>
        <w:pStyle w:val="a5"/>
        <w:spacing w:after="0"/>
        <w:rPr>
          <w:rFonts w:ascii="David" w:hAnsi="David" w:cs="David" w:hint="default"/>
          <w:rtl/>
        </w:rPr>
      </w:pPr>
      <w:r w:rsidRPr="00210011">
        <w:rPr>
          <w:rStyle w:val="a7"/>
          <w:rFonts w:ascii="David" w:hAnsi="David" w:cs="David" w:hint="default"/>
        </w:rPr>
        <w:footnoteRef/>
      </w:r>
      <w:r w:rsidRPr="00210011">
        <w:rPr>
          <w:rFonts w:ascii="David" w:hAnsi="David" w:cs="David" w:hint="default"/>
          <w:b/>
          <w:bCs/>
          <w:rtl/>
        </w:rPr>
        <w:t xml:space="preserve"> עניין</w:t>
      </w:r>
      <w:r w:rsidRPr="00210011">
        <w:rPr>
          <w:rFonts w:ascii="David" w:hAnsi="David" w:cs="David" w:hint="default"/>
          <w:rtl/>
        </w:rPr>
        <w:t xml:space="preserve"> </w:t>
      </w:r>
      <w:r w:rsidRPr="00210011">
        <w:rPr>
          <w:rFonts w:ascii="David" w:hAnsi="David" w:cs="David" w:hint="default"/>
          <w:b/>
          <w:bCs/>
        </w:rPr>
        <w:t>Pruitt</w:t>
      </w:r>
      <w:r w:rsidRPr="00210011">
        <w:rPr>
          <w:rFonts w:ascii="David" w:hAnsi="David" w:cs="David" w:hint="default"/>
          <w:rtl/>
        </w:rPr>
        <w:t>, לעיל ה"ש 175.</w:t>
      </w:r>
    </w:p>
  </w:footnote>
  <w:footnote w:id="179">
    <w:p w:rsidR="00B9259F" w:rsidRPr="002A0B3E" w:rsidRDefault="00BE211D" w:rsidP="00210011">
      <w:pPr>
        <w:pStyle w:val="a5"/>
        <w:spacing w:after="0"/>
        <w:rPr>
          <w:rFonts w:ascii="David" w:hAnsi="David" w:cs="David" w:hint="default"/>
          <w:rtl/>
        </w:rPr>
      </w:pPr>
      <w:r w:rsidRPr="002A0B3E">
        <w:rPr>
          <w:rStyle w:val="a7"/>
          <w:rFonts w:ascii="David" w:hAnsi="David" w:cs="David" w:hint="default"/>
        </w:rPr>
        <w:footnoteRef/>
      </w:r>
      <w:r w:rsidRPr="002A0B3E">
        <w:rPr>
          <w:rFonts w:ascii="David" w:hAnsi="David" w:cs="David" w:hint="default"/>
          <w:rtl/>
        </w:rPr>
        <w:t xml:space="preserve"> </w:t>
      </w:r>
      <w:r>
        <w:rPr>
          <w:rFonts w:ascii="David" w:hAnsi="David" w:cs="David" w:hint="cs"/>
          <w:rtl/>
        </w:rPr>
        <w:t xml:space="preserve">איתן ענבר, </w:t>
      </w:r>
      <w:r w:rsidRPr="002A0B3E">
        <w:rPr>
          <w:rFonts w:ascii="David" w:hAnsi="David" w:cs="David" w:hint="default"/>
          <w:rtl/>
        </w:rPr>
        <w:t xml:space="preserve">לעיל ה"ש </w:t>
      </w:r>
      <w:r>
        <w:rPr>
          <w:rFonts w:ascii="David" w:hAnsi="David" w:cs="David" w:hint="cs"/>
          <w:rtl/>
        </w:rPr>
        <w:t>168</w:t>
      </w:r>
      <w:r w:rsidRPr="002A0B3E">
        <w:rPr>
          <w:rFonts w:ascii="David" w:hAnsi="David" w:cs="David" w:hint="default"/>
          <w:rtl/>
        </w:rPr>
        <w:t>, בעמ' 226.</w:t>
      </w:r>
    </w:p>
  </w:footnote>
  <w:footnote w:id="180">
    <w:p w:rsidR="00B9259F" w:rsidRDefault="00BE211D" w:rsidP="00210011">
      <w:pPr>
        <w:pStyle w:val="a5"/>
        <w:spacing w:after="0"/>
        <w:rPr>
          <w:rFonts w:hint="default"/>
          <w:rtl/>
        </w:rPr>
      </w:pPr>
      <w:r w:rsidRPr="002A0B3E">
        <w:rPr>
          <w:rStyle w:val="a7"/>
          <w:rFonts w:ascii="David" w:hAnsi="David" w:cs="David" w:hint="default"/>
        </w:rPr>
        <w:footnoteRef/>
      </w:r>
      <w:r>
        <w:rPr>
          <w:rFonts w:ascii="David" w:hAnsi="David" w:cs="David" w:hint="cs"/>
          <w:rtl/>
        </w:rPr>
        <w:t xml:space="preserve">איתן ענבר, </w:t>
      </w:r>
      <w:r w:rsidRPr="002A0B3E">
        <w:rPr>
          <w:rFonts w:ascii="David" w:hAnsi="David" w:cs="David" w:hint="default"/>
          <w:rtl/>
        </w:rPr>
        <w:t xml:space="preserve">לעיל ה"ש </w:t>
      </w:r>
      <w:r>
        <w:rPr>
          <w:rFonts w:ascii="David" w:hAnsi="David" w:cs="David" w:hint="cs"/>
          <w:rtl/>
        </w:rPr>
        <w:t>168</w:t>
      </w:r>
      <w:r w:rsidRPr="002A0B3E">
        <w:rPr>
          <w:rFonts w:ascii="David" w:hAnsi="David" w:cs="David" w:hint="default"/>
          <w:rtl/>
        </w:rPr>
        <w:t>, בעמ' 227.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1772"/>
    <w:multiLevelType w:val="multilevel"/>
    <w:tmpl w:val="6810BE92"/>
    <w:lvl w:ilvl="0">
      <w:start w:val="1"/>
      <w:numFmt w:val="hebrew1"/>
      <w:lvlText w:val="%1."/>
      <w:lvlJc w:val="left"/>
      <w:pPr>
        <w:tabs>
          <w:tab w:val="num" w:pos="360"/>
        </w:tabs>
        <w:ind w:left="360" w:hanging="360"/>
      </w:pPr>
      <w:rPr>
        <w:rFonts w:hint="default"/>
        <w:u w:val="none"/>
      </w:rPr>
    </w:lvl>
    <w:lvl w:ilvl="1">
      <w:start w:val="1"/>
      <w:numFmt w:val="decimal"/>
      <w:lvlText w:val="%2."/>
      <w:lvlJc w:val="left"/>
      <w:pPr>
        <w:tabs>
          <w:tab w:val="num" w:pos="792"/>
        </w:tabs>
        <w:ind w:left="792" w:hanging="432"/>
      </w:pPr>
      <w:rPr>
        <w:rFonts w:hint="default"/>
        <w:b w:val="0"/>
        <w:bCs w:val="0"/>
        <w:i w:val="0"/>
        <w:iCs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950730B"/>
    <w:multiLevelType w:val="hybridMultilevel"/>
    <w:tmpl w:val="0DA4A818"/>
    <w:lvl w:ilvl="0" w:tplc="87ECCDFA">
      <w:start w:val="1"/>
      <w:numFmt w:val="decimal"/>
      <w:lvlText w:val="%1."/>
      <w:lvlJc w:val="left"/>
      <w:pPr>
        <w:ind w:left="720" w:hanging="360"/>
      </w:pPr>
      <w:rPr>
        <w:rFonts w:cs="Times New Roman" w:hint="cs"/>
        <w:rtl w:val="0"/>
        <w:cs w:val="0"/>
      </w:rPr>
    </w:lvl>
    <w:lvl w:ilvl="1" w:tplc="82BCD57C">
      <w:start w:val="1"/>
      <w:numFmt w:val="lowerLetter"/>
      <w:lvlText w:val="%2."/>
      <w:lvlJc w:val="left"/>
      <w:pPr>
        <w:ind w:left="1440" w:hanging="360"/>
      </w:pPr>
      <w:rPr>
        <w:rFonts w:cs="Times New Roman" w:hint="cs"/>
        <w:rtl w:val="0"/>
        <w:cs w:val="0"/>
      </w:rPr>
    </w:lvl>
    <w:lvl w:ilvl="2" w:tplc="9F8C30E2">
      <w:start w:val="1"/>
      <w:numFmt w:val="lowerRoman"/>
      <w:lvlText w:val="%3."/>
      <w:lvlJc w:val="right"/>
      <w:pPr>
        <w:ind w:left="2160" w:hanging="180"/>
      </w:pPr>
      <w:rPr>
        <w:rFonts w:cs="Times New Roman" w:hint="cs"/>
        <w:rtl w:val="0"/>
        <w:cs w:val="0"/>
      </w:rPr>
    </w:lvl>
    <w:lvl w:ilvl="3" w:tplc="9C68CEB6">
      <w:start w:val="1"/>
      <w:numFmt w:val="decimal"/>
      <w:lvlText w:val="%4."/>
      <w:lvlJc w:val="left"/>
      <w:pPr>
        <w:ind w:left="2880" w:hanging="360"/>
      </w:pPr>
      <w:rPr>
        <w:rFonts w:cs="Times New Roman" w:hint="cs"/>
        <w:rtl w:val="0"/>
        <w:cs w:val="0"/>
      </w:rPr>
    </w:lvl>
    <w:lvl w:ilvl="4" w:tplc="A0EE60DA">
      <w:start w:val="1"/>
      <w:numFmt w:val="lowerLetter"/>
      <w:lvlText w:val="%5."/>
      <w:lvlJc w:val="left"/>
      <w:pPr>
        <w:ind w:left="3600" w:hanging="360"/>
      </w:pPr>
      <w:rPr>
        <w:rFonts w:cs="Times New Roman" w:hint="cs"/>
        <w:rtl w:val="0"/>
        <w:cs w:val="0"/>
      </w:rPr>
    </w:lvl>
    <w:lvl w:ilvl="5" w:tplc="2490FA38">
      <w:start w:val="1"/>
      <w:numFmt w:val="lowerRoman"/>
      <w:lvlText w:val="%6."/>
      <w:lvlJc w:val="right"/>
      <w:pPr>
        <w:ind w:left="4320" w:hanging="180"/>
      </w:pPr>
      <w:rPr>
        <w:rFonts w:cs="Times New Roman" w:hint="cs"/>
        <w:rtl w:val="0"/>
        <w:cs w:val="0"/>
      </w:rPr>
    </w:lvl>
    <w:lvl w:ilvl="6" w:tplc="DECE48B2">
      <w:start w:val="1"/>
      <w:numFmt w:val="decimal"/>
      <w:lvlText w:val="%7."/>
      <w:lvlJc w:val="left"/>
      <w:pPr>
        <w:ind w:left="5040" w:hanging="360"/>
      </w:pPr>
      <w:rPr>
        <w:rFonts w:cs="Times New Roman" w:hint="cs"/>
        <w:rtl w:val="0"/>
        <w:cs w:val="0"/>
      </w:rPr>
    </w:lvl>
    <w:lvl w:ilvl="7" w:tplc="5BAE9A20">
      <w:start w:val="1"/>
      <w:numFmt w:val="lowerLetter"/>
      <w:lvlText w:val="%8."/>
      <w:lvlJc w:val="left"/>
      <w:pPr>
        <w:ind w:left="5760" w:hanging="360"/>
      </w:pPr>
      <w:rPr>
        <w:rFonts w:cs="Times New Roman" w:hint="cs"/>
        <w:rtl w:val="0"/>
        <w:cs w:val="0"/>
      </w:rPr>
    </w:lvl>
    <w:lvl w:ilvl="8" w:tplc="2D2C6CF8">
      <w:start w:val="1"/>
      <w:numFmt w:val="lowerRoman"/>
      <w:lvlText w:val="%9."/>
      <w:lvlJc w:val="right"/>
      <w:pPr>
        <w:ind w:left="6480" w:hanging="180"/>
      </w:pPr>
      <w:rPr>
        <w:rFonts w:cs="Times New Roman" w:hint="cs"/>
        <w:rtl w:val="0"/>
        <w:cs w:val="0"/>
      </w:rPr>
    </w:lvl>
  </w:abstractNum>
  <w:abstractNum w:abstractNumId="2" w15:restartNumberingAfterBreak="0">
    <w:nsid w:val="19841875"/>
    <w:multiLevelType w:val="hybridMultilevel"/>
    <w:tmpl w:val="7B1E9C78"/>
    <w:lvl w:ilvl="0" w:tplc="6F30DF40">
      <w:numFmt w:val="bullet"/>
      <w:lvlText w:val="-"/>
      <w:lvlJc w:val="left"/>
      <w:pPr>
        <w:ind w:left="720" w:hanging="360"/>
      </w:pPr>
      <w:rPr>
        <w:rFonts w:ascii="David" w:eastAsiaTheme="minorEastAsia" w:hAnsi="David" w:cs="David" w:hint="default"/>
      </w:rPr>
    </w:lvl>
    <w:lvl w:ilvl="1" w:tplc="5BF40742" w:tentative="1">
      <w:start w:val="1"/>
      <w:numFmt w:val="bullet"/>
      <w:lvlText w:val="o"/>
      <w:lvlJc w:val="left"/>
      <w:pPr>
        <w:ind w:left="1440" w:hanging="360"/>
      </w:pPr>
      <w:rPr>
        <w:rFonts w:ascii="Courier New" w:hAnsi="Courier New" w:cs="Courier New" w:hint="default"/>
      </w:rPr>
    </w:lvl>
    <w:lvl w:ilvl="2" w:tplc="C6BE232A" w:tentative="1">
      <w:start w:val="1"/>
      <w:numFmt w:val="bullet"/>
      <w:lvlText w:val=""/>
      <w:lvlJc w:val="left"/>
      <w:pPr>
        <w:ind w:left="2160" w:hanging="360"/>
      </w:pPr>
      <w:rPr>
        <w:rFonts w:ascii="Wingdings" w:hAnsi="Wingdings" w:hint="default"/>
      </w:rPr>
    </w:lvl>
    <w:lvl w:ilvl="3" w:tplc="448AB9C4" w:tentative="1">
      <w:start w:val="1"/>
      <w:numFmt w:val="bullet"/>
      <w:lvlText w:val=""/>
      <w:lvlJc w:val="left"/>
      <w:pPr>
        <w:ind w:left="2880" w:hanging="360"/>
      </w:pPr>
      <w:rPr>
        <w:rFonts w:ascii="Symbol" w:hAnsi="Symbol" w:hint="default"/>
      </w:rPr>
    </w:lvl>
    <w:lvl w:ilvl="4" w:tplc="496879AC" w:tentative="1">
      <w:start w:val="1"/>
      <w:numFmt w:val="bullet"/>
      <w:lvlText w:val="o"/>
      <w:lvlJc w:val="left"/>
      <w:pPr>
        <w:ind w:left="3600" w:hanging="360"/>
      </w:pPr>
      <w:rPr>
        <w:rFonts w:ascii="Courier New" w:hAnsi="Courier New" w:cs="Courier New" w:hint="default"/>
      </w:rPr>
    </w:lvl>
    <w:lvl w:ilvl="5" w:tplc="32FC3488" w:tentative="1">
      <w:start w:val="1"/>
      <w:numFmt w:val="bullet"/>
      <w:lvlText w:val=""/>
      <w:lvlJc w:val="left"/>
      <w:pPr>
        <w:ind w:left="4320" w:hanging="360"/>
      </w:pPr>
      <w:rPr>
        <w:rFonts w:ascii="Wingdings" w:hAnsi="Wingdings" w:hint="default"/>
      </w:rPr>
    </w:lvl>
    <w:lvl w:ilvl="6" w:tplc="CC265DE2" w:tentative="1">
      <w:start w:val="1"/>
      <w:numFmt w:val="bullet"/>
      <w:lvlText w:val=""/>
      <w:lvlJc w:val="left"/>
      <w:pPr>
        <w:ind w:left="5040" w:hanging="360"/>
      </w:pPr>
      <w:rPr>
        <w:rFonts w:ascii="Symbol" w:hAnsi="Symbol" w:hint="default"/>
      </w:rPr>
    </w:lvl>
    <w:lvl w:ilvl="7" w:tplc="15FA9E4A" w:tentative="1">
      <w:start w:val="1"/>
      <w:numFmt w:val="bullet"/>
      <w:lvlText w:val="o"/>
      <w:lvlJc w:val="left"/>
      <w:pPr>
        <w:ind w:left="5760" w:hanging="360"/>
      </w:pPr>
      <w:rPr>
        <w:rFonts w:ascii="Courier New" w:hAnsi="Courier New" w:cs="Courier New" w:hint="default"/>
      </w:rPr>
    </w:lvl>
    <w:lvl w:ilvl="8" w:tplc="E2B2479E" w:tentative="1">
      <w:start w:val="1"/>
      <w:numFmt w:val="bullet"/>
      <w:lvlText w:val=""/>
      <w:lvlJc w:val="left"/>
      <w:pPr>
        <w:ind w:left="6480" w:hanging="360"/>
      </w:pPr>
      <w:rPr>
        <w:rFonts w:ascii="Wingdings" w:hAnsi="Wingdings" w:hint="default"/>
      </w:rPr>
    </w:lvl>
  </w:abstractNum>
  <w:abstractNum w:abstractNumId="3" w15:restartNumberingAfterBreak="0">
    <w:nsid w:val="216569BD"/>
    <w:multiLevelType w:val="hybridMultilevel"/>
    <w:tmpl w:val="14682B68"/>
    <w:lvl w:ilvl="0" w:tplc="C9764E8A">
      <w:start w:val="1"/>
      <w:numFmt w:val="decimal"/>
      <w:lvlText w:val="%1."/>
      <w:lvlJc w:val="left"/>
      <w:pPr>
        <w:tabs>
          <w:tab w:val="num" w:pos="720"/>
        </w:tabs>
        <w:ind w:left="720" w:hanging="360"/>
      </w:pPr>
    </w:lvl>
    <w:lvl w:ilvl="1" w:tplc="744AA63C" w:tentative="1">
      <w:start w:val="1"/>
      <w:numFmt w:val="lowerLetter"/>
      <w:lvlText w:val="%2."/>
      <w:lvlJc w:val="left"/>
      <w:pPr>
        <w:tabs>
          <w:tab w:val="num" w:pos="1440"/>
        </w:tabs>
        <w:ind w:left="1440" w:hanging="360"/>
      </w:pPr>
    </w:lvl>
    <w:lvl w:ilvl="2" w:tplc="BEC8B9CA" w:tentative="1">
      <w:start w:val="1"/>
      <w:numFmt w:val="lowerRoman"/>
      <w:lvlText w:val="%3."/>
      <w:lvlJc w:val="right"/>
      <w:pPr>
        <w:tabs>
          <w:tab w:val="num" w:pos="2160"/>
        </w:tabs>
        <w:ind w:left="2160" w:hanging="180"/>
      </w:pPr>
    </w:lvl>
    <w:lvl w:ilvl="3" w:tplc="F87E98F2" w:tentative="1">
      <w:start w:val="1"/>
      <w:numFmt w:val="decimal"/>
      <w:lvlText w:val="%4."/>
      <w:lvlJc w:val="left"/>
      <w:pPr>
        <w:tabs>
          <w:tab w:val="num" w:pos="2880"/>
        </w:tabs>
        <w:ind w:left="2880" w:hanging="360"/>
      </w:pPr>
    </w:lvl>
    <w:lvl w:ilvl="4" w:tplc="251E4B66" w:tentative="1">
      <w:start w:val="1"/>
      <w:numFmt w:val="lowerLetter"/>
      <w:lvlText w:val="%5."/>
      <w:lvlJc w:val="left"/>
      <w:pPr>
        <w:tabs>
          <w:tab w:val="num" w:pos="3600"/>
        </w:tabs>
        <w:ind w:left="3600" w:hanging="360"/>
      </w:pPr>
    </w:lvl>
    <w:lvl w:ilvl="5" w:tplc="18E09AE6" w:tentative="1">
      <w:start w:val="1"/>
      <w:numFmt w:val="lowerRoman"/>
      <w:lvlText w:val="%6."/>
      <w:lvlJc w:val="right"/>
      <w:pPr>
        <w:tabs>
          <w:tab w:val="num" w:pos="4320"/>
        </w:tabs>
        <w:ind w:left="4320" w:hanging="180"/>
      </w:pPr>
    </w:lvl>
    <w:lvl w:ilvl="6" w:tplc="EB7806BE" w:tentative="1">
      <w:start w:val="1"/>
      <w:numFmt w:val="decimal"/>
      <w:lvlText w:val="%7."/>
      <w:lvlJc w:val="left"/>
      <w:pPr>
        <w:tabs>
          <w:tab w:val="num" w:pos="5040"/>
        </w:tabs>
        <w:ind w:left="5040" w:hanging="360"/>
      </w:pPr>
    </w:lvl>
    <w:lvl w:ilvl="7" w:tplc="2212878C" w:tentative="1">
      <w:start w:val="1"/>
      <w:numFmt w:val="lowerLetter"/>
      <w:lvlText w:val="%8."/>
      <w:lvlJc w:val="left"/>
      <w:pPr>
        <w:tabs>
          <w:tab w:val="num" w:pos="5760"/>
        </w:tabs>
        <w:ind w:left="5760" w:hanging="360"/>
      </w:pPr>
    </w:lvl>
    <w:lvl w:ilvl="8" w:tplc="6E22AA84" w:tentative="1">
      <w:start w:val="1"/>
      <w:numFmt w:val="lowerRoman"/>
      <w:lvlText w:val="%9."/>
      <w:lvlJc w:val="right"/>
      <w:pPr>
        <w:tabs>
          <w:tab w:val="num" w:pos="6480"/>
        </w:tabs>
        <w:ind w:left="6480" w:hanging="180"/>
      </w:pPr>
    </w:lvl>
  </w:abstractNum>
  <w:abstractNum w:abstractNumId="4" w15:restartNumberingAfterBreak="0">
    <w:nsid w:val="262642DA"/>
    <w:multiLevelType w:val="hybridMultilevel"/>
    <w:tmpl w:val="2140E338"/>
    <w:lvl w:ilvl="0" w:tplc="FDCAB114">
      <w:start w:val="1"/>
      <w:numFmt w:val="hebrew1"/>
      <w:lvlText w:val="%1."/>
      <w:lvlJc w:val="left"/>
      <w:pPr>
        <w:ind w:left="720" w:hanging="360"/>
      </w:pPr>
      <w:rPr>
        <w:rFonts w:hint="default"/>
      </w:rPr>
    </w:lvl>
    <w:lvl w:ilvl="1" w:tplc="F0B4ED3A" w:tentative="1">
      <w:start w:val="1"/>
      <w:numFmt w:val="lowerLetter"/>
      <w:lvlText w:val="%2."/>
      <w:lvlJc w:val="left"/>
      <w:pPr>
        <w:ind w:left="1440" w:hanging="360"/>
      </w:pPr>
    </w:lvl>
    <w:lvl w:ilvl="2" w:tplc="820447BA" w:tentative="1">
      <w:start w:val="1"/>
      <w:numFmt w:val="lowerRoman"/>
      <w:lvlText w:val="%3."/>
      <w:lvlJc w:val="right"/>
      <w:pPr>
        <w:ind w:left="2160" w:hanging="180"/>
      </w:pPr>
    </w:lvl>
    <w:lvl w:ilvl="3" w:tplc="3A9CD840" w:tentative="1">
      <w:start w:val="1"/>
      <w:numFmt w:val="decimal"/>
      <w:lvlText w:val="%4."/>
      <w:lvlJc w:val="left"/>
      <w:pPr>
        <w:ind w:left="2880" w:hanging="360"/>
      </w:pPr>
    </w:lvl>
    <w:lvl w:ilvl="4" w:tplc="92F67CDA" w:tentative="1">
      <w:start w:val="1"/>
      <w:numFmt w:val="lowerLetter"/>
      <w:lvlText w:val="%5."/>
      <w:lvlJc w:val="left"/>
      <w:pPr>
        <w:ind w:left="3600" w:hanging="360"/>
      </w:pPr>
    </w:lvl>
    <w:lvl w:ilvl="5" w:tplc="51628736" w:tentative="1">
      <w:start w:val="1"/>
      <w:numFmt w:val="lowerRoman"/>
      <w:lvlText w:val="%6."/>
      <w:lvlJc w:val="right"/>
      <w:pPr>
        <w:ind w:left="4320" w:hanging="180"/>
      </w:pPr>
    </w:lvl>
    <w:lvl w:ilvl="6" w:tplc="BECA003C" w:tentative="1">
      <w:start w:val="1"/>
      <w:numFmt w:val="decimal"/>
      <w:lvlText w:val="%7."/>
      <w:lvlJc w:val="left"/>
      <w:pPr>
        <w:ind w:left="5040" w:hanging="360"/>
      </w:pPr>
    </w:lvl>
    <w:lvl w:ilvl="7" w:tplc="347E262E" w:tentative="1">
      <w:start w:val="1"/>
      <w:numFmt w:val="lowerLetter"/>
      <w:lvlText w:val="%8."/>
      <w:lvlJc w:val="left"/>
      <w:pPr>
        <w:ind w:left="5760" w:hanging="360"/>
      </w:pPr>
    </w:lvl>
    <w:lvl w:ilvl="8" w:tplc="17A69F7C" w:tentative="1">
      <w:start w:val="1"/>
      <w:numFmt w:val="lowerRoman"/>
      <w:lvlText w:val="%9."/>
      <w:lvlJc w:val="right"/>
      <w:pPr>
        <w:ind w:left="6480" w:hanging="180"/>
      </w:pPr>
    </w:lvl>
  </w:abstractNum>
  <w:abstractNum w:abstractNumId="5" w15:restartNumberingAfterBreak="0">
    <w:nsid w:val="28EE67EF"/>
    <w:multiLevelType w:val="hybridMultilevel"/>
    <w:tmpl w:val="F8B868A0"/>
    <w:lvl w:ilvl="0" w:tplc="E738EFF8">
      <w:start w:val="1"/>
      <w:numFmt w:val="hebrew1"/>
      <w:lvlText w:val="%1."/>
      <w:lvlJc w:val="left"/>
      <w:pPr>
        <w:ind w:left="720" w:hanging="360"/>
      </w:pPr>
      <w:rPr>
        <w:rFonts w:hint="default"/>
      </w:rPr>
    </w:lvl>
    <w:lvl w:ilvl="1" w:tplc="B9A8F95C" w:tentative="1">
      <w:start w:val="1"/>
      <w:numFmt w:val="lowerLetter"/>
      <w:lvlText w:val="%2."/>
      <w:lvlJc w:val="left"/>
      <w:pPr>
        <w:ind w:left="1440" w:hanging="360"/>
      </w:pPr>
    </w:lvl>
    <w:lvl w:ilvl="2" w:tplc="00308AC6" w:tentative="1">
      <w:start w:val="1"/>
      <w:numFmt w:val="lowerRoman"/>
      <w:lvlText w:val="%3."/>
      <w:lvlJc w:val="right"/>
      <w:pPr>
        <w:ind w:left="2160" w:hanging="180"/>
      </w:pPr>
    </w:lvl>
    <w:lvl w:ilvl="3" w:tplc="43847742" w:tentative="1">
      <w:start w:val="1"/>
      <w:numFmt w:val="decimal"/>
      <w:lvlText w:val="%4."/>
      <w:lvlJc w:val="left"/>
      <w:pPr>
        <w:ind w:left="2880" w:hanging="360"/>
      </w:pPr>
    </w:lvl>
    <w:lvl w:ilvl="4" w:tplc="81DC4090" w:tentative="1">
      <w:start w:val="1"/>
      <w:numFmt w:val="lowerLetter"/>
      <w:lvlText w:val="%5."/>
      <w:lvlJc w:val="left"/>
      <w:pPr>
        <w:ind w:left="3600" w:hanging="360"/>
      </w:pPr>
    </w:lvl>
    <w:lvl w:ilvl="5" w:tplc="60F87394" w:tentative="1">
      <w:start w:val="1"/>
      <w:numFmt w:val="lowerRoman"/>
      <w:lvlText w:val="%6."/>
      <w:lvlJc w:val="right"/>
      <w:pPr>
        <w:ind w:left="4320" w:hanging="180"/>
      </w:pPr>
    </w:lvl>
    <w:lvl w:ilvl="6" w:tplc="79DEB9BC" w:tentative="1">
      <w:start w:val="1"/>
      <w:numFmt w:val="decimal"/>
      <w:lvlText w:val="%7."/>
      <w:lvlJc w:val="left"/>
      <w:pPr>
        <w:ind w:left="5040" w:hanging="360"/>
      </w:pPr>
    </w:lvl>
    <w:lvl w:ilvl="7" w:tplc="FBCC8B2A" w:tentative="1">
      <w:start w:val="1"/>
      <w:numFmt w:val="lowerLetter"/>
      <w:lvlText w:val="%8."/>
      <w:lvlJc w:val="left"/>
      <w:pPr>
        <w:ind w:left="5760" w:hanging="360"/>
      </w:pPr>
    </w:lvl>
    <w:lvl w:ilvl="8" w:tplc="44EC7B58" w:tentative="1">
      <w:start w:val="1"/>
      <w:numFmt w:val="lowerRoman"/>
      <w:lvlText w:val="%9."/>
      <w:lvlJc w:val="right"/>
      <w:pPr>
        <w:ind w:left="6480" w:hanging="180"/>
      </w:pPr>
    </w:lvl>
  </w:abstractNum>
  <w:abstractNum w:abstractNumId="6" w15:restartNumberingAfterBreak="0">
    <w:nsid w:val="333E19BF"/>
    <w:multiLevelType w:val="hybridMultilevel"/>
    <w:tmpl w:val="3AE6193E"/>
    <w:lvl w:ilvl="0" w:tplc="A9965B1A">
      <w:start w:val="1"/>
      <w:numFmt w:val="decimal"/>
      <w:lvlText w:val="%1."/>
      <w:lvlJc w:val="left"/>
      <w:pPr>
        <w:ind w:left="720" w:hanging="360"/>
      </w:pPr>
      <w:rPr>
        <w:rFonts w:cs="Times New Roman" w:hint="cs"/>
        <w:rtl w:val="0"/>
        <w:cs w:val="0"/>
      </w:rPr>
    </w:lvl>
    <w:lvl w:ilvl="1" w:tplc="8502FBE8">
      <w:start w:val="1"/>
      <w:numFmt w:val="lowerLetter"/>
      <w:lvlText w:val="%2."/>
      <w:lvlJc w:val="left"/>
      <w:pPr>
        <w:ind w:left="1440" w:hanging="360"/>
      </w:pPr>
      <w:rPr>
        <w:rFonts w:cs="Times New Roman" w:hint="cs"/>
        <w:rtl w:val="0"/>
        <w:cs w:val="0"/>
      </w:rPr>
    </w:lvl>
    <w:lvl w:ilvl="2" w:tplc="A8D6B0DC">
      <w:start w:val="1"/>
      <w:numFmt w:val="lowerRoman"/>
      <w:lvlText w:val="%3."/>
      <w:lvlJc w:val="right"/>
      <w:pPr>
        <w:ind w:left="2160" w:hanging="180"/>
      </w:pPr>
      <w:rPr>
        <w:rFonts w:cs="Times New Roman" w:hint="cs"/>
        <w:rtl w:val="0"/>
        <w:cs w:val="0"/>
      </w:rPr>
    </w:lvl>
    <w:lvl w:ilvl="3" w:tplc="946692F2">
      <w:start w:val="1"/>
      <w:numFmt w:val="decimal"/>
      <w:lvlText w:val="%4."/>
      <w:lvlJc w:val="left"/>
      <w:pPr>
        <w:ind w:left="2880" w:hanging="360"/>
      </w:pPr>
      <w:rPr>
        <w:rFonts w:cs="Times New Roman" w:hint="cs"/>
        <w:rtl w:val="0"/>
        <w:cs w:val="0"/>
      </w:rPr>
    </w:lvl>
    <w:lvl w:ilvl="4" w:tplc="B6CAF034">
      <w:start w:val="1"/>
      <w:numFmt w:val="lowerLetter"/>
      <w:lvlText w:val="%5."/>
      <w:lvlJc w:val="left"/>
      <w:pPr>
        <w:ind w:left="3600" w:hanging="360"/>
      </w:pPr>
      <w:rPr>
        <w:rFonts w:cs="Times New Roman" w:hint="cs"/>
        <w:rtl w:val="0"/>
        <w:cs w:val="0"/>
      </w:rPr>
    </w:lvl>
    <w:lvl w:ilvl="5" w:tplc="94389E52">
      <w:start w:val="1"/>
      <w:numFmt w:val="lowerRoman"/>
      <w:lvlText w:val="%6."/>
      <w:lvlJc w:val="right"/>
      <w:pPr>
        <w:ind w:left="4320" w:hanging="180"/>
      </w:pPr>
      <w:rPr>
        <w:rFonts w:cs="Times New Roman" w:hint="cs"/>
        <w:rtl w:val="0"/>
        <w:cs w:val="0"/>
      </w:rPr>
    </w:lvl>
    <w:lvl w:ilvl="6" w:tplc="2D9E76EC">
      <w:start w:val="1"/>
      <w:numFmt w:val="decimal"/>
      <w:lvlText w:val="%7."/>
      <w:lvlJc w:val="left"/>
      <w:pPr>
        <w:ind w:left="5040" w:hanging="360"/>
      </w:pPr>
      <w:rPr>
        <w:rFonts w:cs="Times New Roman" w:hint="cs"/>
        <w:rtl w:val="0"/>
        <w:cs w:val="0"/>
      </w:rPr>
    </w:lvl>
    <w:lvl w:ilvl="7" w:tplc="C332DB04">
      <w:start w:val="1"/>
      <w:numFmt w:val="lowerLetter"/>
      <w:lvlText w:val="%8."/>
      <w:lvlJc w:val="left"/>
      <w:pPr>
        <w:ind w:left="5760" w:hanging="360"/>
      </w:pPr>
      <w:rPr>
        <w:rFonts w:cs="Times New Roman" w:hint="cs"/>
        <w:rtl w:val="0"/>
        <w:cs w:val="0"/>
      </w:rPr>
    </w:lvl>
    <w:lvl w:ilvl="8" w:tplc="B8F667A8">
      <w:start w:val="1"/>
      <w:numFmt w:val="lowerRoman"/>
      <w:lvlText w:val="%9."/>
      <w:lvlJc w:val="right"/>
      <w:pPr>
        <w:ind w:left="6480" w:hanging="180"/>
      </w:pPr>
      <w:rPr>
        <w:rFonts w:cs="Times New Roman" w:hint="cs"/>
        <w:rtl w:val="0"/>
        <w:cs w:val="0"/>
      </w:rPr>
    </w:lvl>
  </w:abstractNum>
  <w:abstractNum w:abstractNumId="7" w15:restartNumberingAfterBreak="0">
    <w:nsid w:val="401E0B4B"/>
    <w:multiLevelType w:val="hybridMultilevel"/>
    <w:tmpl w:val="E7289030"/>
    <w:lvl w:ilvl="0" w:tplc="5EE04BCE">
      <w:start w:val="1"/>
      <w:numFmt w:val="decimal"/>
      <w:lvlText w:val="%1."/>
      <w:lvlJc w:val="left"/>
      <w:pPr>
        <w:ind w:left="810" w:hanging="360"/>
      </w:pPr>
      <w:rPr>
        <w:rFonts w:hint="default"/>
      </w:rPr>
    </w:lvl>
    <w:lvl w:ilvl="1" w:tplc="ADFC1934" w:tentative="1">
      <w:start w:val="1"/>
      <w:numFmt w:val="lowerLetter"/>
      <w:lvlText w:val="%2."/>
      <w:lvlJc w:val="left"/>
      <w:pPr>
        <w:ind w:left="1530" w:hanging="360"/>
      </w:pPr>
    </w:lvl>
    <w:lvl w:ilvl="2" w:tplc="5590CF64" w:tentative="1">
      <w:start w:val="1"/>
      <w:numFmt w:val="lowerRoman"/>
      <w:lvlText w:val="%3."/>
      <w:lvlJc w:val="right"/>
      <w:pPr>
        <w:ind w:left="2250" w:hanging="180"/>
      </w:pPr>
    </w:lvl>
    <w:lvl w:ilvl="3" w:tplc="EC06683E" w:tentative="1">
      <w:start w:val="1"/>
      <w:numFmt w:val="decimal"/>
      <w:lvlText w:val="%4."/>
      <w:lvlJc w:val="left"/>
      <w:pPr>
        <w:ind w:left="2970" w:hanging="360"/>
      </w:pPr>
    </w:lvl>
    <w:lvl w:ilvl="4" w:tplc="9954B874" w:tentative="1">
      <w:start w:val="1"/>
      <w:numFmt w:val="lowerLetter"/>
      <w:lvlText w:val="%5."/>
      <w:lvlJc w:val="left"/>
      <w:pPr>
        <w:ind w:left="3690" w:hanging="360"/>
      </w:pPr>
    </w:lvl>
    <w:lvl w:ilvl="5" w:tplc="B394BA46" w:tentative="1">
      <w:start w:val="1"/>
      <w:numFmt w:val="lowerRoman"/>
      <w:lvlText w:val="%6."/>
      <w:lvlJc w:val="right"/>
      <w:pPr>
        <w:ind w:left="4410" w:hanging="180"/>
      </w:pPr>
    </w:lvl>
    <w:lvl w:ilvl="6" w:tplc="902A2156" w:tentative="1">
      <w:start w:val="1"/>
      <w:numFmt w:val="decimal"/>
      <w:lvlText w:val="%7."/>
      <w:lvlJc w:val="left"/>
      <w:pPr>
        <w:ind w:left="5130" w:hanging="360"/>
      </w:pPr>
    </w:lvl>
    <w:lvl w:ilvl="7" w:tplc="46B607D0" w:tentative="1">
      <w:start w:val="1"/>
      <w:numFmt w:val="lowerLetter"/>
      <w:lvlText w:val="%8."/>
      <w:lvlJc w:val="left"/>
      <w:pPr>
        <w:ind w:left="5850" w:hanging="360"/>
      </w:pPr>
    </w:lvl>
    <w:lvl w:ilvl="8" w:tplc="04743CC2" w:tentative="1">
      <w:start w:val="1"/>
      <w:numFmt w:val="lowerRoman"/>
      <w:lvlText w:val="%9."/>
      <w:lvlJc w:val="right"/>
      <w:pPr>
        <w:ind w:left="6570" w:hanging="180"/>
      </w:pPr>
    </w:lvl>
  </w:abstractNum>
  <w:abstractNum w:abstractNumId="8" w15:restartNumberingAfterBreak="0">
    <w:nsid w:val="50F510D5"/>
    <w:multiLevelType w:val="hybridMultilevel"/>
    <w:tmpl w:val="6644978A"/>
    <w:lvl w:ilvl="0" w:tplc="A1EC458A">
      <w:start w:val="7"/>
      <w:numFmt w:val="bullet"/>
      <w:lvlText w:val=""/>
      <w:lvlJc w:val="left"/>
      <w:pPr>
        <w:ind w:left="720" w:hanging="360"/>
      </w:pPr>
      <w:rPr>
        <w:rFonts w:ascii="Symbol" w:eastAsiaTheme="minorEastAsia" w:hAnsi="Symbol" w:cs="Arial" w:hint="default"/>
        <w:color w:val="151515"/>
        <w:sz w:val="30"/>
      </w:rPr>
    </w:lvl>
    <w:lvl w:ilvl="1" w:tplc="2F308D50" w:tentative="1">
      <w:start w:val="1"/>
      <w:numFmt w:val="bullet"/>
      <w:lvlText w:val="o"/>
      <w:lvlJc w:val="left"/>
      <w:pPr>
        <w:ind w:left="1440" w:hanging="360"/>
      </w:pPr>
      <w:rPr>
        <w:rFonts w:ascii="Courier New" w:hAnsi="Courier New" w:cs="Courier New" w:hint="default"/>
      </w:rPr>
    </w:lvl>
    <w:lvl w:ilvl="2" w:tplc="AFD862EA" w:tentative="1">
      <w:start w:val="1"/>
      <w:numFmt w:val="bullet"/>
      <w:lvlText w:val=""/>
      <w:lvlJc w:val="left"/>
      <w:pPr>
        <w:ind w:left="2160" w:hanging="360"/>
      </w:pPr>
      <w:rPr>
        <w:rFonts w:ascii="Wingdings" w:hAnsi="Wingdings" w:hint="default"/>
      </w:rPr>
    </w:lvl>
    <w:lvl w:ilvl="3" w:tplc="22BCE0EC" w:tentative="1">
      <w:start w:val="1"/>
      <w:numFmt w:val="bullet"/>
      <w:lvlText w:val=""/>
      <w:lvlJc w:val="left"/>
      <w:pPr>
        <w:ind w:left="2880" w:hanging="360"/>
      </w:pPr>
      <w:rPr>
        <w:rFonts w:ascii="Symbol" w:hAnsi="Symbol" w:hint="default"/>
      </w:rPr>
    </w:lvl>
    <w:lvl w:ilvl="4" w:tplc="44D03D06" w:tentative="1">
      <w:start w:val="1"/>
      <w:numFmt w:val="bullet"/>
      <w:lvlText w:val="o"/>
      <w:lvlJc w:val="left"/>
      <w:pPr>
        <w:ind w:left="3600" w:hanging="360"/>
      </w:pPr>
      <w:rPr>
        <w:rFonts w:ascii="Courier New" w:hAnsi="Courier New" w:cs="Courier New" w:hint="default"/>
      </w:rPr>
    </w:lvl>
    <w:lvl w:ilvl="5" w:tplc="9E56F5DE" w:tentative="1">
      <w:start w:val="1"/>
      <w:numFmt w:val="bullet"/>
      <w:lvlText w:val=""/>
      <w:lvlJc w:val="left"/>
      <w:pPr>
        <w:ind w:left="4320" w:hanging="360"/>
      </w:pPr>
      <w:rPr>
        <w:rFonts w:ascii="Wingdings" w:hAnsi="Wingdings" w:hint="default"/>
      </w:rPr>
    </w:lvl>
    <w:lvl w:ilvl="6" w:tplc="EB0E10B0" w:tentative="1">
      <w:start w:val="1"/>
      <w:numFmt w:val="bullet"/>
      <w:lvlText w:val=""/>
      <w:lvlJc w:val="left"/>
      <w:pPr>
        <w:ind w:left="5040" w:hanging="360"/>
      </w:pPr>
      <w:rPr>
        <w:rFonts w:ascii="Symbol" w:hAnsi="Symbol" w:hint="default"/>
      </w:rPr>
    </w:lvl>
    <w:lvl w:ilvl="7" w:tplc="B40840D2" w:tentative="1">
      <w:start w:val="1"/>
      <w:numFmt w:val="bullet"/>
      <w:lvlText w:val="o"/>
      <w:lvlJc w:val="left"/>
      <w:pPr>
        <w:ind w:left="5760" w:hanging="360"/>
      </w:pPr>
      <w:rPr>
        <w:rFonts w:ascii="Courier New" w:hAnsi="Courier New" w:cs="Courier New" w:hint="default"/>
      </w:rPr>
    </w:lvl>
    <w:lvl w:ilvl="8" w:tplc="3326BE6A" w:tentative="1">
      <w:start w:val="1"/>
      <w:numFmt w:val="bullet"/>
      <w:lvlText w:val=""/>
      <w:lvlJc w:val="left"/>
      <w:pPr>
        <w:ind w:left="6480" w:hanging="360"/>
      </w:pPr>
      <w:rPr>
        <w:rFonts w:ascii="Wingdings" w:hAnsi="Wingdings" w:hint="default"/>
      </w:rPr>
    </w:lvl>
  </w:abstractNum>
  <w:abstractNum w:abstractNumId="9" w15:restartNumberingAfterBreak="0">
    <w:nsid w:val="5D4A331B"/>
    <w:multiLevelType w:val="hybridMultilevel"/>
    <w:tmpl w:val="D55CC5A4"/>
    <w:lvl w:ilvl="0" w:tplc="DF346C3E">
      <w:start w:val="1"/>
      <w:numFmt w:val="hebrew1"/>
      <w:lvlText w:val="%1."/>
      <w:lvlJc w:val="left"/>
      <w:pPr>
        <w:ind w:left="720" w:hanging="360"/>
      </w:pPr>
      <w:rPr>
        <w:rFonts w:hint="default"/>
      </w:rPr>
    </w:lvl>
    <w:lvl w:ilvl="1" w:tplc="E8EAF39A" w:tentative="1">
      <w:start w:val="1"/>
      <w:numFmt w:val="lowerLetter"/>
      <w:lvlText w:val="%2."/>
      <w:lvlJc w:val="left"/>
      <w:pPr>
        <w:ind w:left="1440" w:hanging="360"/>
      </w:pPr>
    </w:lvl>
    <w:lvl w:ilvl="2" w:tplc="EBEE9CDC" w:tentative="1">
      <w:start w:val="1"/>
      <w:numFmt w:val="lowerRoman"/>
      <w:lvlText w:val="%3."/>
      <w:lvlJc w:val="right"/>
      <w:pPr>
        <w:ind w:left="2160" w:hanging="180"/>
      </w:pPr>
    </w:lvl>
    <w:lvl w:ilvl="3" w:tplc="27926B00" w:tentative="1">
      <w:start w:val="1"/>
      <w:numFmt w:val="decimal"/>
      <w:lvlText w:val="%4."/>
      <w:lvlJc w:val="left"/>
      <w:pPr>
        <w:ind w:left="2880" w:hanging="360"/>
      </w:pPr>
    </w:lvl>
    <w:lvl w:ilvl="4" w:tplc="38B6F922" w:tentative="1">
      <w:start w:val="1"/>
      <w:numFmt w:val="lowerLetter"/>
      <w:lvlText w:val="%5."/>
      <w:lvlJc w:val="left"/>
      <w:pPr>
        <w:ind w:left="3600" w:hanging="360"/>
      </w:pPr>
    </w:lvl>
    <w:lvl w:ilvl="5" w:tplc="325C82E6" w:tentative="1">
      <w:start w:val="1"/>
      <w:numFmt w:val="lowerRoman"/>
      <w:lvlText w:val="%6."/>
      <w:lvlJc w:val="right"/>
      <w:pPr>
        <w:ind w:left="4320" w:hanging="180"/>
      </w:pPr>
    </w:lvl>
    <w:lvl w:ilvl="6" w:tplc="2AA2F62A" w:tentative="1">
      <w:start w:val="1"/>
      <w:numFmt w:val="decimal"/>
      <w:lvlText w:val="%7."/>
      <w:lvlJc w:val="left"/>
      <w:pPr>
        <w:ind w:left="5040" w:hanging="360"/>
      </w:pPr>
    </w:lvl>
    <w:lvl w:ilvl="7" w:tplc="2EFCF980" w:tentative="1">
      <w:start w:val="1"/>
      <w:numFmt w:val="lowerLetter"/>
      <w:lvlText w:val="%8."/>
      <w:lvlJc w:val="left"/>
      <w:pPr>
        <w:ind w:left="5760" w:hanging="360"/>
      </w:pPr>
    </w:lvl>
    <w:lvl w:ilvl="8" w:tplc="24F4078C" w:tentative="1">
      <w:start w:val="1"/>
      <w:numFmt w:val="lowerRoman"/>
      <w:lvlText w:val="%9."/>
      <w:lvlJc w:val="right"/>
      <w:pPr>
        <w:ind w:left="6480" w:hanging="180"/>
      </w:pPr>
    </w:lvl>
  </w:abstractNum>
  <w:abstractNum w:abstractNumId="10" w15:restartNumberingAfterBreak="0">
    <w:nsid w:val="76AB543C"/>
    <w:multiLevelType w:val="hybridMultilevel"/>
    <w:tmpl w:val="BE66F9EE"/>
    <w:lvl w:ilvl="0" w:tplc="0D3AC1FA">
      <w:start w:val="1"/>
      <w:numFmt w:val="decimal"/>
      <w:lvlText w:val="%1."/>
      <w:lvlJc w:val="left"/>
      <w:pPr>
        <w:ind w:left="720" w:hanging="360"/>
      </w:pPr>
      <w:rPr>
        <w:rFonts w:cs="Times New Roman" w:hint="cs"/>
        <w:rtl w:val="0"/>
        <w:cs w:val="0"/>
      </w:rPr>
    </w:lvl>
    <w:lvl w:ilvl="1" w:tplc="2CAE892A">
      <w:start w:val="1"/>
      <w:numFmt w:val="lowerLetter"/>
      <w:lvlText w:val="%2."/>
      <w:lvlJc w:val="left"/>
      <w:pPr>
        <w:ind w:left="1440" w:hanging="360"/>
      </w:pPr>
      <w:rPr>
        <w:rFonts w:cs="Times New Roman" w:hint="cs"/>
        <w:rtl w:val="0"/>
        <w:cs w:val="0"/>
      </w:rPr>
    </w:lvl>
    <w:lvl w:ilvl="2" w:tplc="822C37E0">
      <w:start w:val="1"/>
      <w:numFmt w:val="lowerRoman"/>
      <w:lvlText w:val="%3."/>
      <w:lvlJc w:val="right"/>
      <w:pPr>
        <w:ind w:left="2160" w:hanging="180"/>
      </w:pPr>
      <w:rPr>
        <w:rFonts w:cs="Times New Roman" w:hint="cs"/>
        <w:rtl w:val="0"/>
        <w:cs w:val="0"/>
      </w:rPr>
    </w:lvl>
    <w:lvl w:ilvl="3" w:tplc="14623B80">
      <w:start w:val="1"/>
      <w:numFmt w:val="decimal"/>
      <w:lvlText w:val="%4."/>
      <w:lvlJc w:val="left"/>
      <w:pPr>
        <w:ind w:left="2880" w:hanging="360"/>
      </w:pPr>
      <w:rPr>
        <w:rFonts w:cs="Times New Roman" w:hint="cs"/>
        <w:rtl w:val="0"/>
        <w:cs w:val="0"/>
      </w:rPr>
    </w:lvl>
    <w:lvl w:ilvl="4" w:tplc="F0905BC4">
      <w:start w:val="1"/>
      <w:numFmt w:val="lowerLetter"/>
      <w:lvlText w:val="%5."/>
      <w:lvlJc w:val="left"/>
      <w:pPr>
        <w:ind w:left="3600" w:hanging="360"/>
      </w:pPr>
      <w:rPr>
        <w:rFonts w:cs="Times New Roman" w:hint="cs"/>
        <w:rtl w:val="0"/>
        <w:cs w:val="0"/>
      </w:rPr>
    </w:lvl>
    <w:lvl w:ilvl="5" w:tplc="C39E132A">
      <w:start w:val="1"/>
      <w:numFmt w:val="lowerRoman"/>
      <w:lvlText w:val="%6."/>
      <w:lvlJc w:val="right"/>
      <w:pPr>
        <w:ind w:left="4320" w:hanging="180"/>
      </w:pPr>
      <w:rPr>
        <w:rFonts w:cs="Times New Roman" w:hint="cs"/>
        <w:rtl w:val="0"/>
        <w:cs w:val="0"/>
      </w:rPr>
    </w:lvl>
    <w:lvl w:ilvl="6" w:tplc="A7F4E3C4">
      <w:start w:val="1"/>
      <w:numFmt w:val="decimal"/>
      <w:lvlText w:val="%7."/>
      <w:lvlJc w:val="left"/>
      <w:pPr>
        <w:ind w:left="5040" w:hanging="360"/>
      </w:pPr>
      <w:rPr>
        <w:rFonts w:cs="Times New Roman" w:hint="cs"/>
        <w:rtl w:val="0"/>
        <w:cs w:val="0"/>
      </w:rPr>
    </w:lvl>
    <w:lvl w:ilvl="7" w:tplc="680C18E4">
      <w:start w:val="1"/>
      <w:numFmt w:val="lowerLetter"/>
      <w:lvlText w:val="%8."/>
      <w:lvlJc w:val="left"/>
      <w:pPr>
        <w:ind w:left="5760" w:hanging="360"/>
      </w:pPr>
      <w:rPr>
        <w:rFonts w:cs="Times New Roman" w:hint="cs"/>
        <w:rtl w:val="0"/>
        <w:cs w:val="0"/>
      </w:rPr>
    </w:lvl>
    <w:lvl w:ilvl="8" w:tplc="648E0324">
      <w:start w:val="1"/>
      <w:numFmt w:val="lowerRoman"/>
      <w:lvlText w:val="%9."/>
      <w:lvlJc w:val="right"/>
      <w:pPr>
        <w:ind w:left="6480" w:hanging="180"/>
      </w:pPr>
      <w:rPr>
        <w:rFonts w:cs="Times New Roman" w:hint="cs"/>
        <w:rtl w:val="0"/>
        <w:cs w:val="0"/>
      </w:rPr>
    </w:lvl>
  </w:abstractNum>
  <w:num w:numId="1">
    <w:abstractNumId w:val="6"/>
  </w:num>
  <w:num w:numId="2">
    <w:abstractNumId w:val="10"/>
  </w:num>
  <w:num w:numId="3">
    <w:abstractNumId w:val="1"/>
  </w:num>
  <w:num w:numId="4">
    <w:abstractNumId w:val="8"/>
  </w:num>
  <w:num w:numId="5">
    <w:abstractNumId w:val="5"/>
  </w:num>
  <w:num w:numId="6">
    <w:abstractNumId w:val="9"/>
  </w:num>
  <w:num w:numId="7">
    <w:abstractNumId w:val="4"/>
  </w:num>
  <w:num w:numId="8">
    <w:abstractNumId w:val="2"/>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ivug" w:val="0"/>
  </w:docVars>
  <w:rsids>
    <w:rsidRoot w:val="00657E13"/>
    <w:rsid w:val="000009B3"/>
    <w:rsid w:val="00001B7F"/>
    <w:rsid w:val="00003A85"/>
    <w:rsid w:val="00007715"/>
    <w:rsid w:val="00011C60"/>
    <w:rsid w:val="00012853"/>
    <w:rsid w:val="000135DE"/>
    <w:rsid w:val="00016312"/>
    <w:rsid w:val="00024847"/>
    <w:rsid w:val="00024B68"/>
    <w:rsid w:val="00026105"/>
    <w:rsid w:val="0003203F"/>
    <w:rsid w:val="00032271"/>
    <w:rsid w:val="0003289D"/>
    <w:rsid w:val="000351A2"/>
    <w:rsid w:val="00035A6C"/>
    <w:rsid w:val="00043185"/>
    <w:rsid w:val="0004391B"/>
    <w:rsid w:val="000500AE"/>
    <w:rsid w:val="00050457"/>
    <w:rsid w:val="000546E6"/>
    <w:rsid w:val="00054D09"/>
    <w:rsid w:val="00061B78"/>
    <w:rsid w:val="00061E99"/>
    <w:rsid w:val="0006277E"/>
    <w:rsid w:val="000660A9"/>
    <w:rsid w:val="00067061"/>
    <w:rsid w:val="00070867"/>
    <w:rsid w:val="00070E71"/>
    <w:rsid w:val="0007119B"/>
    <w:rsid w:val="000743F3"/>
    <w:rsid w:val="000750D9"/>
    <w:rsid w:val="00076217"/>
    <w:rsid w:val="00077157"/>
    <w:rsid w:val="00080C1B"/>
    <w:rsid w:val="0008103D"/>
    <w:rsid w:val="00082334"/>
    <w:rsid w:val="00082B1D"/>
    <w:rsid w:val="00086EAB"/>
    <w:rsid w:val="00087CA6"/>
    <w:rsid w:val="0009051B"/>
    <w:rsid w:val="00091343"/>
    <w:rsid w:val="0009255E"/>
    <w:rsid w:val="00092EDA"/>
    <w:rsid w:val="00093575"/>
    <w:rsid w:val="0009586E"/>
    <w:rsid w:val="000960C7"/>
    <w:rsid w:val="00096518"/>
    <w:rsid w:val="00096884"/>
    <w:rsid w:val="00097FD9"/>
    <w:rsid w:val="000A00E3"/>
    <w:rsid w:val="000A30A8"/>
    <w:rsid w:val="000A5869"/>
    <w:rsid w:val="000A58E2"/>
    <w:rsid w:val="000A6544"/>
    <w:rsid w:val="000A764E"/>
    <w:rsid w:val="000A7CBE"/>
    <w:rsid w:val="000B0892"/>
    <w:rsid w:val="000B13C8"/>
    <w:rsid w:val="000B193C"/>
    <w:rsid w:val="000B21B4"/>
    <w:rsid w:val="000B29BB"/>
    <w:rsid w:val="000B3AF9"/>
    <w:rsid w:val="000B5474"/>
    <w:rsid w:val="000C7103"/>
    <w:rsid w:val="000C7F95"/>
    <w:rsid w:val="000D3839"/>
    <w:rsid w:val="000D4516"/>
    <w:rsid w:val="000D50F0"/>
    <w:rsid w:val="000E0533"/>
    <w:rsid w:val="000E279F"/>
    <w:rsid w:val="000E2BCC"/>
    <w:rsid w:val="000E31E8"/>
    <w:rsid w:val="000E47AB"/>
    <w:rsid w:val="000E6BA6"/>
    <w:rsid w:val="000F1CE1"/>
    <w:rsid w:val="000F3A52"/>
    <w:rsid w:val="00101C9B"/>
    <w:rsid w:val="00102EA5"/>
    <w:rsid w:val="00103270"/>
    <w:rsid w:val="001045F0"/>
    <w:rsid w:val="001115F1"/>
    <w:rsid w:val="00112C7C"/>
    <w:rsid w:val="0011330C"/>
    <w:rsid w:val="0011380D"/>
    <w:rsid w:val="00113C26"/>
    <w:rsid w:val="0011401C"/>
    <w:rsid w:val="001144C6"/>
    <w:rsid w:val="00114774"/>
    <w:rsid w:val="00114C47"/>
    <w:rsid w:val="00114FFA"/>
    <w:rsid w:val="001151AF"/>
    <w:rsid w:val="00115B81"/>
    <w:rsid w:val="001165A9"/>
    <w:rsid w:val="00121398"/>
    <w:rsid w:val="001213AE"/>
    <w:rsid w:val="00127601"/>
    <w:rsid w:val="001319DA"/>
    <w:rsid w:val="00132AE9"/>
    <w:rsid w:val="001343DD"/>
    <w:rsid w:val="00137B14"/>
    <w:rsid w:val="00140001"/>
    <w:rsid w:val="00142DDD"/>
    <w:rsid w:val="00144792"/>
    <w:rsid w:val="00144EC3"/>
    <w:rsid w:val="00147329"/>
    <w:rsid w:val="00150B34"/>
    <w:rsid w:val="00150D5F"/>
    <w:rsid w:val="001524B2"/>
    <w:rsid w:val="00152FAB"/>
    <w:rsid w:val="00154F81"/>
    <w:rsid w:val="001552EB"/>
    <w:rsid w:val="00156278"/>
    <w:rsid w:val="0015746C"/>
    <w:rsid w:val="00160F40"/>
    <w:rsid w:val="00161208"/>
    <w:rsid w:val="00164656"/>
    <w:rsid w:val="00170A45"/>
    <w:rsid w:val="0017349D"/>
    <w:rsid w:val="00174601"/>
    <w:rsid w:val="00176D00"/>
    <w:rsid w:val="00177BD0"/>
    <w:rsid w:val="00184D06"/>
    <w:rsid w:val="0018536D"/>
    <w:rsid w:val="001863E2"/>
    <w:rsid w:val="00187108"/>
    <w:rsid w:val="0018793D"/>
    <w:rsid w:val="00187C5C"/>
    <w:rsid w:val="00190800"/>
    <w:rsid w:val="001917DD"/>
    <w:rsid w:val="001938FA"/>
    <w:rsid w:val="00193D29"/>
    <w:rsid w:val="00195766"/>
    <w:rsid w:val="001A4496"/>
    <w:rsid w:val="001A58FA"/>
    <w:rsid w:val="001B12DC"/>
    <w:rsid w:val="001B16EB"/>
    <w:rsid w:val="001B2F48"/>
    <w:rsid w:val="001B340B"/>
    <w:rsid w:val="001B37AC"/>
    <w:rsid w:val="001B591E"/>
    <w:rsid w:val="001C6304"/>
    <w:rsid w:val="001D0461"/>
    <w:rsid w:val="001D18FA"/>
    <w:rsid w:val="001D541F"/>
    <w:rsid w:val="001D63DE"/>
    <w:rsid w:val="001D7631"/>
    <w:rsid w:val="001E03D0"/>
    <w:rsid w:val="001E06BB"/>
    <w:rsid w:val="001E14C3"/>
    <w:rsid w:val="001E5935"/>
    <w:rsid w:val="001E6C99"/>
    <w:rsid w:val="001E7543"/>
    <w:rsid w:val="001E7727"/>
    <w:rsid w:val="001E7A6F"/>
    <w:rsid w:val="001F47D1"/>
    <w:rsid w:val="001F608C"/>
    <w:rsid w:val="001F7865"/>
    <w:rsid w:val="002053E9"/>
    <w:rsid w:val="00205B4D"/>
    <w:rsid w:val="00210011"/>
    <w:rsid w:val="00212C5D"/>
    <w:rsid w:val="00213849"/>
    <w:rsid w:val="002143D7"/>
    <w:rsid w:val="0021489D"/>
    <w:rsid w:val="00214987"/>
    <w:rsid w:val="002152B0"/>
    <w:rsid w:val="00222496"/>
    <w:rsid w:val="002227CE"/>
    <w:rsid w:val="00222EEC"/>
    <w:rsid w:val="00227DCE"/>
    <w:rsid w:val="002301A2"/>
    <w:rsid w:val="002303FB"/>
    <w:rsid w:val="00233C27"/>
    <w:rsid w:val="0023537F"/>
    <w:rsid w:val="0023596F"/>
    <w:rsid w:val="00241E1F"/>
    <w:rsid w:val="00243858"/>
    <w:rsid w:val="00244AA6"/>
    <w:rsid w:val="00245F14"/>
    <w:rsid w:val="002469BF"/>
    <w:rsid w:val="002513A5"/>
    <w:rsid w:val="00251C6F"/>
    <w:rsid w:val="002537CA"/>
    <w:rsid w:val="002548FE"/>
    <w:rsid w:val="00254B27"/>
    <w:rsid w:val="00255D34"/>
    <w:rsid w:val="00256433"/>
    <w:rsid w:val="00256DB4"/>
    <w:rsid w:val="00257EFD"/>
    <w:rsid w:val="0026560F"/>
    <w:rsid w:val="002662FB"/>
    <w:rsid w:val="00273892"/>
    <w:rsid w:val="00273A32"/>
    <w:rsid w:val="00273C5A"/>
    <w:rsid w:val="0027626A"/>
    <w:rsid w:val="00276B51"/>
    <w:rsid w:val="00282DFA"/>
    <w:rsid w:val="00283B41"/>
    <w:rsid w:val="00286841"/>
    <w:rsid w:val="002913C6"/>
    <w:rsid w:val="0029242C"/>
    <w:rsid w:val="00295868"/>
    <w:rsid w:val="002964BE"/>
    <w:rsid w:val="00297FD5"/>
    <w:rsid w:val="002A0B3E"/>
    <w:rsid w:val="002A2AA7"/>
    <w:rsid w:val="002A338A"/>
    <w:rsid w:val="002A5C67"/>
    <w:rsid w:val="002A6221"/>
    <w:rsid w:val="002B1ADA"/>
    <w:rsid w:val="002B29A8"/>
    <w:rsid w:val="002B40FA"/>
    <w:rsid w:val="002C3C03"/>
    <w:rsid w:val="002C6439"/>
    <w:rsid w:val="002D2556"/>
    <w:rsid w:val="002D2931"/>
    <w:rsid w:val="002D3245"/>
    <w:rsid w:val="002D4018"/>
    <w:rsid w:val="002D5B54"/>
    <w:rsid w:val="002E10C1"/>
    <w:rsid w:val="002E1AD4"/>
    <w:rsid w:val="002E235F"/>
    <w:rsid w:val="002E3533"/>
    <w:rsid w:val="002E5582"/>
    <w:rsid w:val="002E5715"/>
    <w:rsid w:val="002E60DD"/>
    <w:rsid w:val="002E748A"/>
    <w:rsid w:val="002F12DD"/>
    <w:rsid w:val="002F1D79"/>
    <w:rsid w:val="003026CF"/>
    <w:rsid w:val="00302D46"/>
    <w:rsid w:val="00303E93"/>
    <w:rsid w:val="00305E8F"/>
    <w:rsid w:val="003120B9"/>
    <w:rsid w:val="00315897"/>
    <w:rsid w:val="00315A15"/>
    <w:rsid w:val="003174F5"/>
    <w:rsid w:val="003209D7"/>
    <w:rsid w:val="00331A7A"/>
    <w:rsid w:val="003363AC"/>
    <w:rsid w:val="003369C5"/>
    <w:rsid w:val="0033784A"/>
    <w:rsid w:val="00337A9C"/>
    <w:rsid w:val="003409CB"/>
    <w:rsid w:val="00343C71"/>
    <w:rsid w:val="00347FAE"/>
    <w:rsid w:val="003511E1"/>
    <w:rsid w:val="0035604D"/>
    <w:rsid w:val="00360CC2"/>
    <w:rsid w:val="0036330B"/>
    <w:rsid w:val="0036381E"/>
    <w:rsid w:val="00365403"/>
    <w:rsid w:val="0036602B"/>
    <w:rsid w:val="00366863"/>
    <w:rsid w:val="0036749B"/>
    <w:rsid w:val="00372629"/>
    <w:rsid w:val="003733C4"/>
    <w:rsid w:val="00375A85"/>
    <w:rsid w:val="00376524"/>
    <w:rsid w:val="0037662D"/>
    <w:rsid w:val="00376A8E"/>
    <w:rsid w:val="00376D06"/>
    <w:rsid w:val="00377627"/>
    <w:rsid w:val="0038043B"/>
    <w:rsid w:val="003807CE"/>
    <w:rsid w:val="003818DC"/>
    <w:rsid w:val="00392A12"/>
    <w:rsid w:val="00395C1E"/>
    <w:rsid w:val="003A33FE"/>
    <w:rsid w:val="003A55E7"/>
    <w:rsid w:val="003A59A3"/>
    <w:rsid w:val="003A5AFE"/>
    <w:rsid w:val="003B213E"/>
    <w:rsid w:val="003B3FEA"/>
    <w:rsid w:val="003B6566"/>
    <w:rsid w:val="003C4401"/>
    <w:rsid w:val="003C6347"/>
    <w:rsid w:val="003D10EA"/>
    <w:rsid w:val="003D1BF5"/>
    <w:rsid w:val="003D39AF"/>
    <w:rsid w:val="003D5352"/>
    <w:rsid w:val="003D709A"/>
    <w:rsid w:val="003E1A88"/>
    <w:rsid w:val="003E2CAE"/>
    <w:rsid w:val="003E6D72"/>
    <w:rsid w:val="003F408E"/>
    <w:rsid w:val="003F5331"/>
    <w:rsid w:val="003F73E5"/>
    <w:rsid w:val="003F76E2"/>
    <w:rsid w:val="00402EDC"/>
    <w:rsid w:val="00405D88"/>
    <w:rsid w:val="00407F10"/>
    <w:rsid w:val="0041039F"/>
    <w:rsid w:val="00411133"/>
    <w:rsid w:val="004115D3"/>
    <w:rsid w:val="00412E2E"/>
    <w:rsid w:val="00413873"/>
    <w:rsid w:val="00413A95"/>
    <w:rsid w:val="00415AA0"/>
    <w:rsid w:val="004168CD"/>
    <w:rsid w:val="00420F27"/>
    <w:rsid w:val="0042213A"/>
    <w:rsid w:val="00422A25"/>
    <w:rsid w:val="00424D77"/>
    <w:rsid w:val="00425645"/>
    <w:rsid w:val="0043400A"/>
    <w:rsid w:val="00435A1D"/>
    <w:rsid w:val="00440860"/>
    <w:rsid w:val="00442D49"/>
    <w:rsid w:val="004444C1"/>
    <w:rsid w:val="00447423"/>
    <w:rsid w:val="0044760A"/>
    <w:rsid w:val="00453769"/>
    <w:rsid w:val="0045715C"/>
    <w:rsid w:val="004573FE"/>
    <w:rsid w:val="00461401"/>
    <w:rsid w:val="004638EF"/>
    <w:rsid w:val="004643C2"/>
    <w:rsid w:val="00465203"/>
    <w:rsid w:val="00465EAF"/>
    <w:rsid w:val="00473375"/>
    <w:rsid w:val="0047478D"/>
    <w:rsid w:val="00475FDC"/>
    <w:rsid w:val="00477115"/>
    <w:rsid w:val="004806D4"/>
    <w:rsid w:val="004809C9"/>
    <w:rsid w:val="00482DBA"/>
    <w:rsid w:val="00483773"/>
    <w:rsid w:val="00483DDF"/>
    <w:rsid w:val="00486479"/>
    <w:rsid w:val="004867AF"/>
    <w:rsid w:val="004905A8"/>
    <w:rsid w:val="0049332C"/>
    <w:rsid w:val="00493563"/>
    <w:rsid w:val="004955A0"/>
    <w:rsid w:val="00495934"/>
    <w:rsid w:val="004A2857"/>
    <w:rsid w:val="004A66F9"/>
    <w:rsid w:val="004B142D"/>
    <w:rsid w:val="004B147F"/>
    <w:rsid w:val="004B6065"/>
    <w:rsid w:val="004B675A"/>
    <w:rsid w:val="004B77F3"/>
    <w:rsid w:val="004C414B"/>
    <w:rsid w:val="004C43FE"/>
    <w:rsid w:val="004C5F7A"/>
    <w:rsid w:val="004C7119"/>
    <w:rsid w:val="004D3FB3"/>
    <w:rsid w:val="004D5833"/>
    <w:rsid w:val="004E10DB"/>
    <w:rsid w:val="004E250C"/>
    <w:rsid w:val="004E2FC3"/>
    <w:rsid w:val="004E3DC4"/>
    <w:rsid w:val="004E6FA1"/>
    <w:rsid w:val="004F032D"/>
    <w:rsid w:val="004F1773"/>
    <w:rsid w:val="004F33EB"/>
    <w:rsid w:val="004F5D90"/>
    <w:rsid w:val="004F7006"/>
    <w:rsid w:val="0050147B"/>
    <w:rsid w:val="0050414E"/>
    <w:rsid w:val="005068B8"/>
    <w:rsid w:val="00506EF0"/>
    <w:rsid w:val="00507099"/>
    <w:rsid w:val="00507197"/>
    <w:rsid w:val="00507FA5"/>
    <w:rsid w:val="00510C8B"/>
    <w:rsid w:val="0051141C"/>
    <w:rsid w:val="00511772"/>
    <w:rsid w:val="0051285E"/>
    <w:rsid w:val="00514772"/>
    <w:rsid w:val="00514997"/>
    <w:rsid w:val="005179C2"/>
    <w:rsid w:val="00520DF7"/>
    <w:rsid w:val="00520EDB"/>
    <w:rsid w:val="005211B6"/>
    <w:rsid w:val="005214EA"/>
    <w:rsid w:val="005248CD"/>
    <w:rsid w:val="005275FE"/>
    <w:rsid w:val="0053009D"/>
    <w:rsid w:val="00531439"/>
    <w:rsid w:val="00533A73"/>
    <w:rsid w:val="0053504B"/>
    <w:rsid w:val="005352B2"/>
    <w:rsid w:val="00535682"/>
    <w:rsid w:val="00535A24"/>
    <w:rsid w:val="00546D22"/>
    <w:rsid w:val="00546E43"/>
    <w:rsid w:val="00553153"/>
    <w:rsid w:val="00553C0E"/>
    <w:rsid w:val="00554BD2"/>
    <w:rsid w:val="0055568C"/>
    <w:rsid w:val="00556339"/>
    <w:rsid w:val="00560CCB"/>
    <w:rsid w:val="00560F18"/>
    <w:rsid w:val="0056454B"/>
    <w:rsid w:val="00567510"/>
    <w:rsid w:val="005704DE"/>
    <w:rsid w:val="005714BD"/>
    <w:rsid w:val="00575E9E"/>
    <w:rsid w:val="00577520"/>
    <w:rsid w:val="0058186D"/>
    <w:rsid w:val="005827FC"/>
    <w:rsid w:val="00584992"/>
    <w:rsid w:val="00585215"/>
    <w:rsid w:val="00586F50"/>
    <w:rsid w:val="0059004B"/>
    <w:rsid w:val="005935B9"/>
    <w:rsid w:val="005A1D15"/>
    <w:rsid w:val="005A3889"/>
    <w:rsid w:val="005A63F8"/>
    <w:rsid w:val="005B061C"/>
    <w:rsid w:val="005B3221"/>
    <w:rsid w:val="005B394E"/>
    <w:rsid w:val="005B741A"/>
    <w:rsid w:val="005C07B0"/>
    <w:rsid w:val="005C419C"/>
    <w:rsid w:val="005C7712"/>
    <w:rsid w:val="005D08BB"/>
    <w:rsid w:val="005D2489"/>
    <w:rsid w:val="005D3E19"/>
    <w:rsid w:val="005E04CB"/>
    <w:rsid w:val="005E0B4C"/>
    <w:rsid w:val="005E334D"/>
    <w:rsid w:val="005E4821"/>
    <w:rsid w:val="005F1B62"/>
    <w:rsid w:val="005F1ECD"/>
    <w:rsid w:val="005F2CDB"/>
    <w:rsid w:val="005F3564"/>
    <w:rsid w:val="005F3FF3"/>
    <w:rsid w:val="005F4F4F"/>
    <w:rsid w:val="00603B8A"/>
    <w:rsid w:val="0061310D"/>
    <w:rsid w:val="00614361"/>
    <w:rsid w:val="0061454D"/>
    <w:rsid w:val="00615512"/>
    <w:rsid w:val="0061633B"/>
    <w:rsid w:val="0061698C"/>
    <w:rsid w:val="006219EC"/>
    <w:rsid w:val="00625221"/>
    <w:rsid w:val="006254B2"/>
    <w:rsid w:val="006260B6"/>
    <w:rsid w:val="006262A0"/>
    <w:rsid w:val="00627710"/>
    <w:rsid w:val="00630447"/>
    <w:rsid w:val="00630BCD"/>
    <w:rsid w:val="006320E2"/>
    <w:rsid w:val="006339D9"/>
    <w:rsid w:val="00635E09"/>
    <w:rsid w:val="006368DB"/>
    <w:rsid w:val="00637063"/>
    <w:rsid w:val="00640A1F"/>
    <w:rsid w:val="0064281F"/>
    <w:rsid w:val="00642C6D"/>
    <w:rsid w:val="00646FE8"/>
    <w:rsid w:val="006523F4"/>
    <w:rsid w:val="006525D0"/>
    <w:rsid w:val="00652981"/>
    <w:rsid w:val="00656C8D"/>
    <w:rsid w:val="00657E13"/>
    <w:rsid w:val="00666CAE"/>
    <w:rsid w:val="006733F8"/>
    <w:rsid w:val="00677B06"/>
    <w:rsid w:val="00683E53"/>
    <w:rsid w:val="00685241"/>
    <w:rsid w:val="006929E9"/>
    <w:rsid w:val="00692D47"/>
    <w:rsid w:val="00693399"/>
    <w:rsid w:val="0069521F"/>
    <w:rsid w:val="0069570F"/>
    <w:rsid w:val="00697ACC"/>
    <w:rsid w:val="00697CD2"/>
    <w:rsid w:val="006A12FF"/>
    <w:rsid w:val="006A1731"/>
    <w:rsid w:val="006A232F"/>
    <w:rsid w:val="006A6339"/>
    <w:rsid w:val="006B2602"/>
    <w:rsid w:val="006B4383"/>
    <w:rsid w:val="006B6DA9"/>
    <w:rsid w:val="006C2976"/>
    <w:rsid w:val="006C2A8D"/>
    <w:rsid w:val="006C3EC3"/>
    <w:rsid w:val="006C5615"/>
    <w:rsid w:val="006C5F65"/>
    <w:rsid w:val="006D2623"/>
    <w:rsid w:val="006D45C0"/>
    <w:rsid w:val="006D4A8A"/>
    <w:rsid w:val="006D6636"/>
    <w:rsid w:val="006D6DD2"/>
    <w:rsid w:val="006E02CA"/>
    <w:rsid w:val="006E12CE"/>
    <w:rsid w:val="006E68F3"/>
    <w:rsid w:val="007018BF"/>
    <w:rsid w:val="00701E2A"/>
    <w:rsid w:val="007034F1"/>
    <w:rsid w:val="00704A87"/>
    <w:rsid w:val="00710338"/>
    <w:rsid w:val="0071246A"/>
    <w:rsid w:val="00714A54"/>
    <w:rsid w:val="007163F2"/>
    <w:rsid w:val="00722133"/>
    <w:rsid w:val="0072271B"/>
    <w:rsid w:val="00722DDE"/>
    <w:rsid w:val="007243D2"/>
    <w:rsid w:val="007245A0"/>
    <w:rsid w:val="00725FBD"/>
    <w:rsid w:val="0073006F"/>
    <w:rsid w:val="007300B9"/>
    <w:rsid w:val="007305B2"/>
    <w:rsid w:val="00730C5F"/>
    <w:rsid w:val="00732017"/>
    <w:rsid w:val="007330AD"/>
    <w:rsid w:val="007359B8"/>
    <w:rsid w:val="007405A0"/>
    <w:rsid w:val="0074441C"/>
    <w:rsid w:val="00750D76"/>
    <w:rsid w:val="00750DF5"/>
    <w:rsid w:val="0075162B"/>
    <w:rsid w:val="00754473"/>
    <w:rsid w:val="00762258"/>
    <w:rsid w:val="0076281D"/>
    <w:rsid w:val="00763D1B"/>
    <w:rsid w:val="0076512A"/>
    <w:rsid w:val="0076528B"/>
    <w:rsid w:val="007701A2"/>
    <w:rsid w:val="00771EB7"/>
    <w:rsid w:val="007729AE"/>
    <w:rsid w:val="00777347"/>
    <w:rsid w:val="007817A7"/>
    <w:rsid w:val="00781A81"/>
    <w:rsid w:val="0078351E"/>
    <w:rsid w:val="00783BC8"/>
    <w:rsid w:val="00786354"/>
    <w:rsid w:val="00787553"/>
    <w:rsid w:val="00792D32"/>
    <w:rsid w:val="00794B0A"/>
    <w:rsid w:val="0079531D"/>
    <w:rsid w:val="00797068"/>
    <w:rsid w:val="00797224"/>
    <w:rsid w:val="007A013B"/>
    <w:rsid w:val="007A0E9B"/>
    <w:rsid w:val="007A1E95"/>
    <w:rsid w:val="007A3EAA"/>
    <w:rsid w:val="007A4079"/>
    <w:rsid w:val="007A4FB4"/>
    <w:rsid w:val="007A6C88"/>
    <w:rsid w:val="007A6FB5"/>
    <w:rsid w:val="007A752D"/>
    <w:rsid w:val="007A78C6"/>
    <w:rsid w:val="007B320F"/>
    <w:rsid w:val="007B5074"/>
    <w:rsid w:val="007C366E"/>
    <w:rsid w:val="007C49C9"/>
    <w:rsid w:val="007C595E"/>
    <w:rsid w:val="007D2D22"/>
    <w:rsid w:val="007D59A2"/>
    <w:rsid w:val="007D5B09"/>
    <w:rsid w:val="007D7D7A"/>
    <w:rsid w:val="007E375C"/>
    <w:rsid w:val="007E5A65"/>
    <w:rsid w:val="007E7644"/>
    <w:rsid w:val="007E7F6B"/>
    <w:rsid w:val="007F17A6"/>
    <w:rsid w:val="007F2A18"/>
    <w:rsid w:val="0080006A"/>
    <w:rsid w:val="00800873"/>
    <w:rsid w:val="008034CA"/>
    <w:rsid w:val="00803D8A"/>
    <w:rsid w:val="00806B7D"/>
    <w:rsid w:val="0081108C"/>
    <w:rsid w:val="008136C4"/>
    <w:rsid w:val="008156E0"/>
    <w:rsid w:val="00816B35"/>
    <w:rsid w:val="00816CD3"/>
    <w:rsid w:val="00820CEF"/>
    <w:rsid w:val="00825A0D"/>
    <w:rsid w:val="00825CE5"/>
    <w:rsid w:val="00827B82"/>
    <w:rsid w:val="008304FC"/>
    <w:rsid w:val="0083178A"/>
    <w:rsid w:val="00833E1A"/>
    <w:rsid w:val="00834DA0"/>
    <w:rsid w:val="0083642C"/>
    <w:rsid w:val="008369F4"/>
    <w:rsid w:val="00836D24"/>
    <w:rsid w:val="00837042"/>
    <w:rsid w:val="0084085E"/>
    <w:rsid w:val="008420D4"/>
    <w:rsid w:val="00845095"/>
    <w:rsid w:val="008465AF"/>
    <w:rsid w:val="008465B1"/>
    <w:rsid w:val="00847A75"/>
    <w:rsid w:val="008503CE"/>
    <w:rsid w:val="0085521F"/>
    <w:rsid w:val="008571E8"/>
    <w:rsid w:val="008573D1"/>
    <w:rsid w:val="008573D8"/>
    <w:rsid w:val="00857E06"/>
    <w:rsid w:val="0086369E"/>
    <w:rsid w:val="00863B8E"/>
    <w:rsid w:val="008657E0"/>
    <w:rsid w:val="00871382"/>
    <w:rsid w:val="0087138B"/>
    <w:rsid w:val="00874D08"/>
    <w:rsid w:val="00876715"/>
    <w:rsid w:val="008779C7"/>
    <w:rsid w:val="0088158B"/>
    <w:rsid w:val="00884B4C"/>
    <w:rsid w:val="00886EFE"/>
    <w:rsid w:val="0088724C"/>
    <w:rsid w:val="008908AC"/>
    <w:rsid w:val="008917FB"/>
    <w:rsid w:val="00892E63"/>
    <w:rsid w:val="00894AB9"/>
    <w:rsid w:val="00894FDA"/>
    <w:rsid w:val="00896920"/>
    <w:rsid w:val="0089784F"/>
    <w:rsid w:val="008A0854"/>
    <w:rsid w:val="008A113A"/>
    <w:rsid w:val="008A1FFF"/>
    <w:rsid w:val="008A4D1E"/>
    <w:rsid w:val="008A535F"/>
    <w:rsid w:val="008A60CF"/>
    <w:rsid w:val="008B02A8"/>
    <w:rsid w:val="008B476D"/>
    <w:rsid w:val="008B47EA"/>
    <w:rsid w:val="008B5476"/>
    <w:rsid w:val="008B62CC"/>
    <w:rsid w:val="008C0A95"/>
    <w:rsid w:val="008C0E8A"/>
    <w:rsid w:val="008C166C"/>
    <w:rsid w:val="008C20E3"/>
    <w:rsid w:val="008C2306"/>
    <w:rsid w:val="008C4E3A"/>
    <w:rsid w:val="008C65B2"/>
    <w:rsid w:val="008C6B3E"/>
    <w:rsid w:val="008D0EFE"/>
    <w:rsid w:val="008D0F01"/>
    <w:rsid w:val="008D784B"/>
    <w:rsid w:val="008E1044"/>
    <w:rsid w:val="008E3091"/>
    <w:rsid w:val="008F2A73"/>
    <w:rsid w:val="008F30D0"/>
    <w:rsid w:val="008F5AD8"/>
    <w:rsid w:val="008F5E21"/>
    <w:rsid w:val="008F73E6"/>
    <w:rsid w:val="009009DC"/>
    <w:rsid w:val="009025E4"/>
    <w:rsid w:val="00902652"/>
    <w:rsid w:val="00905871"/>
    <w:rsid w:val="00905E31"/>
    <w:rsid w:val="0090713A"/>
    <w:rsid w:val="00910E66"/>
    <w:rsid w:val="00913836"/>
    <w:rsid w:val="009139C0"/>
    <w:rsid w:val="00913FBF"/>
    <w:rsid w:val="009143D1"/>
    <w:rsid w:val="00914C87"/>
    <w:rsid w:val="009160CE"/>
    <w:rsid w:val="00917CE5"/>
    <w:rsid w:val="0092278D"/>
    <w:rsid w:val="00922E17"/>
    <w:rsid w:val="00925373"/>
    <w:rsid w:val="00930932"/>
    <w:rsid w:val="00930B93"/>
    <w:rsid w:val="00934884"/>
    <w:rsid w:val="00937E86"/>
    <w:rsid w:val="0094046F"/>
    <w:rsid w:val="00940D43"/>
    <w:rsid w:val="00941604"/>
    <w:rsid w:val="0094270A"/>
    <w:rsid w:val="009535E8"/>
    <w:rsid w:val="00955032"/>
    <w:rsid w:val="0095560B"/>
    <w:rsid w:val="00955BC0"/>
    <w:rsid w:val="00956DB5"/>
    <w:rsid w:val="009600A3"/>
    <w:rsid w:val="00960543"/>
    <w:rsid w:val="00961877"/>
    <w:rsid w:val="0096286B"/>
    <w:rsid w:val="00971EAC"/>
    <w:rsid w:val="0097247B"/>
    <w:rsid w:val="00973915"/>
    <w:rsid w:val="00974AF2"/>
    <w:rsid w:val="00976A38"/>
    <w:rsid w:val="00980DAD"/>
    <w:rsid w:val="00986538"/>
    <w:rsid w:val="00986AE3"/>
    <w:rsid w:val="009969C2"/>
    <w:rsid w:val="00996DD6"/>
    <w:rsid w:val="009A1020"/>
    <w:rsid w:val="009A571B"/>
    <w:rsid w:val="009B0035"/>
    <w:rsid w:val="009B257F"/>
    <w:rsid w:val="009B4528"/>
    <w:rsid w:val="009B700C"/>
    <w:rsid w:val="009C14C9"/>
    <w:rsid w:val="009C2711"/>
    <w:rsid w:val="009C4485"/>
    <w:rsid w:val="009D0819"/>
    <w:rsid w:val="009D0BCE"/>
    <w:rsid w:val="009D1693"/>
    <w:rsid w:val="009D16CC"/>
    <w:rsid w:val="009D2CE9"/>
    <w:rsid w:val="009D5B41"/>
    <w:rsid w:val="009E7F99"/>
    <w:rsid w:val="009F079F"/>
    <w:rsid w:val="009F0E63"/>
    <w:rsid w:val="009F1B45"/>
    <w:rsid w:val="009F1E53"/>
    <w:rsid w:val="009F525F"/>
    <w:rsid w:val="009F6B42"/>
    <w:rsid w:val="00A00567"/>
    <w:rsid w:val="00A01DF1"/>
    <w:rsid w:val="00A02F25"/>
    <w:rsid w:val="00A05550"/>
    <w:rsid w:val="00A05D72"/>
    <w:rsid w:val="00A074D5"/>
    <w:rsid w:val="00A11FFC"/>
    <w:rsid w:val="00A1200B"/>
    <w:rsid w:val="00A174A0"/>
    <w:rsid w:val="00A20076"/>
    <w:rsid w:val="00A222A7"/>
    <w:rsid w:val="00A25373"/>
    <w:rsid w:val="00A309EF"/>
    <w:rsid w:val="00A33177"/>
    <w:rsid w:val="00A348FF"/>
    <w:rsid w:val="00A35606"/>
    <w:rsid w:val="00A35FB0"/>
    <w:rsid w:val="00A378D5"/>
    <w:rsid w:val="00A4058F"/>
    <w:rsid w:val="00A4408E"/>
    <w:rsid w:val="00A46A42"/>
    <w:rsid w:val="00A46EBC"/>
    <w:rsid w:val="00A5250B"/>
    <w:rsid w:val="00A56330"/>
    <w:rsid w:val="00A57308"/>
    <w:rsid w:val="00A61DAF"/>
    <w:rsid w:val="00A64CF6"/>
    <w:rsid w:val="00A65BD7"/>
    <w:rsid w:val="00A6629E"/>
    <w:rsid w:val="00A7070D"/>
    <w:rsid w:val="00A8139C"/>
    <w:rsid w:val="00A832FC"/>
    <w:rsid w:val="00A86085"/>
    <w:rsid w:val="00A87F66"/>
    <w:rsid w:val="00A92403"/>
    <w:rsid w:val="00A95780"/>
    <w:rsid w:val="00AA043B"/>
    <w:rsid w:val="00AA0A18"/>
    <w:rsid w:val="00AA0F49"/>
    <w:rsid w:val="00AA15C4"/>
    <w:rsid w:val="00AA1A1F"/>
    <w:rsid w:val="00AA2418"/>
    <w:rsid w:val="00AA33D6"/>
    <w:rsid w:val="00AA4DEB"/>
    <w:rsid w:val="00AA5180"/>
    <w:rsid w:val="00AA5251"/>
    <w:rsid w:val="00AA67BB"/>
    <w:rsid w:val="00AB01A6"/>
    <w:rsid w:val="00AB2753"/>
    <w:rsid w:val="00AB2DFD"/>
    <w:rsid w:val="00AB3EE2"/>
    <w:rsid w:val="00AB5FA6"/>
    <w:rsid w:val="00AB77B0"/>
    <w:rsid w:val="00AB7CB0"/>
    <w:rsid w:val="00AC0C9C"/>
    <w:rsid w:val="00AC0D38"/>
    <w:rsid w:val="00AC5264"/>
    <w:rsid w:val="00AC6218"/>
    <w:rsid w:val="00AC652C"/>
    <w:rsid w:val="00AD028C"/>
    <w:rsid w:val="00AD32EC"/>
    <w:rsid w:val="00AD41DC"/>
    <w:rsid w:val="00AE0336"/>
    <w:rsid w:val="00AE2BD1"/>
    <w:rsid w:val="00AE3D19"/>
    <w:rsid w:val="00AE449E"/>
    <w:rsid w:val="00AF0842"/>
    <w:rsid w:val="00AF15F2"/>
    <w:rsid w:val="00AF3B88"/>
    <w:rsid w:val="00AF4EDF"/>
    <w:rsid w:val="00AF5492"/>
    <w:rsid w:val="00B00286"/>
    <w:rsid w:val="00B005F9"/>
    <w:rsid w:val="00B02EDD"/>
    <w:rsid w:val="00B03665"/>
    <w:rsid w:val="00B04E79"/>
    <w:rsid w:val="00B0587B"/>
    <w:rsid w:val="00B07033"/>
    <w:rsid w:val="00B0750A"/>
    <w:rsid w:val="00B1304E"/>
    <w:rsid w:val="00B163FC"/>
    <w:rsid w:val="00B23B13"/>
    <w:rsid w:val="00B249C6"/>
    <w:rsid w:val="00B2589E"/>
    <w:rsid w:val="00B2634C"/>
    <w:rsid w:val="00B26E73"/>
    <w:rsid w:val="00B313CA"/>
    <w:rsid w:val="00B31E95"/>
    <w:rsid w:val="00B3246B"/>
    <w:rsid w:val="00B32E45"/>
    <w:rsid w:val="00B3372E"/>
    <w:rsid w:val="00B35BBD"/>
    <w:rsid w:val="00B47AE6"/>
    <w:rsid w:val="00B47CFC"/>
    <w:rsid w:val="00B47D03"/>
    <w:rsid w:val="00B52929"/>
    <w:rsid w:val="00B541A6"/>
    <w:rsid w:val="00B5567A"/>
    <w:rsid w:val="00B55AEF"/>
    <w:rsid w:val="00B57A8F"/>
    <w:rsid w:val="00B641D6"/>
    <w:rsid w:val="00B64DED"/>
    <w:rsid w:val="00B65383"/>
    <w:rsid w:val="00B65873"/>
    <w:rsid w:val="00B71053"/>
    <w:rsid w:val="00B716D8"/>
    <w:rsid w:val="00B73CB7"/>
    <w:rsid w:val="00B746CC"/>
    <w:rsid w:val="00B805EA"/>
    <w:rsid w:val="00B80DC6"/>
    <w:rsid w:val="00B86A98"/>
    <w:rsid w:val="00B914C5"/>
    <w:rsid w:val="00B9259F"/>
    <w:rsid w:val="00B944F4"/>
    <w:rsid w:val="00B94D63"/>
    <w:rsid w:val="00B9708A"/>
    <w:rsid w:val="00B978AF"/>
    <w:rsid w:val="00B979CE"/>
    <w:rsid w:val="00BA0ECA"/>
    <w:rsid w:val="00BA1AF3"/>
    <w:rsid w:val="00BA3253"/>
    <w:rsid w:val="00BA6D10"/>
    <w:rsid w:val="00BB1366"/>
    <w:rsid w:val="00BB3E6C"/>
    <w:rsid w:val="00BB6402"/>
    <w:rsid w:val="00BC08A9"/>
    <w:rsid w:val="00BC098E"/>
    <w:rsid w:val="00BC1F7A"/>
    <w:rsid w:val="00BC6C40"/>
    <w:rsid w:val="00BD2260"/>
    <w:rsid w:val="00BD4DBD"/>
    <w:rsid w:val="00BE211D"/>
    <w:rsid w:val="00BE2E09"/>
    <w:rsid w:val="00BE499B"/>
    <w:rsid w:val="00BF40A5"/>
    <w:rsid w:val="00BF432D"/>
    <w:rsid w:val="00BF66AE"/>
    <w:rsid w:val="00BF6739"/>
    <w:rsid w:val="00BF7685"/>
    <w:rsid w:val="00C00728"/>
    <w:rsid w:val="00C01770"/>
    <w:rsid w:val="00C01827"/>
    <w:rsid w:val="00C03403"/>
    <w:rsid w:val="00C04D15"/>
    <w:rsid w:val="00C1185A"/>
    <w:rsid w:val="00C124FC"/>
    <w:rsid w:val="00C25FC3"/>
    <w:rsid w:val="00C275BE"/>
    <w:rsid w:val="00C27BD8"/>
    <w:rsid w:val="00C31DB9"/>
    <w:rsid w:val="00C35A10"/>
    <w:rsid w:val="00C35F92"/>
    <w:rsid w:val="00C36727"/>
    <w:rsid w:val="00C3793E"/>
    <w:rsid w:val="00C37C0D"/>
    <w:rsid w:val="00C40169"/>
    <w:rsid w:val="00C40BF1"/>
    <w:rsid w:val="00C42292"/>
    <w:rsid w:val="00C43F58"/>
    <w:rsid w:val="00C44E52"/>
    <w:rsid w:val="00C46CBF"/>
    <w:rsid w:val="00C4706E"/>
    <w:rsid w:val="00C47ABA"/>
    <w:rsid w:val="00C56A85"/>
    <w:rsid w:val="00C56FA3"/>
    <w:rsid w:val="00C6160C"/>
    <w:rsid w:val="00C62757"/>
    <w:rsid w:val="00C6309F"/>
    <w:rsid w:val="00C63E17"/>
    <w:rsid w:val="00C66434"/>
    <w:rsid w:val="00C66F24"/>
    <w:rsid w:val="00C7268D"/>
    <w:rsid w:val="00C740B3"/>
    <w:rsid w:val="00C81258"/>
    <w:rsid w:val="00C81B74"/>
    <w:rsid w:val="00C860FB"/>
    <w:rsid w:val="00C90F41"/>
    <w:rsid w:val="00C94636"/>
    <w:rsid w:val="00C94752"/>
    <w:rsid w:val="00C94DF8"/>
    <w:rsid w:val="00C95C57"/>
    <w:rsid w:val="00C96A54"/>
    <w:rsid w:val="00C9711C"/>
    <w:rsid w:val="00C97D7F"/>
    <w:rsid w:val="00CA3A99"/>
    <w:rsid w:val="00CA5369"/>
    <w:rsid w:val="00CB1130"/>
    <w:rsid w:val="00CB1572"/>
    <w:rsid w:val="00CB47FA"/>
    <w:rsid w:val="00CB5265"/>
    <w:rsid w:val="00CB79D7"/>
    <w:rsid w:val="00CB7BCB"/>
    <w:rsid w:val="00CC03DA"/>
    <w:rsid w:val="00CC11B8"/>
    <w:rsid w:val="00CC14D2"/>
    <w:rsid w:val="00CC18B9"/>
    <w:rsid w:val="00CC259D"/>
    <w:rsid w:val="00CC2F3E"/>
    <w:rsid w:val="00CC3B4B"/>
    <w:rsid w:val="00CC4616"/>
    <w:rsid w:val="00CC58FD"/>
    <w:rsid w:val="00CC658B"/>
    <w:rsid w:val="00CC7A73"/>
    <w:rsid w:val="00CD33F2"/>
    <w:rsid w:val="00CD4BF4"/>
    <w:rsid w:val="00CD6E79"/>
    <w:rsid w:val="00CE118D"/>
    <w:rsid w:val="00CE273C"/>
    <w:rsid w:val="00CE3363"/>
    <w:rsid w:val="00CE7723"/>
    <w:rsid w:val="00CF1E19"/>
    <w:rsid w:val="00CF1FE7"/>
    <w:rsid w:val="00CF250B"/>
    <w:rsid w:val="00CF39A5"/>
    <w:rsid w:val="00CF3E04"/>
    <w:rsid w:val="00CF4C38"/>
    <w:rsid w:val="00CF7747"/>
    <w:rsid w:val="00CF7C66"/>
    <w:rsid w:val="00D130D8"/>
    <w:rsid w:val="00D147B7"/>
    <w:rsid w:val="00D16757"/>
    <w:rsid w:val="00D16981"/>
    <w:rsid w:val="00D22323"/>
    <w:rsid w:val="00D24B39"/>
    <w:rsid w:val="00D24ED8"/>
    <w:rsid w:val="00D279FB"/>
    <w:rsid w:val="00D30792"/>
    <w:rsid w:val="00D3443B"/>
    <w:rsid w:val="00D35C2B"/>
    <w:rsid w:val="00D40CE6"/>
    <w:rsid w:val="00D44EAF"/>
    <w:rsid w:val="00D477BB"/>
    <w:rsid w:val="00D54EBC"/>
    <w:rsid w:val="00D617E4"/>
    <w:rsid w:val="00D6277F"/>
    <w:rsid w:val="00D62D25"/>
    <w:rsid w:val="00D65869"/>
    <w:rsid w:val="00D67191"/>
    <w:rsid w:val="00D71681"/>
    <w:rsid w:val="00D734A4"/>
    <w:rsid w:val="00D7422D"/>
    <w:rsid w:val="00D7556C"/>
    <w:rsid w:val="00D76AF0"/>
    <w:rsid w:val="00D7706D"/>
    <w:rsid w:val="00D8084B"/>
    <w:rsid w:val="00D8304F"/>
    <w:rsid w:val="00D8436D"/>
    <w:rsid w:val="00D85BB2"/>
    <w:rsid w:val="00D861CF"/>
    <w:rsid w:val="00D87DB2"/>
    <w:rsid w:val="00D928DD"/>
    <w:rsid w:val="00D9499F"/>
    <w:rsid w:val="00D97E43"/>
    <w:rsid w:val="00DA0A77"/>
    <w:rsid w:val="00DA6080"/>
    <w:rsid w:val="00DA7B26"/>
    <w:rsid w:val="00DB2892"/>
    <w:rsid w:val="00DB406F"/>
    <w:rsid w:val="00DB539D"/>
    <w:rsid w:val="00DC0680"/>
    <w:rsid w:val="00DC2410"/>
    <w:rsid w:val="00DC6E32"/>
    <w:rsid w:val="00DD102C"/>
    <w:rsid w:val="00DD297D"/>
    <w:rsid w:val="00DD34E9"/>
    <w:rsid w:val="00DD5E0D"/>
    <w:rsid w:val="00DD61D1"/>
    <w:rsid w:val="00DD65FE"/>
    <w:rsid w:val="00DD7869"/>
    <w:rsid w:val="00DE4A23"/>
    <w:rsid w:val="00DE6497"/>
    <w:rsid w:val="00DF16F7"/>
    <w:rsid w:val="00DF3336"/>
    <w:rsid w:val="00DF60C1"/>
    <w:rsid w:val="00DF6878"/>
    <w:rsid w:val="00DF72D7"/>
    <w:rsid w:val="00E05859"/>
    <w:rsid w:val="00E05B78"/>
    <w:rsid w:val="00E0631F"/>
    <w:rsid w:val="00E11547"/>
    <w:rsid w:val="00E127BF"/>
    <w:rsid w:val="00E15361"/>
    <w:rsid w:val="00E15E60"/>
    <w:rsid w:val="00E17820"/>
    <w:rsid w:val="00E207A7"/>
    <w:rsid w:val="00E2213F"/>
    <w:rsid w:val="00E272CB"/>
    <w:rsid w:val="00E27F13"/>
    <w:rsid w:val="00E305DC"/>
    <w:rsid w:val="00E32ED5"/>
    <w:rsid w:val="00E35E0A"/>
    <w:rsid w:val="00E37DDB"/>
    <w:rsid w:val="00E44A57"/>
    <w:rsid w:val="00E44FBA"/>
    <w:rsid w:val="00E506AE"/>
    <w:rsid w:val="00E5401F"/>
    <w:rsid w:val="00E5430D"/>
    <w:rsid w:val="00E57C53"/>
    <w:rsid w:val="00E60111"/>
    <w:rsid w:val="00E62919"/>
    <w:rsid w:val="00E629DA"/>
    <w:rsid w:val="00E64D8B"/>
    <w:rsid w:val="00E70587"/>
    <w:rsid w:val="00E71D4F"/>
    <w:rsid w:val="00E74D40"/>
    <w:rsid w:val="00E773EF"/>
    <w:rsid w:val="00E810DD"/>
    <w:rsid w:val="00E85830"/>
    <w:rsid w:val="00E95353"/>
    <w:rsid w:val="00E960BA"/>
    <w:rsid w:val="00E976C4"/>
    <w:rsid w:val="00E978CA"/>
    <w:rsid w:val="00EA545F"/>
    <w:rsid w:val="00EA5BF8"/>
    <w:rsid w:val="00EB0712"/>
    <w:rsid w:val="00EB3EE6"/>
    <w:rsid w:val="00EB6124"/>
    <w:rsid w:val="00EC04DB"/>
    <w:rsid w:val="00EC1A2C"/>
    <w:rsid w:val="00EC7C31"/>
    <w:rsid w:val="00ED0ED9"/>
    <w:rsid w:val="00ED28B7"/>
    <w:rsid w:val="00ED4D76"/>
    <w:rsid w:val="00EE0630"/>
    <w:rsid w:val="00EE0685"/>
    <w:rsid w:val="00EE2C85"/>
    <w:rsid w:val="00EE2DC0"/>
    <w:rsid w:val="00EE335E"/>
    <w:rsid w:val="00EF5383"/>
    <w:rsid w:val="00EF5C70"/>
    <w:rsid w:val="00F038A8"/>
    <w:rsid w:val="00F04937"/>
    <w:rsid w:val="00F04DF8"/>
    <w:rsid w:val="00F06371"/>
    <w:rsid w:val="00F128E3"/>
    <w:rsid w:val="00F15B4B"/>
    <w:rsid w:val="00F17F04"/>
    <w:rsid w:val="00F22CC2"/>
    <w:rsid w:val="00F244C6"/>
    <w:rsid w:val="00F2456E"/>
    <w:rsid w:val="00F26F8E"/>
    <w:rsid w:val="00F273EE"/>
    <w:rsid w:val="00F27486"/>
    <w:rsid w:val="00F33200"/>
    <w:rsid w:val="00F344E9"/>
    <w:rsid w:val="00F346A3"/>
    <w:rsid w:val="00F36821"/>
    <w:rsid w:val="00F40574"/>
    <w:rsid w:val="00F44188"/>
    <w:rsid w:val="00F44A92"/>
    <w:rsid w:val="00F45A4F"/>
    <w:rsid w:val="00F479C0"/>
    <w:rsid w:val="00F51F81"/>
    <w:rsid w:val="00F528EA"/>
    <w:rsid w:val="00F5317F"/>
    <w:rsid w:val="00F53756"/>
    <w:rsid w:val="00F57BDD"/>
    <w:rsid w:val="00F60958"/>
    <w:rsid w:val="00F611AD"/>
    <w:rsid w:val="00F63A08"/>
    <w:rsid w:val="00F71122"/>
    <w:rsid w:val="00F724FF"/>
    <w:rsid w:val="00F72D65"/>
    <w:rsid w:val="00F75CE1"/>
    <w:rsid w:val="00F75F42"/>
    <w:rsid w:val="00F83258"/>
    <w:rsid w:val="00F84343"/>
    <w:rsid w:val="00F85DA5"/>
    <w:rsid w:val="00F901A8"/>
    <w:rsid w:val="00F91604"/>
    <w:rsid w:val="00F93FB7"/>
    <w:rsid w:val="00F94949"/>
    <w:rsid w:val="00FA01EF"/>
    <w:rsid w:val="00FA1E19"/>
    <w:rsid w:val="00FA4584"/>
    <w:rsid w:val="00FA616A"/>
    <w:rsid w:val="00FA6202"/>
    <w:rsid w:val="00FA78AF"/>
    <w:rsid w:val="00FB2EF7"/>
    <w:rsid w:val="00FB589E"/>
    <w:rsid w:val="00FB6CB1"/>
    <w:rsid w:val="00FB6E1A"/>
    <w:rsid w:val="00FB7D9F"/>
    <w:rsid w:val="00FC00A2"/>
    <w:rsid w:val="00FC03E1"/>
    <w:rsid w:val="00FC39D5"/>
    <w:rsid w:val="00FC6B13"/>
    <w:rsid w:val="00FC79EF"/>
    <w:rsid w:val="00FD2A4C"/>
    <w:rsid w:val="00FD3AB4"/>
    <w:rsid w:val="00FD4983"/>
    <w:rsid w:val="00FD6047"/>
    <w:rsid w:val="00FE3CF3"/>
    <w:rsid w:val="00FE55E1"/>
    <w:rsid w:val="00FE563C"/>
    <w:rsid w:val="00FE680E"/>
    <w:rsid w:val="00FF0CA7"/>
    <w:rsid w:val="00FF48A5"/>
    <w:rsid w:val="00FF48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90E24A-0A18-4457-B332-FB5834A5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hint="eastAsia"/>
        <w:sz w:val="22"/>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160" w:line="259" w:lineRule="auto"/>
    </w:pPr>
    <w:rPr>
      <w:rFonts w:cs="Arial"/>
      <w:szCs w:val="22"/>
    </w:rPr>
  </w:style>
  <w:style w:type="paragraph" w:styleId="1">
    <w:name w:val="heading 1"/>
    <w:basedOn w:val="a"/>
    <w:next w:val="a"/>
    <w:link w:val="10"/>
    <w:uiPriority w:val="9"/>
    <w:qFormat/>
    <w:rsid w:val="00733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A12FF"/>
    <w:pPr>
      <w:bidi w:val="0"/>
      <w:spacing w:before="100" w:beforeAutospacing="1" w:after="100" w:afterAutospacing="1" w:line="240" w:lineRule="auto"/>
      <w:outlineLvl w:val="1"/>
    </w:pPr>
    <w:rPr>
      <w:rFonts w:ascii="Times New Roman" w:eastAsia="Times New Roman" w:hAnsi="Times New Roman" w:cs="Times New Roman" w:hint="cs"/>
      <w:b/>
      <w:bCs/>
      <w:sz w:val="36"/>
      <w:szCs w:val="36"/>
    </w:rPr>
  </w:style>
  <w:style w:type="paragraph" w:styleId="3">
    <w:name w:val="heading 3"/>
    <w:basedOn w:val="a"/>
    <w:next w:val="a"/>
    <w:link w:val="30"/>
    <w:uiPriority w:val="9"/>
    <w:semiHidden/>
    <w:unhideWhenUsed/>
    <w:qFormat/>
    <w:rsid w:val="006A12FF"/>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6A12FF"/>
    <w:pPr>
      <w:keepNext/>
      <w:spacing w:before="240" w:after="60"/>
      <w:outlineLvl w:val="3"/>
    </w:pPr>
    <w:rPr>
      <w:rFonts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rsid w:val="00657E13"/>
    <w:pPr>
      <w:spacing w:line="240" w:lineRule="auto"/>
    </w:pPr>
    <w:rPr>
      <w:sz w:val="20"/>
      <w:szCs w:val="20"/>
    </w:rPr>
  </w:style>
  <w:style w:type="character" w:customStyle="1" w:styleId="a4">
    <w:name w:val="טקסט הערה תו"/>
    <w:basedOn w:val="a0"/>
    <w:link w:val="a3"/>
    <w:uiPriority w:val="99"/>
    <w:locked/>
    <w:rsid w:val="00657E13"/>
    <w:rPr>
      <w:rFonts w:cs="Times New Roman" w:hint="cs"/>
      <w:sz w:val="20"/>
      <w:szCs w:val="20"/>
      <w:rtl w:val="0"/>
      <w:cs w:val="0"/>
    </w:rPr>
  </w:style>
  <w:style w:type="paragraph" w:styleId="a5">
    <w:name w:val="footnote text"/>
    <w:basedOn w:val="a"/>
    <w:link w:val="a6"/>
    <w:uiPriority w:val="99"/>
    <w:unhideWhenUsed/>
    <w:rsid w:val="00DC0680"/>
    <w:rPr>
      <w:sz w:val="20"/>
      <w:szCs w:val="20"/>
    </w:rPr>
  </w:style>
  <w:style w:type="character" w:customStyle="1" w:styleId="a6">
    <w:name w:val="טקסט הערת שוליים תו"/>
    <w:basedOn w:val="a0"/>
    <w:link w:val="a5"/>
    <w:uiPriority w:val="99"/>
    <w:locked/>
    <w:rsid w:val="00DC0680"/>
    <w:rPr>
      <w:rFonts w:cs="Times New Roman" w:hint="cs"/>
      <w:sz w:val="20"/>
      <w:szCs w:val="20"/>
      <w:rtl w:val="0"/>
      <w:cs w:val="0"/>
    </w:rPr>
  </w:style>
  <w:style w:type="character" w:styleId="a7">
    <w:name w:val="footnote reference"/>
    <w:basedOn w:val="a0"/>
    <w:uiPriority w:val="99"/>
    <w:semiHidden/>
    <w:unhideWhenUsed/>
    <w:rsid w:val="00DC0680"/>
    <w:rPr>
      <w:rFonts w:cs="Times New Roman" w:hint="cs"/>
      <w:vertAlign w:val="superscript"/>
      <w:rtl w:val="0"/>
      <w:cs w:val="0"/>
    </w:rPr>
  </w:style>
  <w:style w:type="paragraph" w:styleId="a8">
    <w:name w:val="header"/>
    <w:basedOn w:val="a"/>
    <w:link w:val="a9"/>
    <w:uiPriority w:val="99"/>
    <w:unhideWhenUsed/>
    <w:rsid w:val="000B13C8"/>
    <w:pPr>
      <w:tabs>
        <w:tab w:val="center" w:pos="4153"/>
        <w:tab w:val="right" w:pos="8306"/>
      </w:tabs>
    </w:pPr>
  </w:style>
  <w:style w:type="character" w:customStyle="1" w:styleId="a9">
    <w:name w:val="כותרת עליונה תו"/>
    <w:basedOn w:val="a0"/>
    <w:link w:val="a8"/>
    <w:uiPriority w:val="99"/>
    <w:locked/>
    <w:rsid w:val="000B13C8"/>
    <w:rPr>
      <w:rFonts w:cs="Times New Roman" w:hint="cs"/>
      <w:rtl w:val="0"/>
      <w:cs w:val="0"/>
    </w:rPr>
  </w:style>
  <w:style w:type="paragraph" w:styleId="aa">
    <w:name w:val="footer"/>
    <w:basedOn w:val="a"/>
    <w:link w:val="ab"/>
    <w:uiPriority w:val="99"/>
    <w:unhideWhenUsed/>
    <w:rsid w:val="000B13C8"/>
    <w:pPr>
      <w:tabs>
        <w:tab w:val="center" w:pos="4153"/>
        <w:tab w:val="right" w:pos="8306"/>
      </w:tabs>
    </w:pPr>
  </w:style>
  <w:style w:type="character" w:customStyle="1" w:styleId="ab">
    <w:name w:val="כותרת תחתונה תו"/>
    <w:basedOn w:val="a0"/>
    <w:link w:val="aa"/>
    <w:uiPriority w:val="99"/>
    <w:locked/>
    <w:rsid w:val="000B13C8"/>
    <w:rPr>
      <w:rFonts w:cs="Times New Roman" w:hint="cs"/>
      <w:rtl w:val="0"/>
      <w:cs w:val="0"/>
    </w:rPr>
  </w:style>
  <w:style w:type="character" w:customStyle="1" w:styleId="20">
    <w:name w:val="כותרת 2 תו"/>
    <w:basedOn w:val="a0"/>
    <w:link w:val="2"/>
    <w:uiPriority w:val="9"/>
    <w:locked/>
    <w:rsid w:val="006A12FF"/>
    <w:rPr>
      <w:rFonts w:ascii="Times New Roman" w:hAnsi="Times New Roman" w:cs="Times New Roman" w:hint="cs"/>
      <w:b/>
      <w:bCs/>
      <w:sz w:val="36"/>
      <w:szCs w:val="36"/>
      <w:rtl w:val="0"/>
      <w:cs w:val="0"/>
    </w:rPr>
  </w:style>
  <w:style w:type="paragraph" w:customStyle="1" w:styleId="fontstyle">
    <w:name w:val="fontstyle"/>
    <w:basedOn w:val="a"/>
    <w:rsid w:val="006A12FF"/>
    <w:pPr>
      <w:bidi w:val="0"/>
      <w:spacing w:before="100" w:beforeAutospacing="1" w:after="100" w:afterAutospacing="1" w:line="240" w:lineRule="auto"/>
    </w:pPr>
    <w:rPr>
      <w:rFonts w:ascii="Times New Roman" w:eastAsia="Times New Roman" w:hAnsi="Times New Roman" w:cs="Times New Roman" w:hint="cs"/>
      <w:sz w:val="24"/>
      <w:szCs w:val="24"/>
    </w:rPr>
  </w:style>
  <w:style w:type="character" w:customStyle="1" w:styleId="30">
    <w:name w:val="כותרת 3 תו"/>
    <w:basedOn w:val="a0"/>
    <w:link w:val="3"/>
    <w:uiPriority w:val="9"/>
    <w:semiHidden/>
    <w:locked/>
    <w:rsid w:val="006A12FF"/>
    <w:rPr>
      <w:rFonts w:asciiTheme="majorHAnsi" w:eastAsiaTheme="majorEastAsia" w:hAnsiTheme="majorHAnsi" w:cstheme="majorBidi" w:hint="eastAsia"/>
      <w:b/>
      <w:bCs/>
      <w:sz w:val="26"/>
      <w:szCs w:val="26"/>
      <w:rtl w:val="0"/>
      <w:cs w:val="0"/>
    </w:rPr>
  </w:style>
  <w:style w:type="paragraph" w:styleId="ac">
    <w:name w:val="List Paragraph"/>
    <w:basedOn w:val="a"/>
    <w:uiPriority w:val="34"/>
    <w:qFormat/>
    <w:rsid w:val="006A12FF"/>
    <w:pPr>
      <w:bidi w:val="0"/>
      <w:spacing w:before="100" w:beforeAutospacing="1" w:after="100" w:afterAutospacing="1" w:line="240" w:lineRule="auto"/>
    </w:pPr>
    <w:rPr>
      <w:rFonts w:ascii="Times New Roman" w:eastAsia="Times New Roman" w:hAnsi="Times New Roman" w:cs="Times New Roman" w:hint="cs"/>
      <w:sz w:val="24"/>
      <w:szCs w:val="24"/>
    </w:rPr>
  </w:style>
  <w:style w:type="character" w:customStyle="1" w:styleId="40">
    <w:name w:val="כותרת 4 תו"/>
    <w:basedOn w:val="a0"/>
    <w:link w:val="4"/>
    <w:uiPriority w:val="9"/>
    <w:semiHidden/>
    <w:locked/>
    <w:rsid w:val="006A12FF"/>
    <w:rPr>
      <w:rFonts w:cstheme="minorBidi" w:hint="cs"/>
      <w:b/>
      <w:bCs/>
      <w:sz w:val="28"/>
      <w:szCs w:val="28"/>
      <w:rtl w:val="0"/>
      <w:cs w:val="0"/>
    </w:rPr>
  </w:style>
  <w:style w:type="character" w:customStyle="1" w:styleId="Ruller4">
    <w:name w:val="Ruller4 תו"/>
    <w:link w:val="Ruller40"/>
    <w:locked/>
    <w:rsid w:val="00D3443B"/>
    <w:rPr>
      <w:rFonts w:ascii="Arial TUR" w:hAnsi="Arial TUR"/>
      <w:spacing w:val="10"/>
      <w:sz w:val="28"/>
    </w:rPr>
  </w:style>
  <w:style w:type="paragraph" w:customStyle="1" w:styleId="Ruller40">
    <w:name w:val="Ruller4"/>
    <w:basedOn w:val="a"/>
    <w:link w:val="Ruller4"/>
    <w:rsid w:val="00D3443B"/>
    <w:pPr>
      <w:tabs>
        <w:tab w:val="left" w:pos="800"/>
      </w:tabs>
      <w:overflowPunct w:val="0"/>
      <w:autoSpaceDE w:val="0"/>
      <w:autoSpaceDN w:val="0"/>
      <w:adjustRightInd w:val="0"/>
      <w:spacing w:after="0" w:line="360" w:lineRule="auto"/>
      <w:jc w:val="both"/>
    </w:pPr>
    <w:rPr>
      <w:rFonts w:ascii="Arial TUR" w:hAnsi="Arial TUR" w:cs="FrankRuehl"/>
      <w:spacing w:val="10"/>
      <w:szCs w:val="28"/>
    </w:rPr>
  </w:style>
  <w:style w:type="character" w:styleId="Hyperlink">
    <w:name w:val="Hyperlink"/>
    <w:basedOn w:val="a0"/>
    <w:uiPriority w:val="99"/>
    <w:unhideWhenUsed/>
    <w:rsid w:val="003E6D72"/>
    <w:rPr>
      <w:rFonts w:cs="Times New Roman" w:hint="cs"/>
      <w:color w:val="0563C1"/>
      <w:u w:val="single"/>
      <w:rtl w:val="0"/>
      <w:cs w:val="0"/>
    </w:rPr>
  </w:style>
  <w:style w:type="character" w:styleId="ad">
    <w:name w:val="Strong"/>
    <w:basedOn w:val="a0"/>
    <w:uiPriority w:val="22"/>
    <w:qFormat/>
    <w:rsid w:val="00CD4BF4"/>
    <w:rPr>
      <w:b/>
      <w:bCs/>
    </w:rPr>
  </w:style>
  <w:style w:type="paragraph" w:styleId="NormalWeb">
    <w:name w:val="Normal (Web)"/>
    <w:basedOn w:val="a"/>
    <w:uiPriority w:val="99"/>
    <w:semiHidden/>
    <w:unhideWhenUsed/>
    <w:rsid w:val="009F525F"/>
    <w:pPr>
      <w:bidi w:val="0"/>
      <w:spacing w:before="100" w:beforeAutospacing="1" w:after="100" w:afterAutospacing="1" w:line="240" w:lineRule="auto"/>
    </w:pPr>
    <w:rPr>
      <w:rFonts w:ascii="Times New Roman" w:eastAsia="Times New Roman" w:hAnsi="Times New Roman" w:cs="Times New Roman" w:hint="default"/>
      <w:sz w:val="24"/>
      <w:szCs w:val="24"/>
    </w:rPr>
  </w:style>
  <w:style w:type="paragraph" w:customStyle="1" w:styleId="big-header">
    <w:name w:val="big-header"/>
    <w:basedOn w:val="a"/>
    <w:rsid w:val="00AA67BB"/>
    <w:pPr>
      <w:bidi w:val="0"/>
      <w:spacing w:before="100" w:beforeAutospacing="1" w:after="100" w:afterAutospacing="1" w:line="240" w:lineRule="auto"/>
    </w:pPr>
    <w:rPr>
      <w:rFonts w:ascii="Times New Roman" w:eastAsia="Times New Roman" w:hAnsi="Times New Roman" w:cs="Times New Roman" w:hint="default"/>
      <w:sz w:val="24"/>
      <w:szCs w:val="24"/>
    </w:rPr>
  </w:style>
  <w:style w:type="paragraph" w:styleId="ae">
    <w:name w:val="Body Text"/>
    <w:basedOn w:val="a"/>
    <w:link w:val="af"/>
    <w:uiPriority w:val="99"/>
    <w:unhideWhenUsed/>
    <w:rsid w:val="00905871"/>
    <w:pPr>
      <w:spacing w:after="120"/>
    </w:pPr>
    <w:rPr>
      <w:rFonts w:eastAsiaTheme="minorHAnsi" w:cstheme="minorBidi" w:hint="default"/>
    </w:rPr>
  </w:style>
  <w:style w:type="character" w:customStyle="1" w:styleId="af">
    <w:name w:val="גוף טקסט תו"/>
    <w:basedOn w:val="a0"/>
    <w:link w:val="ae"/>
    <w:uiPriority w:val="99"/>
    <w:rsid w:val="00905871"/>
    <w:rPr>
      <w:rFonts w:eastAsiaTheme="minorHAnsi" w:cstheme="minorBidi"/>
      <w:szCs w:val="22"/>
    </w:rPr>
  </w:style>
  <w:style w:type="paragraph" w:styleId="af0">
    <w:name w:val="No Spacing"/>
    <w:link w:val="af1"/>
    <w:uiPriority w:val="1"/>
    <w:qFormat/>
    <w:rsid w:val="00905871"/>
    <w:pPr>
      <w:bidi/>
    </w:pPr>
    <w:rPr>
      <w:rFonts w:cstheme="minorBidi"/>
      <w:szCs w:val="22"/>
    </w:rPr>
  </w:style>
  <w:style w:type="character" w:customStyle="1" w:styleId="af1">
    <w:name w:val="ללא מרווח תו"/>
    <w:basedOn w:val="a0"/>
    <w:link w:val="af0"/>
    <w:uiPriority w:val="1"/>
    <w:rsid w:val="00905871"/>
    <w:rPr>
      <w:rFonts w:cstheme="minorBidi"/>
      <w:szCs w:val="22"/>
    </w:rPr>
  </w:style>
  <w:style w:type="paragraph" w:customStyle="1" w:styleId="p00">
    <w:name w:val="p00"/>
    <w:basedOn w:val="a"/>
    <w:rsid w:val="00783BC8"/>
    <w:pPr>
      <w:bidi w:val="0"/>
      <w:spacing w:before="100" w:beforeAutospacing="1" w:after="100" w:afterAutospacing="1" w:line="240" w:lineRule="auto"/>
    </w:pPr>
    <w:rPr>
      <w:rFonts w:ascii="Times New Roman" w:eastAsia="Times New Roman" w:hAnsi="Times New Roman" w:cs="Times New Roman" w:hint="default"/>
      <w:sz w:val="24"/>
      <w:szCs w:val="24"/>
    </w:rPr>
  </w:style>
  <w:style w:type="character" w:customStyle="1" w:styleId="default">
    <w:name w:val="default"/>
    <w:basedOn w:val="a0"/>
    <w:rsid w:val="00783BC8"/>
  </w:style>
  <w:style w:type="paragraph" w:customStyle="1" w:styleId="p22">
    <w:name w:val="p22"/>
    <w:basedOn w:val="a"/>
    <w:rsid w:val="00783BC8"/>
    <w:pPr>
      <w:bidi w:val="0"/>
      <w:spacing w:before="100" w:beforeAutospacing="1" w:after="100" w:afterAutospacing="1" w:line="240" w:lineRule="auto"/>
    </w:pPr>
    <w:rPr>
      <w:rFonts w:ascii="Times New Roman" w:eastAsia="Times New Roman" w:hAnsi="Times New Roman" w:cs="Times New Roman" w:hint="default"/>
      <w:sz w:val="24"/>
      <w:szCs w:val="24"/>
    </w:rPr>
  </w:style>
  <w:style w:type="character" w:customStyle="1" w:styleId="10">
    <w:name w:val="כותרת 1 תו"/>
    <w:basedOn w:val="a0"/>
    <w:link w:val="1"/>
    <w:uiPriority w:val="9"/>
    <w:rsid w:val="007330AD"/>
    <w:rPr>
      <w:rFonts w:asciiTheme="majorHAnsi" w:eastAsiaTheme="majorEastAsia" w:hAnsiTheme="majorHAnsi" w:cstheme="majorBidi"/>
      <w:color w:val="2E74B5" w:themeColor="accent1" w:themeShade="BF"/>
      <w:sz w:val="32"/>
      <w:szCs w:val="32"/>
    </w:rPr>
  </w:style>
  <w:style w:type="paragraph" w:styleId="af2">
    <w:name w:val="TOC Heading"/>
    <w:basedOn w:val="1"/>
    <w:next w:val="a"/>
    <w:uiPriority w:val="39"/>
    <w:unhideWhenUsed/>
    <w:qFormat/>
    <w:rsid w:val="007330AD"/>
    <w:pPr>
      <w:outlineLvl w:val="9"/>
    </w:pPr>
    <w:rPr>
      <w:rFonts w:hint="default"/>
      <w:rtl/>
      <w:cs/>
    </w:rPr>
  </w:style>
  <w:style w:type="paragraph" w:styleId="TOC2">
    <w:name w:val="toc 2"/>
    <w:basedOn w:val="a"/>
    <w:next w:val="a"/>
    <w:autoRedefine/>
    <w:uiPriority w:val="39"/>
    <w:unhideWhenUsed/>
    <w:rsid w:val="007330AD"/>
    <w:pPr>
      <w:spacing w:after="100"/>
      <w:ind w:left="220"/>
    </w:pPr>
    <w:rPr>
      <w:rFonts w:cs="Times New Roman" w:hint="default"/>
      <w:rtl/>
      <w:cs/>
    </w:rPr>
  </w:style>
  <w:style w:type="paragraph" w:styleId="TOC1">
    <w:name w:val="toc 1"/>
    <w:basedOn w:val="a"/>
    <w:next w:val="a"/>
    <w:autoRedefine/>
    <w:uiPriority w:val="39"/>
    <w:unhideWhenUsed/>
    <w:rsid w:val="007330AD"/>
    <w:pPr>
      <w:spacing w:after="100"/>
    </w:pPr>
    <w:rPr>
      <w:rFonts w:cs="Times New Roman" w:hint="default"/>
      <w:rtl/>
      <w:cs/>
    </w:rPr>
  </w:style>
  <w:style w:type="paragraph" w:styleId="TOC3">
    <w:name w:val="toc 3"/>
    <w:basedOn w:val="a"/>
    <w:next w:val="a"/>
    <w:autoRedefine/>
    <w:uiPriority w:val="39"/>
    <w:unhideWhenUsed/>
    <w:rsid w:val="00E272CB"/>
    <w:pPr>
      <w:spacing w:after="100"/>
      <w:ind w:left="440"/>
    </w:pPr>
    <w:rPr>
      <w:rFonts w:cs="Times New Roman" w:hint="default"/>
      <w:rtl/>
      <w:cs/>
    </w:rPr>
  </w:style>
  <w:style w:type="paragraph" w:styleId="af3">
    <w:name w:val="Balloon Text"/>
    <w:basedOn w:val="a"/>
    <w:link w:val="af4"/>
    <w:uiPriority w:val="99"/>
    <w:semiHidden/>
    <w:unhideWhenUsed/>
    <w:rsid w:val="008304FC"/>
    <w:pPr>
      <w:spacing w:after="0" w:line="240" w:lineRule="auto"/>
    </w:pPr>
    <w:rPr>
      <w:rFonts w:ascii="Tahoma" w:hAnsi="Tahoma" w:cs="Tahoma"/>
      <w:sz w:val="18"/>
      <w:szCs w:val="18"/>
    </w:rPr>
  </w:style>
  <w:style w:type="character" w:customStyle="1" w:styleId="af4">
    <w:name w:val="טקסט בלונים תו"/>
    <w:basedOn w:val="a0"/>
    <w:link w:val="af3"/>
    <w:uiPriority w:val="99"/>
    <w:semiHidden/>
    <w:rsid w:val="008304F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www.psakdin.co.il/Document" TargetMode="External"/><Relationship Id="rId26" Type="http://schemas.openxmlformats.org/officeDocument/2006/relationships/hyperlink" Target="http://www.rashlanut-refuit.org/P33632/" TargetMode="External"/><Relationship Id="rId3" Type="http://schemas.openxmlformats.org/officeDocument/2006/relationships/styles" Target="styles.xml"/><Relationship Id="rId21" Type="http://schemas.openxmlformats.org/officeDocument/2006/relationships/hyperlink" Target="http://www.dt-law.co.il/articles.asp?ArticleID=1340" TargetMode="External"/><Relationship Id="rId7" Type="http://schemas.openxmlformats.org/officeDocument/2006/relationships/endnotes" Target="endnotes.xml"/><Relationship Id="rId12" Type="http://schemas.openxmlformats.org/officeDocument/2006/relationships/hyperlink" Target="https://www.google.co.il/url?sa=i&amp;rct=j&amp;q=&amp;esrc=s&amp;source=images&amp;cd=&amp;cad=rja&amp;uact=8&amp;ved=2ahUKEwjzwYiBor3dAhVxxosKHf5rAeEQjRx6BAgBEAU&amp;url=https://www.psakdin.co.il/Document/%D7%94%D7%94%D7%95%D7%A8%D7%99%D7%9D-%D7%AA%D7%95%D7%91%D7%A2%D7%99%D7%9D-%D7%91%D7%92%D7%99%D7%9F-%D7%94%D7%95%D7%9C%D7%93%D7%94-%D7%91%D7%A2%D7%95%D7%95%D7%9C%D7%94-%E2%80%93-%D7%9B%D7%99%D7%A6%D7%93-%D7%99%D7%95%D7%91%D7%98%D7%97-%D7%94%D7%A4%D7%99%D7%A6%D7%95%D7%99-%D7%92%D7%9D-%D7%9C%D7%99%D7%9C%D7%93&amp;psig=AOvVaw1P3FIpx88A6qYLOK6r-Bfb&amp;ust=1537109463561871" TargetMode="External"/><Relationship Id="rId17" Type="http://schemas.openxmlformats.org/officeDocument/2006/relationships/hyperlink" Target="http://www.knesset.gov.il/mmm/data/pdf/m03219.pdf" TargetMode="External"/><Relationship Id="rId25" Type="http://schemas.openxmlformats.org/officeDocument/2006/relationships/hyperlink" Target="http://www.molsa.gov.il/Populations/Distress/DistressFamily/SpecialNeeds/Pages/TM_02_00_01.aspx" TargetMode="External"/><Relationship Id="rId2" Type="http://schemas.openxmlformats.org/officeDocument/2006/relationships/numbering" Target="numbering.xml"/><Relationship Id="rId16" Type="http://schemas.openxmlformats.org/officeDocument/2006/relationships/hyperlink" Target="http://www.haaretz.co.il/news/education/1.1915537" TargetMode="External"/><Relationship Id="rId20" Type="http://schemas.openxmlformats.org/officeDocument/2006/relationships/hyperlink" Target="http://www.sabag-law.co.il/procreation_tort_the_final_la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psakdin.co.il/Documen" TargetMode="External"/><Relationship Id="rId5" Type="http://schemas.openxmlformats.org/officeDocument/2006/relationships/webSettings" Target="webSettings.xml"/><Relationship Id="rId15" Type="http://schemas.openxmlformats.org/officeDocument/2006/relationships/hyperlink" Target="http://www.iz-law.com/blog" TargetMode="External"/><Relationship Id="rId23" Type="http://schemas.openxmlformats.org/officeDocument/2006/relationships/hyperlink" Target="http://www.ynet.co.il/articles/0,7340,L-5060108,00.html%20(&#1504;&#1489;&#1491;&#1511;" TargetMode="External"/><Relationship Id="rId28" Type="http://schemas.openxmlformats.org/officeDocument/2006/relationships/fontTable" Target="fontTable.xml"/><Relationship Id="rId10" Type="http://schemas.openxmlformats.org/officeDocument/2006/relationships/hyperlink" Target="https://www.google.co.il/url?sa=i&amp;rct=j&amp;q=&amp;esrc=s&amp;source=images&amp;cd=&amp;cad=rja&amp;uact=8&amp;ved=2ahUKEwjwromxob3dAhVhwYsKHTUYCZ0QjRx6BAgBEAU&amp;url=https://ecuadorcupon.com/studio-di-avvocato-milano/&amp;psig=AOvVaw1P3FIpx88A6qYLOK6r-Bfb&amp;ust=1537109463561871" TargetMode="External"/><Relationship Id="rId19" Type="http://schemas.openxmlformats.org/officeDocument/2006/relationships/hyperlink" Target="http://www.sabag-law.co.il/procreation_tort_the_final_la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ews.walla.co.il/item/2594896" TargetMode="External"/><Relationship Id="rId22" Type="http://schemas.openxmlformats.org/officeDocument/2006/relationships/hyperlink" Target="http://www.ynet.co.il/articles/0,7340,L-4656548,00.html"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ws.walla.co.il/item/2594896" TargetMode="External"/><Relationship Id="rId3" Type="http://schemas.openxmlformats.org/officeDocument/2006/relationships/hyperlink" Target="http://www.sabag-law.co.il/procreation_tort_the_final_law/" TargetMode="External"/><Relationship Id="rId7" Type="http://schemas.openxmlformats.org/officeDocument/2006/relationships/hyperlink" Target="http://www.haaretz.co.il/news/education/1.1915537" TargetMode="External"/><Relationship Id="rId12" Type="http://schemas.openxmlformats.org/officeDocument/2006/relationships/hyperlink" Target="http://www.rashlanut-refuit.org/P33632/" TargetMode="External"/><Relationship Id="rId2" Type="http://schemas.openxmlformats.org/officeDocument/2006/relationships/hyperlink" Target="http://www.ynet.co.il/articles/0,7340,L-5060108,00.html%20(&#1504;&#1489;&#1491;&#1511;" TargetMode="External"/><Relationship Id="rId1" Type="http://schemas.openxmlformats.org/officeDocument/2006/relationships/hyperlink" Target="http://www.ynet.co.il/articles/0,7340,L-4656548,00.html" TargetMode="External"/><Relationship Id="rId6" Type="http://schemas.openxmlformats.org/officeDocument/2006/relationships/hyperlink" Target="http://www.knesset.gov.il/mmm/data/pdf/m03219.pdf" TargetMode="External"/><Relationship Id="rId11" Type="http://schemas.openxmlformats.org/officeDocument/2006/relationships/hyperlink" Target="http://www.molsa.gov.il/Populations/Distress/DistressFamily/SpecialNeeds/Pages/TM_02_00_01.aspx" TargetMode="External"/><Relationship Id="rId5" Type="http://schemas.openxmlformats.org/officeDocument/2006/relationships/hyperlink" Target="http://www.dt-law.co.il/articles.asp?ArticleID=1340" TargetMode="External"/><Relationship Id="rId10" Type="http://schemas.openxmlformats.org/officeDocument/2006/relationships/hyperlink" Target="http://www.psakdin.co.il/Documen" TargetMode="External"/><Relationship Id="rId4" Type="http://schemas.openxmlformats.org/officeDocument/2006/relationships/hyperlink" Target="http://www.sabag-law.co.il/procreation_tort_the_final_law" TargetMode="External"/><Relationship Id="rId9" Type="http://schemas.openxmlformats.org/officeDocument/2006/relationships/hyperlink" Target="http://www.psakdin.co.il/Documen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549E-F59C-4E29-BF7A-5A5D034BA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13173</Words>
  <Characters>65870</Characters>
  <Application>Microsoft Office Word</Application>
  <DocSecurity>0</DocSecurity>
  <Lines>548</Lines>
  <Paragraphs>157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BICHACHI</dc:creator>
  <cp:lastModifiedBy>LIN BICHACHI</cp:lastModifiedBy>
  <cp:revision>2</cp:revision>
  <dcterms:created xsi:type="dcterms:W3CDTF">2019-01-14T17:00:00Z</dcterms:created>
  <dcterms:modified xsi:type="dcterms:W3CDTF">2019-01-14T17:00:00Z</dcterms:modified>
</cp:coreProperties>
</file>