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36"/>
        </w:rPr>
        <w:t>SOFTWARE REQUIREMENTS SPECIFICATION (SRS)</w:t>
      </w:r>
    </w:p>
    <w:p>
      <w:pPr>
        <w:spacing w:before="0" w:after="240"/>
      </w:pPr>
      <w:r>
        <w:rPr>
          <w:rFonts w:ascii="Arial" w:hAnsi="Arial"/>
          <w:i/>
          <w:color w:val="4A6572"/>
          <w:sz w:val="24"/>
        </w:rPr>
        <w:t>Enterprise Knowledge Normalization Platform (EKNP)</w:t>
      </w:r>
    </w:p>
    <w:tbl>
      <w:tblPr>
        <w:tblW w:type="auto" w:w="0"/>
        <w:jc w:val="center"/>
        <w:tblLook w:firstColumn="1" w:firstRow="1" w:lastColumn="0" w:lastRow="0" w:noHBand="0" w:noVBand="1" w:val="04A0"/>
      </w:tblPr>
      <w:tblGrid>
        <w:gridCol w:w="4680"/>
        <w:gridCol w:w="4680"/>
      </w:tblGrid>
      <w:tr>
        <w:tc>
          <w:tcPr>
            <w:tcW w:type="dxa" w:w="4680"/>
            <w:shd w:fill="F4F6F9"/>
            <w:tcMar>
              <w:top w:w="50" w:type="dxa"/>
              <w:bottom w:w="50" w:type="dxa"/>
              <w:left w:w="100" w:type="dxa"/>
              <w:right w:w="100" w:type="dxa"/>
            </w:tcMar>
          </w:tcPr>
          <w:p>
            <w:pPr>
              <w:spacing w:after="20"/>
            </w:pPr>
            <w:r>
              <w:rPr>
                <w:b/>
                <w:color w:val="1B365D"/>
                <w:sz w:val="18"/>
              </w:rPr>
              <w:t>Document Type:</w:t>
            </w:r>
          </w:p>
        </w:tc>
        <w:tc>
          <w:tcPr>
            <w:tcW w:type="dxa" w:w="4680"/>
            <w:shd w:fill="FFFFFF"/>
            <w:tcMar>
              <w:top w:w="50" w:type="dxa"/>
              <w:bottom w:w="50" w:type="dxa"/>
              <w:left w:w="100" w:type="dxa"/>
              <w:right w:w="100" w:type="dxa"/>
            </w:tcMar>
          </w:tcPr>
          <w:p>
            <w:pPr>
              <w:spacing w:after="20"/>
            </w:pPr>
            <w:r>
              <w:rPr>
                <w:color w:val="212121"/>
                <w:sz w:val="18"/>
              </w:rPr>
              <w:t>Software Requirements Specification (SRS)</w:t>
            </w:r>
          </w:p>
        </w:tc>
      </w:tr>
      <w:tr>
        <w:tc>
          <w:tcPr>
            <w:tcW w:type="dxa" w:w="4680"/>
            <w:shd w:fill="F4F6F9"/>
            <w:tcMar>
              <w:top w:w="50" w:type="dxa"/>
              <w:bottom w:w="50" w:type="dxa"/>
              <w:left w:w="100" w:type="dxa"/>
              <w:right w:w="100" w:type="dxa"/>
            </w:tcMar>
          </w:tcPr>
          <w:p>
            <w:pPr>
              <w:spacing w:after="20"/>
            </w:pPr>
            <w:r>
              <w:rPr>
                <w:b/>
                <w:color w:val="1B365D"/>
                <w:sz w:val="18"/>
              </w:rPr>
              <w:t>Document Standard:</w:t>
            </w:r>
          </w:p>
        </w:tc>
        <w:tc>
          <w:tcPr>
            <w:tcW w:type="dxa" w:w="4680"/>
            <w:shd w:fill="FFFFFF"/>
            <w:tcMar>
              <w:top w:w="50" w:type="dxa"/>
              <w:bottom w:w="50" w:type="dxa"/>
              <w:left w:w="100" w:type="dxa"/>
              <w:right w:w="100" w:type="dxa"/>
            </w:tcMar>
          </w:tcPr>
          <w:p>
            <w:pPr>
              <w:spacing w:after="20"/>
            </w:pPr>
            <w:r>
              <w:rPr>
                <w:color w:val="212121"/>
                <w:sz w:val="18"/>
              </w:rPr>
              <w:t>IEEE 830 / ISO/IEC/IEEE 29148 Standard Format</w:t>
            </w:r>
          </w:p>
        </w:tc>
      </w:tr>
      <w:tr>
        <w:tc>
          <w:tcPr>
            <w:tcW w:type="dxa" w:w="4680"/>
            <w:shd w:fill="F4F6F9"/>
            <w:tcMar>
              <w:top w:w="50" w:type="dxa"/>
              <w:bottom w:w="50" w:type="dxa"/>
              <w:left w:w="100" w:type="dxa"/>
              <w:right w:w="100" w:type="dxa"/>
            </w:tcMar>
          </w:tcPr>
          <w:p>
            <w:pPr>
              <w:spacing w:after="20"/>
            </w:pPr>
            <w:r>
              <w:rPr>
                <w:b/>
                <w:color w:val="1B365D"/>
                <w:sz w:val="18"/>
              </w:rPr>
              <w:t>System Core:</w:t>
            </w:r>
          </w:p>
        </w:tc>
        <w:tc>
          <w:tcPr>
            <w:tcW w:type="dxa" w:w="4680"/>
            <w:shd w:fill="FFFFFF"/>
            <w:tcMar>
              <w:top w:w="50" w:type="dxa"/>
              <w:bottom w:w="50" w:type="dxa"/>
              <w:left w:w="100" w:type="dxa"/>
              <w:right w:w="100" w:type="dxa"/>
            </w:tcMar>
          </w:tcPr>
          <w:p>
            <w:pPr>
              <w:spacing w:after="20"/>
            </w:pPr>
            <w:r>
              <w:rPr>
                <w:color w:val="212121"/>
                <w:sz w:val="18"/>
              </w:rPr>
              <w:t>Universal Metadata Nomenclature (UMN) Normalization Engine</w:t>
            </w:r>
          </w:p>
        </w:tc>
      </w:tr>
      <w:tr>
        <w:tc>
          <w:tcPr>
            <w:tcW w:type="dxa" w:w="4680"/>
            <w:shd w:fill="F4F6F9"/>
            <w:tcMar>
              <w:top w:w="50" w:type="dxa"/>
              <w:bottom w:w="50" w:type="dxa"/>
              <w:left w:w="100" w:type="dxa"/>
              <w:right w:w="100" w:type="dxa"/>
            </w:tcMar>
          </w:tcPr>
          <w:p>
            <w:pPr>
              <w:spacing w:after="20"/>
            </w:pPr>
            <w:r>
              <w:rPr>
                <w:b/>
                <w:color w:val="1B365D"/>
                <w:sz w:val="18"/>
              </w:rPr>
              <w:t>Project Scope:</w:t>
            </w:r>
          </w:p>
        </w:tc>
        <w:tc>
          <w:tcPr>
            <w:tcW w:type="dxa" w:w="4680"/>
            <w:shd w:fill="FFFFFF"/>
            <w:tcMar>
              <w:top w:w="50" w:type="dxa"/>
              <w:bottom w:w="50" w:type="dxa"/>
              <w:left w:w="100" w:type="dxa"/>
              <w:right w:w="100" w:type="dxa"/>
            </w:tcMar>
          </w:tcPr>
          <w:p>
            <w:pPr>
              <w:spacing w:after="20"/>
            </w:pPr>
            <w:r>
              <w:rPr>
                <w:color w:val="212121"/>
                <w:sz w:val="18"/>
              </w:rPr>
              <w:t>Cross-Silo Unstructured Document Normalization &amp; Semantic Search</w:t>
            </w:r>
          </w:p>
        </w:tc>
      </w:tr>
    </w:tbl>
    <w:p>
      <w:pPr>
        <w:spacing w:after="200"/>
      </w:pPr>
    </w:p>
    <w:p>
      <w:pPr>
        <w:keepNext/>
        <w:spacing w:before="280" w:after="80"/>
      </w:pPr>
      <w:r>
        <w:rPr>
          <w:rFonts w:ascii="Arial" w:hAnsi="Arial"/>
          <w:b/>
          <w:color w:val="1B365D"/>
          <w:sz w:val="26"/>
        </w:rPr>
        <w:t>1. INTRODUCTION</w:t>
      </w:r>
    </w:p>
    <w:p>
      <w:pPr>
        <w:keepNext/>
        <w:spacing w:before="200" w:after="60"/>
      </w:pPr>
      <w:r>
        <w:rPr>
          <w:rFonts w:ascii="Arial" w:hAnsi="Arial"/>
          <w:b/>
          <w:color w:val="4A6572"/>
          <w:sz w:val="22"/>
        </w:rPr>
        <w:t>1.1 Purpose</w:t>
      </w:r>
    </w:p>
    <w:p>
      <w:pPr>
        <w:spacing w:before="0" w:after="80" w:line="276" w:lineRule="auto"/>
      </w:pPr>
      <w:r>
        <w:rPr>
          <w:rFonts w:ascii="Arial" w:hAnsi="Arial"/>
          <w:color w:val="212121"/>
          <w:sz w:val="20"/>
        </w:rPr>
        <w:t>This document provides the Software Requirements Specification (SRS) for the Enterprise Knowledge Normalization Platform (EKNP). EKNP is an enterprise middleware platform engineered to discover unstructured documents across disconnected storage silos, extract diverse native metadata properties, normalize them into a unified canonical schema termed Universal Metadata Nomenclature (UMN), and provide high-accuracy semantic search over enterprise knowledge assets without altering or migrating original files.</w:t>
      </w:r>
    </w:p>
    <w:p>
      <w:pPr>
        <w:keepNext/>
        <w:spacing w:before="200" w:after="60"/>
      </w:pPr>
      <w:r>
        <w:rPr>
          <w:rFonts w:ascii="Arial" w:hAnsi="Arial"/>
          <w:b/>
          <w:color w:val="4A6572"/>
          <w:sz w:val="22"/>
        </w:rPr>
        <w:t>1.2 Scope</w:t>
      </w:r>
    </w:p>
    <w:p>
      <w:pPr>
        <w:spacing w:before="0" w:after="80" w:line="276" w:lineRule="auto"/>
      </w:pPr>
      <w:r>
        <w:rPr>
          <w:rFonts w:ascii="Arial" w:hAnsi="Arial"/>
          <w:color w:val="212121"/>
          <w:sz w:val="20"/>
        </w:rPr>
        <w:t>The scope of EKNP covers the full ingestion-to-search pipeline across enterprise storage repositories:</w:t>
      </w:r>
    </w:p>
    <w:p>
      <w:pPr>
        <w:pStyle w:val="ListBullet"/>
        <w:spacing w:before="0" w:after="50" w:line="276" w:lineRule="auto"/>
      </w:pPr>
      <w:r>
        <w:rPr>
          <w:rFonts w:ascii="Arial" w:hAnsi="Arial"/>
          <w:b/>
          <w:color w:val="1B365D"/>
          <w:sz w:val="20"/>
        </w:rPr>
        <w:t>Data Silo Ingestion:</w:t>
      </w:r>
      <w:r>
        <w:rPr>
          <w:rFonts w:ascii="Arial" w:hAnsi="Arial"/>
          <w:color w:val="212121"/>
          <w:sz w:val="20"/>
        </w:rPr>
        <w:t xml:space="preserve"> Simulated enterprise departmental repositories (HR, Finance, Engineering, Legal) mapped to local folder paths.</w:t>
      </w:r>
    </w:p>
    <w:p>
      <w:pPr>
        <w:pStyle w:val="ListBullet"/>
        <w:spacing w:before="0" w:after="50" w:line="276" w:lineRule="auto"/>
      </w:pPr>
      <w:r>
        <w:rPr>
          <w:rFonts w:ascii="Arial" w:hAnsi="Arial"/>
          <w:b/>
          <w:color w:val="1B365D"/>
          <w:sz w:val="20"/>
        </w:rPr>
        <w:t>Multi-Format Parsers:</w:t>
      </w:r>
      <w:r>
        <w:rPr>
          <w:rFonts w:ascii="Arial" w:hAnsi="Arial"/>
          <w:color w:val="212121"/>
          <w:sz w:val="20"/>
        </w:rPr>
        <w:t xml:space="preserve"> Native text and property extraction from PDF, DOCX, PPTX, XLSX, TXT, and scanned image documents via OCR.</w:t>
      </w:r>
    </w:p>
    <w:p>
      <w:pPr>
        <w:pStyle w:val="ListBullet"/>
        <w:spacing w:before="0" w:after="50" w:line="276" w:lineRule="auto"/>
      </w:pPr>
      <w:r>
        <w:rPr>
          <w:rFonts w:ascii="Arial" w:hAnsi="Arial"/>
          <w:b/>
          <w:color w:val="1B365D"/>
          <w:sz w:val="20"/>
        </w:rPr>
        <w:t>Universal Metadata Normalization:</w:t>
      </w:r>
      <w:r>
        <w:rPr>
          <w:rFonts w:ascii="Arial" w:hAnsi="Arial"/>
          <w:color w:val="212121"/>
          <w:sz w:val="20"/>
        </w:rPr>
        <w:t xml:space="preserve"> Rule-based crosswalk mapping, ISO-8601 UTC date standardizations, name cleaning, deterministic title resolution, and UMN JSON schema validation.</w:t>
      </w:r>
    </w:p>
    <w:p>
      <w:pPr>
        <w:pStyle w:val="ListBullet"/>
        <w:spacing w:before="0" w:after="50" w:line="276" w:lineRule="auto"/>
      </w:pPr>
      <w:r>
        <w:rPr>
          <w:rFonts w:ascii="Arial" w:hAnsi="Arial"/>
          <w:b/>
          <w:color w:val="1B365D"/>
          <w:sz w:val="20"/>
        </w:rPr>
        <w:t>Content Summarization:</w:t>
      </w:r>
      <w:r>
        <w:rPr>
          <w:rFonts w:ascii="Arial" w:hAnsi="Arial"/>
          <w:color w:val="212121"/>
          <w:sz w:val="20"/>
        </w:rPr>
        <w:t xml:space="preserve"> Extractive summary synthesis and deterministic spaCy keyword extraction (fully offline, zero hallucinations, no external LLM dependencies).</w:t>
      </w:r>
    </w:p>
    <w:p>
      <w:pPr>
        <w:pStyle w:val="ListBullet"/>
        <w:spacing w:before="0" w:after="50" w:line="276" w:lineRule="auto"/>
      </w:pPr>
      <w:r>
        <w:rPr>
          <w:rFonts w:ascii="Arial" w:hAnsi="Arial"/>
          <w:b/>
          <w:color w:val="1B365D"/>
          <w:sz w:val="20"/>
        </w:rPr>
        <w:t>Semantic Indexing:</w:t>
      </w:r>
      <w:r>
        <w:rPr>
          <w:rFonts w:ascii="Arial" w:hAnsi="Arial"/>
          <w:color w:val="212121"/>
          <w:sz w:val="20"/>
        </w:rPr>
        <w:t xml:space="preserve"> High-dimensional semantic representation computed using the sentence-transformers all-MiniLM-L6-v2 embedding model.</w:t>
      </w:r>
    </w:p>
    <w:p>
      <w:pPr>
        <w:pStyle w:val="ListBullet"/>
        <w:spacing w:before="0" w:after="50" w:line="276" w:lineRule="auto"/>
      </w:pPr>
      <w:r>
        <w:rPr>
          <w:rFonts w:ascii="Arial" w:hAnsi="Arial"/>
          <w:b/>
          <w:color w:val="1B365D"/>
          <w:sz w:val="20"/>
        </w:rPr>
        <w:t>Unified Persistence:</w:t>
      </w:r>
      <w:r>
        <w:rPr>
          <w:rFonts w:ascii="Arial" w:hAnsi="Arial"/>
          <w:color w:val="212121"/>
          <w:sz w:val="20"/>
        </w:rPr>
        <w:t xml:space="preserve"> Unified persistence storing complete UMN metadata records and vector embeddings in PostgreSQL (with pgvector), supporting simultaneous vector similarity queries and relational metadata filters.</w:t>
      </w:r>
    </w:p>
    <w:p>
      <w:pPr>
        <w:pStyle w:val="ListBullet"/>
        <w:spacing w:before="0" w:after="50" w:line="276" w:lineRule="auto"/>
      </w:pPr>
      <w:r>
        <w:rPr>
          <w:rFonts w:ascii="Arial" w:hAnsi="Arial"/>
          <w:b/>
          <w:color w:val="1B365D"/>
          <w:sz w:val="20"/>
        </w:rPr>
        <w:t>FastAPI Backend Service:</w:t>
      </w:r>
      <w:r>
        <w:rPr>
          <w:rFonts w:ascii="Arial" w:hAnsi="Arial"/>
          <w:color w:val="212121"/>
          <w:sz w:val="20"/>
        </w:rPr>
        <w:t xml:space="preserve"> RESTful API endpoints for ingestion triggers, semantic search, and document retrieval.</w:t>
      </w:r>
    </w:p>
    <w:p>
      <w:pPr>
        <w:pStyle w:val="ListBullet"/>
        <w:spacing w:before="0" w:after="50" w:line="276" w:lineRule="auto"/>
      </w:pPr>
      <w:r>
        <w:rPr>
          <w:rFonts w:ascii="Arial" w:hAnsi="Arial"/>
          <w:b/>
          <w:color w:val="1B365D"/>
          <w:sz w:val="20"/>
        </w:rPr>
        <w:t>Streamlit User Interface:</w:t>
      </w:r>
      <w:r>
        <w:rPr>
          <w:rFonts w:ascii="Arial" w:hAnsi="Arial"/>
          <w:color w:val="212121"/>
          <w:sz w:val="20"/>
        </w:rPr>
        <w:t xml:space="preserve"> Clean web user interface providing natural language search, department/type filtering, document metadata inspection, and administrative ingest reports.</w:t>
      </w:r>
    </w:p>
    <w:p>
      <w:pPr>
        <w:pStyle w:val="ListBullet"/>
        <w:spacing w:before="0" w:after="50" w:line="276" w:lineRule="auto"/>
      </w:pPr>
      <w:r>
        <w:rPr>
          <w:rFonts w:ascii="Arial" w:hAnsi="Arial"/>
          <w:b/>
          <w:color w:val="1B365D"/>
          <w:sz w:val="20"/>
        </w:rPr>
        <w:t>Out of Scope for Mini-Project:</w:t>
      </w:r>
      <w:r>
        <w:rPr>
          <w:rFonts w:ascii="Arial" w:hAnsi="Arial"/>
          <w:color w:val="212121"/>
          <w:sz w:val="20"/>
        </w:rPr>
        <w:t xml:space="preserve"> Direct cloud storage connectors (SharePoint, Google Drive), generative LLM agents, and multi-tenant authentication.</w:t>
      </w:r>
    </w:p>
    <w:p>
      <w:pPr>
        <w:keepNext/>
        <w:spacing w:before="200" w:after="60"/>
      </w:pPr>
      <w:r>
        <w:rPr>
          <w:rFonts w:ascii="Arial" w:hAnsi="Arial"/>
          <w:b/>
          <w:color w:val="4A6572"/>
          <w:sz w:val="22"/>
        </w:rPr>
        <w:t>1.3 Definitions, Acronyms, and Abbreviations</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rPr>
              <w:t>Term / Acronym</w:t>
            </w:r>
          </w:p>
        </w:tc>
        <w:tc>
          <w:tcPr>
            <w:tcW w:type="dxa" w:w="4680"/>
            <w:shd w:fill="1B365D"/>
          </w:tcPr>
          <w:p>
            <w:r>
              <w:rPr>
                <w:b/>
                <w:color w:val="FFFFFF"/>
              </w:rPr>
              <w:t>Definition</w:t>
            </w:r>
          </w:p>
        </w:tc>
      </w:tr>
      <w:tr>
        <w:tc>
          <w:tcPr>
            <w:tcW w:type="dxa" w:w="4680"/>
            <w:shd w:fill="F4F6F9"/>
            <w:tcMar>
              <w:top w:w="45" w:type="dxa"/>
              <w:bottom w:w="45" w:type="dxa"/>
              <w:left w:w="80" w:type="dxa"/>
              <w:right w:w="80" w:type="dxa"/>
            </w:tcMar>
          </w:tcPr>
          <w:p>
            <w:r>
              <w:rPr>
                <w:b/>
                <w:color w:val="1B365D"/>
                <w:sz w:val="17"/>
              </w:rPr>
              <w:t>Data Silo</w:t>
            </w:r>
          </w:p>
        </w:tc>
        <w:tc>
          <w:tcPr>
            <w:tcW w:type="dxa" w:w="4680"/>
            <w:shd w:fill="FFFFFF"/>
            <w:tcMar>
              <w:top w:w="45" w:type="dxa"/>
              <w:bottom w:w="45" w:type="dxa"/>
              <w:left w:w="80" w:type="dxa"/>
              <w:right w:w="80" w:type="dxa"/>
            </w:tcMar>
          </w:tcPr>
          <w:p>
            <w:r>
              <w:rPr>
                <w:sz w:val="17"/>
              </w:rPr>
              <w:t>An isolated repository of files and documents controlled by a single department, inaccessible to centralized enterprise search.</w:t>
            </w:r>
          </w:p>
        </w:tc>
      </w:tr>
      <w:tr>
        <w:tc>
          <w:tcPr>
            <w:tcW w:type="dxa" w:w="4680"/>
            <w:shd w:fill="F4F6F9"/>
            <w:tcMar>
              <w:top w:w="45" w:type="dxa"/>
              <w:bottom w:w="45" w:type="dxa"/>
              <w:left w:w="80" w:type="dxa"/>
              <w:right w:w="80" w:type="dxa"/>
            </w:tcMar>
          </w:tcPr>
          <w:p>
            <w:r>
              <w:rPr>
                <w:b/>
                <w:color w:val="1B365D"/>
                <w:sz w:val="17"/>
              </w:rPr>
              <w:t>UMN</w:t>
            </w:r>
          </w:p>
        </w:tc>
        <w:tc>
          <w:tcPr>
            <w:tcW w:type="dxa" w:w="4680"/>
            <w:shd w:fill="FFFFFF"/>
            <w:tcMar>
              <w:top w:w="45" w:type="dxa"/>
              <w:bottom w:w="45" w:type="dxa"/>
              <w:left w:w="80" w:type="dxa"/>
              <w:right w:w="80" w:type="dxa"/>
            </w:tcMar>
          </w:tcPr>
          <w:p>
            <w:r>
              <w:rPr>
                <w:sz w:val="17"/>
              </w:rPr>
              <w:t>Universal Metadata Nomenclature: EKNP's standardized schema, controlled vocabularies, and transformation rules for uniform metadata representation.</w:t>
            </w:r>
          </w:p>
        </w:tc>
      </w:tr>
      <w:tr>
        <w:tc>
          <w:tcPr>
            <w:tcW w:type="dxa" w:w="4680"/>
            <w:shd w:fill="F4F6F9"/>
            <w:tcMar>
              <w:top w:w="45" w:type="dxa"/>
              <w:bottom w:w="45" w:type="dxa"/>
              <w:left w:w="80" w:type="dxa"/>
              <w:right w:w="80" w:type="dxa"/>
            </w:tcMar>
          </w:tcPr>
          <w:p>
            <w:r>
              <w:rPr>
                <w:b/>
                <w:color w:val="1B365D"/>
                <w:sz w:val="17"/>
              </w:rPr>
              <w:t>Semantic Search</w:t>
            </w:r>
          </w:p>
        </w:tc>
        <w:tc>
          <w:tcPr>
            <w:tcW w:type="dxa" w:w="4680"/>
            <w:shd w:fill="FFFFFF"/>
            <w:tcMar>
              <w:top w:w="45" w:type="dxa"/>
              <w:bottom w:w="45" w:type="dxa"/>
              <w:left w:w="80" w:type="dxa"/>
              <w:right w:w="80" w:type="dxa"/>
            </w:tcMar>
          </w:tcPr>
          <w:p>
            <w:r>
              <w:rPr>
                <w:sz w:val="17"/>
              </w:rPr>
              <w:t>Information retrieval based on the conceptual meaning of a user's natural language query using dense vector representations.</w:t>
            </w:r>
          </w:p>
        </w:tc>
      </w:tr>
      <w:tr>
        <w:tc>
          <w:tcPr>
            <w:tcW w:type="dxa" w:w="4680"/>
            <w:shd w:fill="F4F6F9"/>
            <w:tcMar>
              <w:top w:w="45" w:type="dxa"/>
              <w:bottom w:w="45" w:type="dxa"/>
              <w:left w:w="80" w:type="dxa"/>
              <w:right w:w="80" w:type="dxa"/>
            </w:tcMar>
          </w:tcPr>
          <w:p>
            <w:r>
              <w:rPr>
                <w:b/>
                <w:color w:val="1B365D"/>
                <w:sz w:val="17"/>
              </w:rPr>
              <w:t>Provenance</w:t>
            </w:r>
          </w:p>
        </w:tc>
        <w:tc>
          <w:tcPr>
            <w:tcW w:type="dxa" w:w="4680"/>
            <w:shd w:fill="FFFFFF"/>
            <w:tcMar>
              <w:top w:w="45" w:type="dxa"/>
              <w:bottom w:w="45" w:type="dxa"/>
              <w:left w:w="80" w:type="dxa"/>
              <w:right w:w="80" w:type="dxa"/>
            </w:tcMar>
          </w:tcPr>
          <w:p>
            <w:r>
              <w:rPr>
                <w:sz w:val="17"/>
              </w:rPr>
              <w:t>A transparent audit log detailing the exact source key and transformation rule applied to produce each normalized field value.</w:t>
            </w:r>
          </w:p>
        </w:tc>
      </w:tr>
      <w:tr>
        <w:tc>
          <w:tcPr>
            <w:tcW w:type="dxa" w:w="4680"/>
            <w:shd w:fill="F4F6F9"/>
            <w:tcMar>
              <w:top w:w="45" w:type="dxa"/>
              <w:bottom w:w="45" w:type="dxa"/>
              <w:left w:w="80" w:type="dxa"/>
              <w:right w:w="80" w:type="dxa"/>
            </w:tcMar>
          </w:tcPr>
          <w:p>
            <w:r>
              <w:rPr>
                <w:b/>
                <w:color w:val="1B365D"/>
                <w:sz w:val="17"/>
              </w:rPr>
              <w:t>Deterministic Processing</w:t>
            </w:r>
          </w:p>
        </w:tc>
        <w:tc>
          <w:tcPr>
            <w:tcW w:type="dxa" w:w="4680"/>
            <w:shd w:fill="FFFFFF"/>
            <w:tcMar>
              <w:top w:w="45" w:type="dxa"/>
              <w:bottom w:w="45" w:type="dxa"/>
              <w:left w:w="80" w:type="dxa"/>
              <w:right w:w="80" w:type="dxa"/>
            </w:tcMar>
          </w:tcPr>
          <w:p>
            <w:r>
              <w:rPr>
                <w:sz w:val="17"/>
              </w:rPr>
              <w:t>System behavior guaranteeing that identical source file inputs always produce identical output records.</w:t>
            </w:r>
          </w:p>
        </w:tc>
      </w:tr>
      <w:tr>
        <w:tc>
          <w:tcPr>
            <w:tcW w:type="dxa" w:w="4680"/>
            <w:shd w:fill="F4F6F9"/>
            <w:tcMar>
              <w:top w:w="45" w:type="dxa"/>
              <w:bottom w:w="45" w:type="dxa"/>
              <w:left w:w="80" w:type="dxa"/>
              <w:right w:w="80" w:type="dxa"/>
            </w:tcMar>
          </w:tcPr>
          <w:p>
            <w:r>
              <w:rPr>
                <w:b/>
                <w:color w:val="1B365D"/>
                <w:sz w:val="17"/>
              </w:rPr>
              <w:t>OCR</w:t>
            </w:r>
          </w:p>
        </w:tc>
        <w:tc>
          <w:tcPr>
            <w:tcW w:type="dxa" w:w="4680"/>
            <w:shd w:fill="FFFFFF"/>
            <w:tcMar>
              <w:top w:w="45" w:type="dxa"/>
              <w:bottom w:w="45" w:type="dxa"/>
              <w:left w:w="80" w:type="dxa"/>
              <w:right w:w="80" w:type="dxa"/>
            </w:tcMar>
          </w:tcPr>
          <w:p>
            <w:r>
              <w:rPr>
                <w:sz w:val="17"/>
              </w:rPr>
              <w:t>Optical Character Recognition: Technology to extract textual content from images and scanned documents.</w:t>
            </w:r>
          </w:p>
        </w:tc>
      </w:tr>
    </w:tbl>
    <w:p>
      <w:pPr>
        <w:spacing w:after="120"/>
      </w:pPr>
    </w:p>
    <w:p>
      <w:pPr>
        <w:keepNext/>
        <w:spacing w:before="280" w:after="80"/>
      </w:pPr>
      <w:r>
        <w:rPr>
          <w:rFonts w:ascii="Arial" w:hAnsi="Arial"/>
          <w:b/>
          <w:color w:val="1B365D"/>
          <w:sz w:val="26"/>
        </w:rPr>
        <w:t>2. OVERALL DESCRIPTION</w:t>
      </w:r>
    </w:p>
    <w:p>
      <w:pPr>
        <w:keepNext/>
        <w:spacing w:before="200" w:after="60"/>
      </w:pPr>
      <w:r>
        <w:rPr>
          <w:rFonts w:ascii="Arial" w:hAnsi="Arial"/>
          <w:b/>
          <w:color w:val="4A6572"/>
          <w:sz w:val="22"/>
        </w:rPr>
        <w:t>2.1 Product Perspective</w:t>
      </w:r>
    </w:p>
    <w:p>
      <w:pPr>
        <w:spacing w:before="0" w:after="80" w:line="276" w:lineRule="auto"/>
      </w:pPr>
      <w:r>
        <w:rPr>
          <w:rFonts w:ascii="Arial" w:hAnsi="Arial"/>
          <w:color w:val="212121"/>
          <w:sz w:val="20"/>
        </w:rPr>
        <w:t>EKNP operates as a non-invasive middleware bridge between departmental document repositories and enterprise knowledge workers. It strictly maintains read-only access to source file repositories. Instead of enforcing disruptive centralized data migrations, EKNP discovers files in place, translates heterogeneous native metadata into the uniform UMN standard, indexes textual representations, and exposes a high-speed search and discovery interface.</w:t>
      </w:r>
    </w:p>
    <w:p>
      <w:pPr>
        <w:keepNext/>
        <w:spacing w:before="200" w:after="60"/>
      </w:pPr>
      <w:r>
        <w:rPr>
          <w:rFonts w:ascii="Arial" w:hAnsi="Arial"/>
          <w:b/>
          <w:color w:val="4A6572"/>
          <w:sz w:val="22"/>
        </w:rPr>
        <w:t>2.2 System Architecture Pipeline</w:t>
      </w:r>
    </w:p>
    <w:p>
      <w:pPr>
        <w:spacing w:before="0" w:after="80" w:line="276" w:lineRule="auto"/>
      </w:pPr>
      <w:r>
        <w:rPr>
          <w:rFonts w:ascii="Arial" w:hAnsi="Arial"/>
          <w:color w:val="212121"/>
          <w:sz w:val="20"/>
        </w:rPr>
        <w:t>The end-to-end processing lifecycle is structured into 6 sequential phases:</w:t>
      </w:r>
    </w:p>
    <w:p>
      <w:pPr>
        <w:pStyle w:val="ListBullet"/>
        <w:spacing w:before="0" w:after="50" w:line="276" w:lineRule="auto"/>
      </w:pPr>
      <w:r>
        <w:rPr>
          <w:rFonts w:ascii="Arial" w:hAnsi="Arial"/>
          <w:b/>
          <w:color w:val="1B365D"/>
          <w:sz w:val="20"/>
        </w:rPr>
        <w:t xml:space="preserve">1. File Discovery &amp; Ingestion: </w:t>
      </w:r>
      <w:r>
        <w:rPr>
          <w:rFonts w:ascii="Arial" w:hAnsi="Arial"/>
          <w:color w:val="212121"/>
          <w:sz w:val="20"/>
        </w:rPr>
        <w:t xml:space="preserve"> Silo connectors discover files recursively and track changes using SHA-256 cryptographic hashes.</w:t>
      </w:r>
    </w:p>
    <w:p>
      <w:pPr>
        <w:pStyle w:val="ListBullet"/>
        <w:spacing w:before="0" w:after="50" w:line="276" w:lineRule="auto"/>
      </w:pPr>
      <w:r>
        <w:rPr>
          <w:rFonts w:ascii="Arial" w:hAnsi="Arial"/>
          <w:b/>
          <w:color w:val="1B365D"/>
          <w:sz w:val="20"/>
        </w:rPr>
        <w:t xml:space="preserve">2. Content Extraction: </w:t>
      </w:r>
      <w:r>
        <w:rPr>
          <w:rFonts w:ascii="Arial" w:hAnsi="Arial"/>
          <w:color w:val="212121"/>
          <w:sz w:val="20"/>
        </w:rPr>
        <w:t xml:space="preserve"> Dedicated parsers (PyMuPDF, python-docx, python-pptx, openpyxl, EasyOCR) extract native properties and readable content.</w:t>
      </w:r>
    </w:p>
    <w:p>
      <w:pPr>
        <w:pStyle w:val="ListBullet"/>
        <w:spacing w:before="0" w:after="50" w:line="276" w:lineRule="auto"/>
      </w:pPr>
      <w:r>
        <w:rPr>
          <w:rFonts w:ascii="Arial" w:hAnsi="Arial"/>
          <w:b/>
          <w:color w:val="1B365D"/>
          <w:sz w:val="20"/>
        </w:rPr>
        <w:t xml:space="preserve">3. UMN Normalization: </w:t>
      </w:r>
      <w:r>
        <w:rPr>
          <w:rFonts w:ascii="Arial" w:hAnsi="Arial"/>
          <w:color w:val="212121"/>
          <w:sz w:val="20"/>
        </w:rPr>
        <w:t xml:space="preserve"> Crosswalk mapping tables, format parsers, and title resolvers map native metadata into valid UMN records.</w:t>
      </w:r>
    </w:p>
    <w:p>
      <w:pPr>
        <w:pStyle w:val="ListBullet"/>
        <w:spacing w:before="0" w:after="50" w:line="276" w:lineRule="auto"/>
      </w:pPr>
      <w:r>
        <w:rPr>
          <w:rFonts w:ascii="Arial" w:hAnsi="Arial"/>
          <w:b/>
          <w:color w:val="1B365D"/>
          <w:sz w:val="20"/>
        </w:rPr>
        <w:t xml:space="preserve">4. Vector Embedding: </w:t>
      </w:r>
      <w:r>
        <w:rPr>
          <w:rFonts w:ascii="Arial" w:hAnsi="Arial"/>
          <w:color w:val="212121"/>
          <w:sz w:val="20"/>
        </w:rPr>
        <w:t xml:space="preserve"> Sentence-transformer models encode the normalized summary, title, and keywords into a dense vector embedding.</w:t>
      </w:r>
    </w:p>
    <w:p>
      <w:pPr>
        <w:pStyle w:val="ListBullet"/>
        <w:spacing w:before="0" w:after="50" w:line="276" w:lineRule="auto"/>
      </w:pPr>
      <w:r>
        <w:rPr>
          <w:rFonts w:ascii="Arial" w:hAnsi="Arial"/>
          <w:b/>
          <w:color w:val="1B365D"/>
          <w:sz w:val="20"/>
        </w:rPr>
        <w:t xml:space="preserve">5. Centralized Storage: </w:t>
      </w:r>
      <w:r>
        <w:rPr>
          <w:rFonts w:ascii="Arial" w:hAnsi="Arial"/>
          <w:color w:val="212121"/>
          <w:sz w:val="20"/>
        </w:rPr>
        <w:t xml:space="preserve"> Metadata records and vector representations are committed to PostgreSQL, utilizing HNSW vector indexes for fast cosine distance matching.</w:t>
      </w:r>
    </w:p>
    <w:p>
      <w:pPr>
        <w:pStyle w:val="ListBullet"/>
        <w:spacing w:before="0" w:after="50" w:line="276" w:lineRule="auto"/>
      </w:pPr>
      <w:r>
        <w:rPr>
          <w:rFonts w:ascii="Arial" w:hAnsi="Arial"/>
          <w:b/>
          <w:color w:val="1B365D"/>
          <w:sz w:val="20"/>
        </w:rPr>
        <w:t xml:space="preserve">6. Search &amp; User Interface: </w:t>
      </w:r>
      <w:r>
        <w:rPr>
          <w:rFonts w:ascii="Arial" w:hAnsi="Arial"/>
          <w:color w:val="212121"/>
          <w:sz w:val="20"/>
        </w:rPr>
        <w:t xml:space="preserve"> FastAPI exposes search and administrative endpoints consumed by an intuitive Streamlit web interface.</w:t>
      </w:r>
    </w:p>
    <w:p>
      <w:pPr>
        <w:keepNext/>
        <w:spacing w:before="200" w:after="60"/>
      </w:pPr>
      <w:r>
        <w:rPr>
          <w:rFonts w:ascii="Arial" w:hAnsi="Arial"/>
          <w:b/>
          <w:color w:val="4A6572"/>
          <w:sz w:val="22"/>
        </w:rPr>
        <w:t>2.3 User Classes and Roles</w:t>
      </w:r>
    </w:p>
    <w:p>
      <w:pPr>
        <w:pStyle w:val="ListBullet"/>
        <w:spacing w:before="0" w:after="50" w:line="276" w:lineRule="auto"/>
      </w:pPr>
      <w:r>
        <w:rPr>
          <w:rFonts w:ascii="Arial" w:hAnsi="Arial"/>
          <w:b/>
          <w:color w:val="1B365D"/>
          <w:sz w:val="20"/>
        </w:rPr>
        <w:t>Knowledge Worker (End User):</w:t>
      </w:r>
      <w:r>
        <w:rPr>
          <w:rFonts w:ascii="Arial" w:hAnsi="Arial"/>
          <w:color w:val="212121"/>
          <w:sz w:val="20"/>
        </w:rPr>
        <w:t xml:space="preserve"> Searches for documents using natural language queries, applies departmental and document-type filters, reviews extractive summaries, inspects UMN metadata, and accesses source documents.</w:t>
      </w:r>
    </w:p>
    <w:p>
      <w:pPr>
        <w:pStyle w:val="ListBullet"/>
        <w:spacing w:before="0" w:after="50" w:line="276" w:lineRule="auto"/>
      </w:pPr>
      <w:r>
        <w:rPr>
          <w:rFonts w:ascii="Arial" w:hAnsi="Arial"/>
          <w:b/>
          <w:color w:val="1B365D"/>
          <w:sz w:val="20"/>
        </w:rPr>
        <w:t>Data Steward / Administrator:</w:t>
      </w:r>
      <w:r>
        <w:rPr>
          <w:rFonts w:ascii="Arial" w:hAnsi="Arial"/>
          <w:color w:val="212121"/>
          <w:sz w:val="20"/>
        </w:rPr>
        <w:t xml:space="preserve"> Configures silo storage directories, initiates ingestion cycles, monitors processing logs, and reviews ingestion performance and error reports.</w:t>
      </w:r>
    </w:p>
    <w:p>
      <w:pPr>
        <w:keepNext/>
        <w:spacing w:before="200" w:after="60"/>
      </w:pPr>
      <w:r>
        <w:rPr>
          <w:rFonts w:ascii="Arial" w:hAnsi="Arial"/>
          <w:b/>
          <w:color w:val="4A6572"/>
          <w:sz w:val="22"/>
        </w:rPr>
        <w:t>2.4 Design Constraints &amp; Operational Assumptions</w:t>
      </w:r>
    </w:p>
    <w:p>
      <w:pPr>
        <w:pStyle w:val="ListBullet"/>
        <w:spacing w:before="0" w:after="50" w:line="276" w:lineRule="auto"/>
      </w:pPr>
      <w:r>
        <w:rPr>
          <w:rFonts w:ascii="Arial" w:hAnsi="Arial"/>
          <w:b/>
          <w:color w:val="1B365D"/>
          <w:sz w:val="20"/>
        </w:rPr>
        <w:t>Non-Destructive Guarantee:</w:t>
      </w:r>
      <w:r>
        <w:rPr>
          <w:rFonts w:ascii="Arial" w:hAnsi="Arial"/>
          <w:color w:val="212121"/>
          <w:sz w:val="20"/>
        </w:rPr>
        <w:t xml:space="preserve"> Original enterprise documents must remain 100% unaltered in their native directories under all conditions.</w:t>
      </w:r>
    </w:p>
    <w:p>
      <w:pPr>
        <w:pStyle w:val="ListBullet"/>
        <w:spacing w:before="0" w:after="50" w:line="276" w:lineRule="auto"/>
      </w:pPr>
      <w:r>
        <w:rPr>
          <w:rFonts w:ascii="Arial" w:hAnsi="Arial"/>
          <w:b/>
          <w:color w:val="1B365D"/>
          <w:sz w:val="20"/>
        </w:rPr>
        <w:t>Data Privacy &amp; Portability:</w:t>
      </w:r>
      <w:r>
        <w:rPr>
          <w:rFonts w:ascii="Arial" w:hAnsi="Arial"/>
          <w:color w:val="212121"/>
          <w:sz w:val="20"/>
        </w:rPr>
        <w:t xml:space="preserve"> All parsers, embedding models, database operations, and user interfaces must execute entirely on local hardware without sending document content to external third-party cloud APIs.</w:t>
      </w:r>
    </w:p>
    <w:p>
      <w:pPr>
        <w:pStyle w:val="ListBullet"/>
        <w:spacing w:before="0" w:after="50" w:line="276" w:lineRule="auto"/>
      </w:pPr>
      <w:r>
        <w:rPr>
          <w:rFonts w:ascii="Arial" w:hAnsi="Arial"/>
          <w:b/>
          <w:color w:val="1B365D"/>
          <w:sz w:val="20"/>
        </w:rPr>
        <w:t>Content Scope:</w:t>
      </w:r>
      <w:r>
        <w:rPr>
          <w:rFonts w:ascii="Arial" w:hAnsi="Arial"/>
          <w:color w:val="212121"/>
          <w:sz w:val="20"/>
        </w:rPr>
        <w:t xml:space="preserve"> The primary language of enterprise documents is English, with support for standard Office and plain text formats.</w:t>
      </w:r>
    </w:p>
    <w:p>
      <w:pPr>
        <w:pStyle w:val="ListBullet"/>
        <w:spacing w:before="0" w:after="50" w:line="276" w:lineRule="auto"/>
      </w:pPr>
      <w:r>
        <w:rPr>
          <w:rFonts w:ascii="Arial" w:hAnsi="Arial"/>
          <w:b/>
          <w:color w:val="1B365D"/>
          <w:sz w:val="20"/>
        </w:rPr>
        <w:t>Persistence Engine:</w:t>
      </w:r>
      <w:r>
        <w:rPr>
          <w:rFonts w:ascii="Arial" w:hAnsi="Arial"/>
          <w:color w:val="212121"/>
          <w:sz w:val="20"/>
        </w:rPr>
        <w:t xml:space="preserve"> Metadata and dense vectors are persisted in PostgreSQL using the pgvector extension to guarantee unified transactional consistency and atomic updates.</w:t>
      </w:r>
    </w:p>
    <w:p>
      <w:pPr>
        <w:keepNext/>
        <w:spacing w:before="280" w:after="80"/>
      </w:pPr>
      <w:r>
        <w:rPr>
          <w:rFonts w:ascii="Arial" w:hAnsi="Arial"/>
          <w:b/>
          <w:color w:val="1B365D"/>
          <w:sz w:val="26"/>
        </w:rPr>
        <w:t>3. EXTERNAL INTERFACE REQUIREMENTS</w:t>
      </w:r>
    </w:p>
    <w:p>
      <w:pPr>
        <w:keepNext/>
        <w:spacing w:before="200" w:after="60"/>
      </w:pPr>
      <w:r>
        <w:rPr>
          <w:rFonts w:ascii="Arial" w:hAnsi="Arial"/>
          <w:b/>
          <w:color w:val="4A6572"/>
          <w:sz w:val="22"/>
        </w:rPr>
        <w:t>3.1 User Interfaces (Streamlit)</w:t>
      </w:r>
    </w:p>
    <w:p>
      <w:pPr>
        <w:pStyle w:val="ListBullet"/>
        <w:spacing w:before="0" w:after="50" w:line="276" w:lineRule="auto"/>
      </w:pPr>
      <w:r>
        <w:rPr>
          <w:rFonts w:ascii="Arial" w:hAnsi="Arial"/>
          <w:b/>
          <w:color w:val="1B365D"/>
          <w:sz w:val="20"/>
        </w:rPr>
        <w:t>Search &amp; Discovery Screen:</w:t>
      </w:r>
      <w:r>
        <w:rPr>
          <w:rFonts w:ascii="Arial" w:hAnsi="Arial"/>
          <w:color w:val="212121"/>
          <w:sz w:val="20"/>
        </w:rPr>
        <w:t xml:space="preserve"> Includes a natural language search bar, department and document-type filter dropdowns, and relevance sliders. Results are rendered as ranked cards showing document title, extractive summary, department, document type, match score, and direct file links.</w:t>
      </w:r>
    </w:p>
    <w:p>
      <w:pPr>
        <w:pStyle w:val="ListBullet"/>
        <w:spacing w:before="0" w:after="50" w:line="276" w:lineRule="auto"/>
      </w:pPr>
      <w:r>
        <w:rPr>
          <w:rFonts w:ascii="Arial" w:hAnsi="Arial"/>
          <w:b/>
          <w:color w:val="1B365D"/>
          <w:sz w:val="20"/>
        </w:rPr>
        <w:t>Document Inspection Screen:</w:t>
      </w:r>
      <w:r>
        <w:rPr>
          <w:rFonts w:ascii="Arial" w:hAnsi="Arial"/>
          <w:color w:val="212121"/>
          <w:sz w:val="20"/>
        </w:rPr>
        <w:t xml:space="preserve"> An expandable modal allowing users to inspect the complete UMN JSON record, provenance audit trails, and raw extracted metadata.</w:t>
      </w:r>
    </w:p>
    <w:p>
      <w:pPr>
        <w:pStyle w:val="ListBullet"/>
        <w:spacing w:before="0" w:after="50" w:line="276" w:lineRule="auto"/>
      </w:pPr>
      <w:r>
        <w:rPr>
          <w:rFonts w:ascii="Arial" w:hAnsi="Arial"/>
          <w:b/>
          <w:color w:val="1B365D"/>
          <w:sz w:val="20"/>
        </w:rPr>
        <w:t>Administrative Dashboard:</w:t>
      </w:r>
      <w:r>
        <w:rPr>
          <w:rFonts w:ascii="Arial" w:hAnsi="Arial"/>
          <w:color w:val="212121"/>
          <w:sz w:val="20"/>
        </w:rPr>
        <w:t xml:space="preserve"> Overview of registered silos, total indexed document counts, manual ingestion trigger button, and detailed execution logs (processed, skipped, and failed documents).</w:t>
      </w:r>
    </w:p>
    <w:p>
      <w:pPr>
        <w:keepNext/>
        <w:spacing w:before="200" w:after="60"/>
      </w:pPr>
      <w:r>
        <w:rPr>
          <w:rFonts w:ascii="Arial" w:hAnsi="Arial"/>
          <w:b/>
          <w:color w:val="4A6572"/>
          <w:sz w:val="22"/>
        </w:rPr>
        <w:t>3.2 Application Programming Interface (FastAPI)</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rPr>
              <w:t>Method</w:t>
            </w:r>
          </w:p>
        </w:tc>
        <w:tc>
          <w:tcPr>
            <w:tcW w:type="dxa" w:w="2340"/>
            <w:shd w:fill="1B365D"/>
          </w:tcPr>
          <w:p>
            <w:r>
              <w:rPr>
                <w:b/>
                <w:color w:val="FFFFFF"/>
              </w:rPr>
              <w:t>Endpoint Path</w:t>
            </w:r>
          </w:p>
        </w:tc>
        <w:tc>
          <w:tcPr>
            <w:tcW w:type="dxa" w:w="2340"/>
            <w:shd w:fill="1B365D"/>
          </w:tcPr>
          <w:p>
            <w:r>
              <w:rPr>
                <w:b/>
                <w:color w:val="FFFFFF"/>
              </w:rPr>
              <w:t>Parameters</w:t>
            </w:r>
          </w:p>
        </w:tc>
        <w:tc>
          <w:tcPr>
            <w:tcW w:type="dxa" w:w="2340"/>
            <w:shd w:fill="1B365D"/>
          </w:tcPr>
          <w:p>
            <w:r>
              <w:rPr>
                <w:b/>
                <w:color w:val="FFFFFF"/>
              </w:rPr>
              <w:t>Description &amp; Response</w:t>
            </w:r>
          </w:p>
        </w:tc>
      </w:tr>
      <w:tr>
        <w:tc>
          <w:tcPr>
            <w:tcW w:type="dxa" w:w="2340"/>
            <w:shd w:fill="F4F6F9"/>
            <w:tcMar>
              <w:top w:w="45" w:type="dxa"/>
              <w:bottom w:w="45" w:type="dxa"/>
              <w:left w:w="75" w:type="dxa"/>
              <w:right w:w="75" w:type="dxa"/>
            </w:tcMar>
          </w:tcPr>
          <w:p>
            <w:r>
              <w:rPr>
                <w:b/>
                <w:sz w:val="17"/>
              </w:rPr>
              <w:t>POST</w:t>
            </w:r>
          </w:p>
        </w:tc>
        <w:tc>
          <w:tcPr>
            <w:tcW w:type="dxa" w:w="2340"/>
            <w:shd w:fill="FFFFFF"/>
            <w:tcMar>
              <w:top w:w="45" w:type="dxa"/>
              <w:bottom w:w="45" w:type="dxa"/>
              <w:left w:w="75" w:type="dxa"/>
              <w:right w:w="75" w:type="dxa"/>
            </w:tcMar>
          </w:tcPr>
          <w:p>
            <w:r>
              <w:rPr>
                <w:sz w:val="17"/>
              </w:rPr>
              <w:t>/ingest</w:t>
            </w:r>
          </w:p>
        </w:tc>
        <w:tc>
          <w:tcPr>
            <w:tcW w:type="dxa" w:w="2340"/>
            <w:shd w:fill="FFFFFF"/>
            <w:tcMar>
              <w:top w:w="45" w:type="dxa"/>
              <w:bottom w:w="45" w:type="dxa"/>
              <w:left w:w="75" w:type="dxa"/>
              <w:right w:w="75" w:type="dxa"/>
            </w:tcMar>
          </w:tcPr>
          <w:p>
            <w:r>
              <w:rPr>
                <w:sz w:val="17"/>
              </w:rPr>
              <w:t>silo_id (optional)</w:t>
            </w:r>
          </w:p>
        </w:tc>
        <w:tc>
          <w:tcPr>
            <w:tcW w:type="dxa" w:w="2340"/>
            <w:shd w:fill="FFFFFF"/>
            <w:tcMar>
              <w:top w:w="45" w:type="dxa"/>
              <w:bottom w:w="45" w:type="dxa"/>
              <w:left w:w="75" w:type="dxa"/>
              <w:right w:w="75" w:type="dxa"/>
            </w:tcMar>
          </w:tcPr>
          <w:p>
            <w:r>
              <w:rPr>
                <w:sz w:val="17"/>
              </w:rPr>
              <w:t>Triggers ingestion for all or specified silos; returns IngestionReport.</w:t>
            </w:r>
          </w:p>
        </w:tc>
      </w:tr>
      <w:tr>
        <w:tc>
          <w:tcPr>
            <w:tcW w:type="dxa" w:w="2340"/>
            <w:shd w:fill="F4F6F9"/>
            <w:tcMar>
              <w:top w:w="45" w:type="dxa"/>
              <w:bottom w:w="45" w:type="dxa"/>
              <w:left w:w="75" w:type="dxa"/>
              <w:right w:w="75" w:type="dxa"/>
            </w:tcMar>
          </w:tcPr>
          <w:p>
            <w:r>
              <w:rPr>
                <w:b/>
                <w:sz w:val="17"/>
              </w:rPr>
              <w:t>GET</w:t>
            </w:r>
          </w:p>
        </w:tc>
        <w:tc>
          <w:tcPr>
            <w:tcW w:type="dxa" w:w="2340"/>
            <w:shd w:fill="FFFFFF"/>
            <w:tcMar>
              <w:top w:w="45" w:type="dxa"/>
              <w:bottom w:w="45" w:type="dxa"/>
              <w:left w:w="75" w:type="dxa"/>
              <w:right w:w="75" w:type="dxa"/>
            </w:tcMar>
          </w:tcPr>
          <w:p>
            <w:r>
              <w:rPr>
                <w:sz w:val="17"/>
              </w:rPr>
              <w:t>/search</w:t>
            </w:r>
          </w:p>
        </w:tc>
        <w:tc>
          <w:tcPr>
            <w:tcW w:type="dxa" w:w="2340"/>
            <w:shd w:fill="FFFFFF"/>
            <w:tcMar>
              <w:top w:w="45" w:type="dxa"/>
              <w:bottom w:w="45" w:type="dxa"/>
              <w:left w:w="75" w:type="dxa"/>
              <w:right w:w="75" w:type="dxa"/>
            </w:tcMar>
          </w:tcPr>
          <w:p>
            <w:r>
              <w:rPr>
                <w:sz w:val="17"/>
              </w:rPr>
              <w:t>q, k, department, type</w:t>
            </w:r>
          </w:p>
        </w:tc>
        <w:tc>
          <w:tcPr>
            <w:tcW w:type="dxa" w:w="2340"/>
            <w:shd w:fill="FFFFFF"/>
            <w:tcMar>
              <w:top w:w="45" w:type="dxa"/>
              <w:bottom w:w="45" w:type="dxa"/>
              <w:left w:w="75" w:type="dxa"/>
              <w:right w:w="75" w:type="dxa"/>
            </w:tcMar>
          </w:tcPr>
          <w:p>
            <w:r>
              <w:rPr>
                <w:sz w:val="17"/>
              </w:rPr>
              <w:t>Executes semantic query search with optional metadata filters; returns ranked results.</w:t>
            </w:r>
          </w:p>
        </w:tc>
      </w:tr>
      <w:tr>
        <w:tc>
          <w:tcPr>
            <w:tcW w:type="dxa" w:w="2340"/>
            <w:shd w:fill="F4F6F9"/>
            <w:tcMar>
              <w:top w:w="45" w:type="dxa"/>
              <w:bottom w:w="45" w:type="dxa"/>
              <w:left w:w="75" w:type="dxa"/>
              <w:right w:w="75" w:type="dxa"/>
            </w:tcMar>
          </w:tcPr>
          <w:p>
            <w:r>
              <w:rPr>
                <w:b/>
                <w:sz w:val="17"/>
              </w:rPr>
              <w:t>GET</w:t>
            </w:r>
          </w:p>
        </w:tc>
        <w:tc>
          <w:tcPr>
            <w:tcW w:type="dxa" w:w="2340"/>
            <w:shd w:fill="FFFFFF"/>
            <w:tcMar>
              <w:top w:w="45" w:type="dxa"/>
              <w:bottom w:w="45" w:type="dxa"/>
              <w:left w:w="75" w:type="dxa"/>
              <w:right w:w="75" w:type="dxa"/>
            </w:tcMar>
          </w:tcPr>
          <w:p>
            <w:r>
              <w:rPr>
                <w:sz w:val="17"/>
              </w:rPr>
              <w:t>/documents/{umn_id}</w:t>
            </w:r>
          </w:p>
        </w:tc>
        <w:tc>
          <w:tcPr>
            <w:tcW w:type="dxa" w:w="2340"/>
            <w:shd w:fill="FFFFFF"/>
            <w:tcMar>
              <w:top w:w="45" w:type="dxa"/>
              <w:bottom w:w="45" w:type="dxa"/>
              <w:left w:w="75" w:type="dxa"/>
              <w:right w:w="75" w:type="dxa"/>
            </w:tcMar>
          </w:tcPr>
          <w:p>
            <w:r>
              <w:rPr>
                <w:sz w:val="17"/>
              </w:rPr>
              <w:t>umn_id (path)</w:t>
            </w:r>
          </w:p>
        </w:tc>
        <w:tc>
          <w:tcPr>
            <w:tcW w:type="dxa" w:w="2340"/>
            <w:shd w:fill="FFFFFF"/>
            <w:tcMar>
              <w:top w:w="45" w:type="dxa"/>
              <w:bottom w:w="45" w:type="dxa"/>
              <w:left w:w="75" w:type="dxa"/>
              <w:right w:w="75" w:type="dxa"/>
            </w:tcMar>
          </w:tcPr>
          <w:p>
            <w:r>
              <w:rPr>
                <w:sz w:val="17"/>
              </w:rPr>
              <w:t>Retrieves full normalized UMN record, provenance, and raw native metadata.</w:t>
            </w:r>
          </w:p>
        </w:tc>
      </w:tr>
      <w:tr>
        <w:tc>
          <w:tcPr>
            <w:tcW w:type="dxa" w:w="2340"/>
            <w:shd w:fill="F4F6F9"/>
            <w:tcMar>
              <w:top w:w="45" w:type="dxa"/>
              <w:bottom w:w="45" w:type="dxa"/>
              <w:left w:w="75" w:type="dxa"/>
              <w:right w:w="75" w:type="dxa"/>
            </w:tcMar>
          </w:tcPr>
          <w:p>
            <w:r>
              <w:rPr>
                <w:b/>
                <w:sz w:val="17"/>
              </w:rPr>
              <w:t>GET</w:t>
            </w:r>
          </w:p>
        </w:tc>
        <w:tc>
          <w:tcPr>
            <w:tcW w:type="dxa" w:w="2340"/>
            <w:shd w:fill="FFFFFF"/>
            <w:tcMar>
              <w:top w:w="45" w:type="dxa"/>
              <w:bottom w:w="45" w:type="dxa"/>
              <w:left w:w="75" w:type="dxa"/>
              <w:right w:w="75" w:type="dxa"/>
            </w:tcMar>
          </w:tcPr>
          <w:p>
            <w:r>
              <w:rPr>
                <w:sz w:val="17"/>
              </w:rPr>
              <w:t>/silos</w:t>
            </w:r>
          </w:p>
        </w:tc>
        <w:tc>
          <w:tcPr>
            <w:tcW w:type="dxa" w:w="2340"/>
            <w:shd w:fill="FFFFFF"/>
            <w:tcMar>
              <w:top w:w="45" w:type="dxa"/>
              <w:bottom w:w="45" w:type="dxa"/>
              <w:left w:w="75" w:type="dxa"/>
              <w:right w:w="75" w:type="dxa"/>
            </w:tcMar>
          </w:tcPr>
          <w:p>
            <w:r>
              <w:rPr>
                <w:sz w:val="17"/>
              </w:rPr>
              <w:t>None</w:t>
            </w:r>
          </w:p>
        </w:tc>
        <w:tc>
          <w:tcPr>
            <w:tcW w:type="dxa" w:w="2340"/>
            <w:shd w:fill="FFFFFF"/>
            <w:tcMar>
              <w:top w:w="45" w:type="dxa"/>
              <w:bottom w:w="45" w:type="dxa"/>
              <w:left w:w="75" w:type="dxa"/>
              <w:right w:w="75" w:type="dxa"/>
            </w:tcMar>
          </w:tcPr>
          <w:p>
            <w:r>
              <w:rPr>
                <w:sz w:val="17"/>
              </w:rPr>
              <w:t>Lists configured silos, root storage directories, and file counts.</w:t>
            </w:r>
          </w:p>
        </w:tc>
      </w:tr>
      <w:tr>
        <w:tc>
          <w:tcPr>
            <w:tcW w:type="dxa" w:w="2340"/>
            <w:shd w:fill="F4F6F9"/>
            <w:tcMar>
              <w:top w:w="45" w:type="dxa"/>
              <w:bottom w:w="45" w:type="dxa"/>
              <w:left w:w="75" w:type="dxa"/>
              <w:right w:w="75" w:type="dxa"/>
            </w:tcMar>
          </w:tcPr>
          <w:p>
            <w:r>
              <w:rPr>
                <w:b/>
                <w:sz w:val="17"/>
              </w:rPr>
              <w:t>GET</w:t>
            </w:r>
          </w:p>
        </w:tc>
        <w:tc>
          <w:tcPr>
            <w:tcW w:type="dxa" w:w="2340"/>
            <w:shd w:fill="FFFFFF"/>
            <w:tcMar>
              <w:top w:w="45" w:type="dxa"/>
              <w:bottom w:w="45" w:type="dxa"/>
              <w:left w:w="75" w:type="dxa"/>
              <w:right w:w="75" w:type="dxa"/>
            </w:tcMar>
          </w:tcPr>
          <w:p>
            <w:r>
              <w:rPr>
                <w:sz w:val="17"/>
              </w:rPr>
              <w:t>/health</w:t>
            </w:r>
          </w:p>
        </w:tc>
        <w:tc>
          <w:tcPr>
            <w:tcW w:type="dxa" w:w="2340"/>
            <w:shd w:fill="FFFFFF"/>
            <w:tcMar>
              <w:top w:w="45" w:type="dxa"/>
              <w:bottom w:w="45" w:type="dxa"/>
              <w:left w:w="75" w:type="dxa"/>
              <w:right w:w="75" w:type="dxa"/>
            </w:tcMar>
          </w:tcPr>
          <w:p>
            <w:r>
              <w:rPr>
                <w:sz w:val="17"/>
              </w:rPr>
              <w:t>None</w:t>
            </w:r>
          </w:p>
        </w:tc>
        <w:tc>
          <w:tcPr>
            <w:tcW w:type="dxa" w:w="2340"/>
            <w:shd w:fill="FFFFFF"/>
            <w:tcMar>
              <w:top w:w="45" w:type="dxa"/>
              <w:bottom w:w="45" w:type="dxa"/>
              <w:left w:w="75" w:type="dxa"/>
              <w:right w:w="75" w:type="dxa"/>
            </w:tcMar>
          </w:tcPr>
          <w:p>
            <w:r>
              <w:rPr>
                <w:sz w:val="17"/>
              </w:rPr>
              <w:t>Returns API health status, database connectivity, and model state.</w:t>
            </w:r>
          </w:p>
        </w:tc>
      </w:tr>
    </w:tbl>
    <w:p>
      <w:pPr>
        <w:spacing w:after="120"/>
      </w:pPr>
    </w:p>
    <w:p>
      <w:pPr>
        <w:keepNext/>
        <w:spacing w:before="200" w:after="60"/>
      </w:pPr>
      <w:r>
        <w:rPr>
          <w:rFonts w:ascii="Arial" w:hAnsi="Arial"/>
          <w:b/>
          <w:color w:val="4A6572"/>
          <w:sz w:val="22"/>
        </w:rPr>
        <w:t>3.3 Database Storage Specification</w:t>
      </w:r>
    </w:p>
    <w:p>
      <w:pPr>
        <w:spacing w:before="0" w:after="80" w:line="276" w:lineRule="auto"/>
      </w:pPr>
      <w:r>
        <w:rPr>
          <w:rFonts w:ascii="Arial" w:hAnsi="Arial"/>
          <w:color w:val="212121"/>
          <w:sz w:val="20"/>
        </w:rPr>
        <w:t>The storage layer manages metadata and vector embeddings in PostgreSQL. The target table schema is defined as follows:</w:t>
      </w:r>
    </w:p>
    <w:p>
      <w:pPr>
        <w:spacing w:before="60" w:after="120"/>
        <w:ind w:left="288"/>
      </w:pPr>
      <w:r>
        <w:rPr>
          <w:rFonts w:ascii="Courier New" w:hAnsi="Courier New"/>
          <w:color w:val="1B365D"/>
          <w:sz w:val="17"/>
        </w:rPr>
        <w:t>CREATE EXTENSION IF NOT EXISTS vector;</w:t>
        <w:br/>
        <w:br/>
        <w:t>CREATE TABLE umn_records (</w:t>
        <w:br/>
        <w:t xml:space="preserve">    umn_id        text PRIMARY KEY,          -- uuid5(silo_id + relative_path)</w:t>
        <w:br/>
        <w:t xml:space="preserve">    silo_id       text NOT NULL,             -- hr, finance, engineering, legal</w:t>
        <w:br/>
        <w:t xml:space="preserve">    source_path   text NOT NULL,             -- relative file path</w:t>
        <w:br/>
        <w:t xml:space="preserve">    content_hash  text NOT NULL,             -- SHA-256 hash to detect changes</w:t>
        <w:br/>
        <w:t xml:space="preserve">    department    text,</w:t>
        <w:br/>
        <w:t xml:space="preserve">    document_type text,</w:t>
        <w:br/>
        <w:t xml:space="preserve">    created_at    timestamptz,</w:t>
        <w:br/>
        <w:t xml:space="preserve">    modified_at   timestamptz,</w:t>
        <w:br/>
        <w:t xml:space="preserve">    record        jsonb NOT NULL,            -- complete UMN JSON record</w:t>
        <w:br/>
        <w:t xml:space="preserve">    embedding     vector(384) NOT NULL,      -- MiniLM-L6-v2 dense vector</w:t>
        <w:br/>
        <w:t xml:space="preserve">    updated_at    timestamptz DEFAULT now()</w:t>
        <w:br/>
        <w:t>);</w:t>
        <w:br/>
        <w:br/>
        <w:t>CREATE INDEX ON umn_records USING hnsw (embedding vector_cosine_ops);</w:t>
        <w:br/>
        <w:t>CREATE INDEX ON umn_records (department, document_type);</w:t>
        <w:br/>
        <w:t>CREATE INDEX ON umn_records USING gin (record);</w:t>
      </w:r>
    </w:p>
    <w:p>
      <w:pPr>
        <w:keepNext/>
        <w:spacing w:before="280" w:after="80"/>
      </w:pPr>
      <w:r>
        <w:rPr>
          <w:rFonts w:ascii="Arial" w:hAnsi="Arial"/>
          <w:b/>
          <w:color w:val="1B365D"/>
          <w:sz w:val="26"/>
        </w:rPr>
        <w:t>4. FUNCTIONAL REQUIREMENTS</w:t>
      </w:r>
    </w:p>
    <w:p>
      <w:pPr>
        <w:keepNext/>
        <w:spacing w:before="200" w:after="60"/>
      </w:pPr>
      <w:r>
        <w:rPr>
          <w:rFonts w:ascii="Arial" w:hAnsi="Arial"/>
          <w:b/>
          <w:color w:val="4A6572"/>
          <w:sz w:val="22"/>
        </w:rPr>
        <w:t>4.1 Silo Connector Requirements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Req ID</w:t>
            </w:r>
          </w:p>
        </w:tc>
        <w:tc>
          <w:tcPr>
            <w:tcW w:type="dxa" w:w="3120"/>
            <w:shd w:fill="1B365D"/>
          </w:tcPr>
          <w:p>
            <w:r>
              <w:rPr>
                <w:b/>
                <w:color w:val="FFFFFF"/>
              </w:rPr>
              <w:t>Requirement Statement</w:t>
            </w:r>
          </w:p>
        </w:tc>
        <w:tc>
          <w:tcPr>
            <w:tcW w:type="dxa" w:w="3120"/>
            <w:shd w:fill="1B365D"/>
          </w:tcPr>
          <w:p>
            <w:r>
              <w:rPr>
                <w:b/>
                <w:color w:val="FFFFFF"/>
              </w:rPr>
              <w:t>Priority</w:t>
            </w:r>
          </w:p>
        </w:tc>
      </w:tr>
      <w:tr>
        <w:tc>
          <w:tcPr>
            <w:tcW w:type="dxa" w:w="3120"/>
            <w:shd w:fill="F4F6F9"/>
            <w:tcMar>
              <w:top w:w="35" w:type="dxa"/>
              <w:bottom w:w="35" w:type="dxa"/>
              <w:left w:w="75" w:type="dxa"/>
              <w:right w:w="75" w:type="dxa"/>
            </w:tcMar>
          </w:tcPr>
          <w:p>
            <w:r>
              <w:rPr>
                <w:b/>
                <w:color w:val="1B365D"/>
                <w:sz w:val="17"/>
              </w:rPr>
              <w:t>FR-C1</w:t>
            </w:r>
          </w:p>
        </w:tc>
        <w:tc>
          <w:tcPr>
            <w:tcW w:type="dxa" w:w="3120"/>
            <w:shd w:fill="FFFFFF"/>
            <w:tcMar>
              <w:top w:w="35" w:type="dxa"/>
              <w:bottom w:w="35" w:type="dxa"/>
              <w:left w:w="75" w:type="dxa"/>
              <w:right w:w="75" w:type="dxa"/>
            </w:tcMar>
          </w:tcPr>
          <w:p>
            <w:r>
              <w:rPr>
                <w:sz w:val="17"/>
              </w:rPr>
              <w:t>The system shall allow administrators to register storage silos with a unique identifier and folder path via configuration file.</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FR-C2</w:t>
            </w:r>
          </w:p>
        </w:tc>
        <w:tc>
          <w:tcPr>
            <w:tcW w:type="dxa" w:w="3120"/>
            <w:shd w:fill="FFFFFF"/>
            <w:tcMar>
              <w:top w:w="35" w:type="dxa"/>
              <w:bottom w:w="35" w:type="dxa"/>
              <w:left w:w="75" w:type="dxa"/>
              <w:right w:w="75" w:type="dxa"/>
            </w:tcMar>
          </w:tcPr>
          <w:p>
            <w:r>
              <w:rPr>
                <w:sz w:val="17"/>
              </w:rPr>
              <w:t>The system shall scan registered silos recursively to discover all contained documents.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FR-C3</w:t>
            </w:r>
          </w:p>
        </w:tc>
        <w:tc>
          <w:tcPr>
            <w:tcW w:type="dxa" w:w="3120"/>
            <w:shd w:fill="FFFFFF"/>
            <w:tcMar>
              <w:top w:w="35" w:type="dxa"/>
              <w:bottom w:w="35" w:type="dxa"/>
              <w:left w:w="75" w:type="dxa"/>
              <w:right w:w="75" w:type="dxa"/>
            </w:tcMar>
          </w:tcPr>
          <w:p>
            <w:r>
              <w:rPr>
                <w:sz w:val="17"/>
              </w:rPr>
              <w:t>The system shall operate in read-only mode over source repositories and make zero modifications to source files.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FR-C4</w:t>
            </w:r>
          </w:p>
        </w:tc>
        <w:tc>
          <w:tcPr>
            <w:tcW w:type="dxa" w:w="3120"/>
            <w:shd w:fill="FFFFFF"/>
            <w:tcMar>
              <w:top w:w="35" w:type="dxa"/>
              <w:bottom w:w="35" w:type="dxa"/>
              <w:left w:w="75" w:type="dxa"/>
              <w:right w:w="75" w:type="dxa"/>
            </w:tcMar>
          </w:tcPr>
          <w:p>
            <w:r>
              <w:rPr>
                <w:sz w:val="17"/>
              </w:rPr>
              <w:t>The system shall calculate SHA-256 cryptographic hashes for all files to identify new, modified, or unchanged files.</w:t>
            </w:r>
          </w:p>
        </w:tc>
        <w:tc>
          <w:tcPr>
            <w:tcW w:type="dxa" w:w="3120"/>
            <w:shd w:fill="F4F6F9"/>
            <w:tcMar>
              <w:top w:w="35" w:type="dxa"/>
              <w:bottom w:w="35" w:type="dxa"/>
              <w:left w:w="75" w:type="dxa"/>
              <w:right w:w="75" w:type="dxa"/>
            </w:tcMar>
          </w:tcPr>
          <w:p>
            <w:r>
              <w:rPr>
                <w:b/>
                <w:sz w:val="17"/>
              </w:rPr>
              <w:t>Should</w:t>
            </w:r>
          </w:p>
        </w:tc>
      </w:tr>
      <w:tr>
        <w:tc>
          <w:tcPr>
            <w:tcW w:type="dxa" w:w="3120"/>
            <w:shd w:fill="F4F6F9"/>
            <w:tcMar>
              <w:top w:w="35" w:type="dxa"/>
              <w:bottom w:w="35" w:type="dxa"/>
              <w:left w:w="75" w:type="dxa"/>
              <w:right w:w="75" w:type="dxa"/>
            </w:tcMar>
          </w:tcPr>
          <w:p>
            <w:r>
              <w:rPr>
                <w:b/>
                <w:color w:val="1B365D"/>
                <w:sz w:val="17"/>
              </w:rPr>
              <w:t>FR-C5</w:t>
            </w:r>
          </w:p>
        </w:tc>
        <w:tc>
          <w:tcPr>
            <w:tcW w:type="dxa" w:w="3120"/>
            <w:shd w:fill="FFFFFF"/>
            <w:tcMar>
              <w:top w:w="35" w:type="dxa"/>
              <w:bottom w:w="35" w:type="dxa"/>
              <w:left w:w="75" w:type="dxa"/>
              <w:right w:w="75" w:type="dxa"/>
            </w:tcMar>
          </w:tcPr>
          <w:p>
            <w:r>
              <w:rPr>
                <w:sz w:val="17"/>
              </w:rPr>
              <w:t>The system shall skip unsupported file extensions and record them in the ingestion run log.</w:t>
            </w:r>
          </w:p>
        </w:tc>
        <w:tc>
          <w:tcPr>
            <w:tcW w:type="dxa" w:w="3120"/>
            <w:shd w:fill="F4F6F9"/>
            <w:tcMar>
              <w:top w:w="35" w:type="dxa"/>
              <w:bottom w:w="35" w:type="dxa"/>
              <w:left w:w="75" w:type="dxa"/>
              <w:right w:w="75" w:type="dxa"/>
            </w:tcMar>
          </w:tcPr>
          <w:p>
            <w:r>
              <w:rPr>
                <w:b/>
                <w:sz w:val="17"/>
              </w:rPr>
              <w:t>Must</w:t>
            </w:r>
          </w:p>
        </w:tc>
      </w:tr>
    </w:tbl>
    <w:p>
      <w:pPr>
        <w:spacing w:after="80"/>
      </w:pPr>
    </w:p>
    <w:p>
      <w:pPr>
        <w:keepNext/>
        <w:spacing w:before="200" w:after="60"/>
      </w:pPr>
      <w:r>
        <w:rPr>
          <w:rFonts w:ascii="Arial" w:hAnsi="Arial"/>
          <w:b/>
          <w:color w:val="4A6572"/>
          <w:sz w:val="22"/>
        </w:rPr>
        <w:t>4.2 Content &amp; Metadata Extraction Requirements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Req ID</w:t>
            </w:r>
          </w:p>
        </w:tc>
        <w:tc>
          <w:tcPr>
            <w:tcW w:type="dxa" w:w="3120"/>
            <w:shd w:fill="1B365D"/>
          </w:tcPr>
          <w:p>
            <w:r>
              <w:rPr>
                <w:b/>
                <w:color w:val="FFFFFF"/>
              </w:rPr>
              <w:t>Requirement Statement</w:t>
            </w:r>
          </w:p>
        </w:tc>
        <w:tc>
          <w:tcPr>
            <w:tcW w:type="dxa" w:w="3120"/>
            <w:shd w:fill="1B365D"/>
          </w:tcPr>
          <w:p>
            <w:r>
              <w:rPr>
                <w:b/>
                <w:color w:val="FFFFFF"/>
              </w:rPr>
              <w:t>Priority</w:t>
            </w:r>
          </w:p>
        </w:tc>
      </w:tr>
      <w:tr>
        <w:tc>
          <w:tcPr>
            <w:tcW w:type="dxa" w:w="3120"/>
            <w:shd w:fill="F4F6F9"/>
            <w:tcMar>
              <w:top w:w="35" w:type="dxa"/>
              <w:bottom w:w="35" w:type="dxa"/>
              <w:left w:w="75" w:type="dxa"/>
              <w:right w:w="75" w:type="dxa"/>
            </w:tcMar>
          </w:tcPr>
          <w:p>
            <w:r>
              <w:rPr>
                <w:b/>
                <w:color w:val="1B365D"/>
                <w:sz w:val="17"/>
              </w:rPr>
              <w:t>FR-E1</w:t>
            </w:r>
          </w:p>
        </w:tc>
        <w:tc>
          <w:tcPr>
            <w:tcW w:type="dxa" w:w="3120"/>
            <w:shd w:fill="FFFFFF"/>
            <w:tcMar>
              <w:top w:w="35" w:type="dxa"/>
              <w:bottom w:w="35" w:type="dxa"/>
              <w:left w:w="75" w:type="dxa"/>
              <w:right w:w="75" w:type="dxa"/>
            </w:tcMar>
          </w:tcPr>
          <w:p>
            <w:r>
              <w:rPr>
                <w:sz w:val="17"/>
              </w:rPr>
              <w:t>The system shall extract native descriptive metadata and textual content from PDF files.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FR-E2</w:t>
            </w:r>
          </w:p>
        </w:tc>
        <w:tc>
          <w:tcPr>
            <w:tcW w:type="dxa" w:w="3120"/>
            <w:shd w:fill="FFFFFF"/>
            <w:tcMar>
              <w:top w:w="35" w:type="dxa"/>
              <w:bottom w:w="35" w:type="dxa"/>
              <w:left w:w="75" w:type="dxa"/>
              <w:right w:w="75" w:type="dxa"/>
            </w:tcMar>
          </w:tcPr>
          <w:p>
            <w:r>
              <w:rPr>
                <w:sz w:val="17"/>
              </w:rPr>
              <w:t>The system shall extract document core properties and paragraph text from Microsoft Word (.docx) documents.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FR-E3</w:t>
            </w:r>
          </w:p>
        </w:tc>
        <w:tc>
          <w:tcPr>
            <w:tcW w:type="dxa" w:w="3120"/>
            <w:shd w:fill="FFFFFF"/>
            <w:tcMar>
              <w:top w:w="35" w:type="dxa"/>
              <w:bottom w:w="35" w:type="dxa"/>
              <w:left w:w="75" w:type="dxa"/>
              <w:right w:w="75" w:type="dxa"/>
            </w:tcMar>
          </w:tcPr>
          <w:p>
            <w:r>
              <w:rPr>
                <w:sz w:val="17"/>
              </w:rPr>
              <w:t>The system shall extract presentation properties and slide text from PowerPoint (.pptx) files.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FR-E4</w:t>
            </w:r>
          </w:p>
        </w:tc>
        <w:tc>
          <w:tcPr>
            <w:tcW w:type="dxa" w:w="3120"/>
            <w:shd w:fill="FFFFFF"/>
            <w:tcMar>
              <w:top w:w="35" w:type="dxa"/>
              <w:bottom w:w="35" w:type="dxa"/>
              <w:left w:w="75" w:type="dxa"/>
              <w:right w:w="75" w:type="dxa"/>
            </w:tcMar>
          </w:tcPr>
          <w:p>
            <w:r>
              <w:rPr>
                <w:sz w:val="17"/>
              </w:rPr>
              <w:t>The system shall extract workbook properties and cell content from Excel (.xlsx) spreadsheets.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FR-E5</w:t>
            </w:r>
          </w:p>
        </w:tc>
        <w:tc>
          <w:tcPr>
            <w:tcW w:type="dxa" w:w="3120"/>
            <w:shd w:fill="FFFFFF"/>
            <w:tcMar>
              <w:top w:w="35" w:type="dxa"/>
              <w:bottom w:w="35" w:type="dxa"/>
              <w:left w:w="75" w:type="dxa"/>
              <w:right w:w="75" w:type="dxa"/>
            </w:tcMar>
          </w:tcPr>
          <w:p>
            <w:r>
              <w:rPr>
                <w:sz w:val="17"/>
              </w:rPr>
              <w:t>The system shall extract file attributes and textual content from plain text (.txt) files.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FR-E6</w:t>
            </w:r>
          </w:p>
        </w:tc>
        <w:tc>
          <w:tcPr>
            <w:tcW w:type="dxa" w:w="3120"/>
            <w:shd w:fill="FFFFFF"/>
            <w:tcMar>
              <w:top w:w="35" w:type="dxa"/>
              <w:bottom w:w="35" w:type="dxa"/>
              <w:left w:w="75" w:type="dxa"/>
              <w:right w:w="75" w:type="dxa"/>
            </w:tcMar>
          </w:tcPr>
          <w:p>
            <w:r>
              <w:rPr>
                <w:sz w:val="17"/>
              </w:rPr>
              <w:t>The system shall extract text from images and scanned PDF documents using EasyOCR.</w:t>
            </w:r>
          </w:p>
        </w:tc>
        <w:tc>
          <w:tcPr>
            <w:tcW w:type="dxa" w:w="3120"/>
            <w:shd w:fill="F4F6F9"/>
            <w:tcMar>
              <w:top w:w="35" w:type="dxa"/>
              <w:bottom w:w="35" w:type="dxa"/>
              <w:left w:w="75" w:type="dxa"/>
              <w:right w:w="75" w:type="dxa"/>
            </w:tcMar>
          </w:tcPr>
          <w:p>
            <w:r>
              <w:rPr>
                <w:b/>
                <w:sz w:val="17"/>
              </w:rPr>
              <w:t>Should</w:t>
            </w:r>
          </w:p>
        </w:tc>
      </w:tr>
      <w:tr>
        <w:tc>
          <w:tcPr>
            <w:tcW w:type="dxa" w:w="3120"/>
            <w:shd w:fill="F4F6F9"/>
            <w:tcMar>
              <w:top w:w="35" w:type="dxa"/>
              <w:bottom w:w="35" w:type="dxa"/>
              <w:left w:w="75" w:type="dxa"/>
              <w:right w:w="75" w:type="dxa"/>
            </w:tcMar>
          </w:tcPr>
          <w:p>
            <w:r>
              <w:rPr>
                <w:b/>
                <w:color w:val="1B365D"/>
                <w:sz w:val="17"/>
              </w:rPr>
              <w:t>FR-E7</w:t>
            </w:r>
          </w:p>
        </w:tc>
        <w:tc>
          <w:tcPr>
            <w:tcW w:type="dxa" w:w="3120"/>
            <w:shd w:fill="FFFFFF"/>
            <w:tcMar>
              <w:top w:w="35" w:type="dxa"/>
              <w:bottom w:w="35" w:type="dxa"/>
              <w:left w:w="75" w:type="dxa"/>
              <w:right w:w="75" w:type="dxa"/>
            </w:tcMar>
          </w:tcPr>
          <w:p>
            <w:r>
              <w:rPr>
                <w:sz w:val="17"/>
              </w:rPr>
              <w:t>The system shall store raw extracted metadata unmodified in the native_metadata_raw field.</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FR-E8</w:t>
            </w:r>
          </w:p>
        </w:tc>
        <w:tc>
          <w:tcPr>
            <w:tcW w:type="dxa" w:w="3120"/>
            <w:shd w:fill="FFFFFF"/>
            <w:tcMar>
              <w:top w:w="35" w:type="dxa"/>
              <w:bottom w:w="35" w:type="dxa"/>
              <w:left w:w="75" w:type="dxa"/>
              <w:right w:w="75" w:type="dxa"/>
            </w:tcMar>
          </w:tcPr>
          <w:p>
            <w:r>
              <w:rPr>
                <w:sz w:val="17"/>
              </w:rPr>
              <w:t>The system shall handle unreadable, corrupted, or password-protected files gracefully without aborting batch execution.</w:t>
            </w:r>
          </w:p>
        </w:tc>
        <w:tc>
          <w:tcPr>
            <w:tcW w:type="dxa" w:w="3120"/>
            <w:shd w:fill="F4F6F9"/>
            <w:tcMar>
              <w:top w:w="35" w:type="dxa"/>
              <w:bottom w:w="35" w:type="dxa"/>
              <w:left w:w="75" w:type="dxa"/>
              <w:right w:w="75" w:type="dxa"/>
            </w:tcMar>
          </w:tcPr>
          <w:p>
            <w:r>
              <w:rPr>
                <w:b/>
                <w:sz w:val="17"/>
              </w:rPr>
              <w:t>Must</w:t>
            </w:r>
          </w:p>
        </w:tc>
      </w:tr>
    </w:tbl>
    <w:p>
      <w:pPr>
        <w:spacing w:after="80"/>
      </w:pPr>
    </w:p>
    <w:p>
      <w:pPr>
        <w:keepNext/>
        <w:spacing w:before="200" w:after="60"/>
      </w:pPr>
      <w:r>
        <w:rPr>
          <w:rFonts w:ascii="Arial" w:hAnsi="Arial"/>
          <w:b/>
          <w:color w:val="4A6572"/>
          <w:sz w:val="22"/>
        </w:rPr>
        <w:t>4.3 Universal Metadata Normalization Requirements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Req ID</w:t>
            </w:r>
          </w:p>
        </w:tc>
        <w:tc>
          <w:tcPr>
            <w:tcW w:type="dxa" w:w="3120"/>
            <w:shd w:fill="1B365D"/>
          </w:tcPr>
          <w:p>
            <w:r>
              <w:rPr>
                <w:b/>
                <w:color w:val="FFFFFF"/>
              </w:rPr>
              <w:t>Requirement Statement</w:t>
            </w:r>
          </w:p>
        </w:tc>
        <w:tc>
          <w:tcPr>
            <w:tcW w:type="dxa" w:w="3120"/>
            <w:shd w:fill="1B365D"/>
          </w:tcPr>
          <w:p>
            <w:r>
              <w:rPr>
                <w:b/>
                <w:color w:val="FFFFFF"/>
              </w:rPr>
              <w:t>Priority</w:t>
            </w:r>
          </w:p>
        </w:tc>
      </w:tr>
      <w:tr>
        <w:tc>
          <w:tcPr>
            <w:tcW w:type="dxa" w:w="3120"/>
            <w:shd w:fill="F4F6F9"/>
            <w:tcMar>
              <w:top w:w="35" w:type="dxa"/>
              <w:bottom w:w="35" w:type="dxa"/>
              <w:left w:w="75" w:type="dxa"/>
              <w:right w:w="75" w:type="dxa"/>
            </w:tcMar>
          </w:tcPr>
          <w:p>
            <w:r>
              <w:rPr>
                <w:b/>
                <w:color w:val="1B365D"/>
                <w:sz w:val="17"/>
              </w:rPr>
              <w:t>FR-N1</w:t>
            </w:r>
          </w:p>
        </w:tc>
        <w:tc>
          <w:tcPr>
            <w:tcW w:type="dxa" w:w="3120"/>
            <w:shd w:fill="FFFFFF"/>
            <w:tcMar>
              <w:top w:w="35" w:type="dxa"/>
              <w:bottom w:w="35" w:type="dxa"/>
              <w:left w:w="75" w:type="dxa"/>
              <w:right w:w="75" w:type="dxa"/>
            </w:tcMar>
          </w:tcPr>
          <w:p>
            <w:r>
              <w:rPr>
                <w:sz w:val="17"/>
              </w:rPr>
              <w:t>The system shall map format-specific metadata keys to standard UMN fields using deterministic crosswalk definitions.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FR-N2</w:t>
            </w:r>
          </w:p>
        </w:tc>
        <w:tc>
          <w:tcPr>
            <w:tcW w:type="dxa" w:w="3120"/>
            <w:shd w:fill="FFFFFF"/>
            <w:tcMar>
              <w:top w:w="35" w:type="dxa"/>
              <w:bottom w:w="35" w:type="dxa"/>
              <w:left w:w="75" w:type="dxa"/>
              <w:right w:w="75" w:type="dxa"/>
            </w:tcMar>
          </w:tcPr>
          <w:p>
            <w:r>
              <w:rPr>
                <w:sz w:val="17"/>
              </w:rPr>
              <w:t>The system shall standardize all valid dates into ISO-8601 UTC strings, assigning null to unparseable values.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FR-N3</w:t>
            </w:r>
          </w:p>
        </w:tc>
        <w:tc>
          <w:tcPr>
            <w:tcW w:type="dxa" w:w="3120"/>
            <w:shd w:fill="FFFFFF"/>
            <w:tcMar>
              <w:top w:w="35" w:type="dxa"/>
              <w:bottom w:w="35" w:type="dxa"/>
              <w:left w:w="75" w:type="dxa"/>
              <w:right w:w="75" w:type="dxa"/>
            </w:tcMar>
          </w:tcPr>
          <w:p>
            <w:r>
              <w:rPr>
                <w:sz w:val="17"/>
              </w:rPr>
              <w:t>The system shall clean author names by removing excess whitespace and standardizing 'Last, First' into 'first last'.</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FR-N4</w:t>
            </w:r>
          </w:p>
        </w:tc>
        <w:tc>
          <w:tcPr>
            <w:tcW w:type="dxa" w:w="3120"/>
            <w:shd w:fill="FFFFFF"/>
            <w:tcMar>
              <w:top w:w="35" w:type="dxa"/>
              <w:bottom w:w="35" w:type="dxa"/>
              <w:left w:w="75" w:type="dxa"/>
              <w:right w:w="75" w:type="dxa"/>
            </w:tcMar>
          </w:tcPr>
          <w:p>
            <w:r>
              <w:rPr>
                <w:sz w:val="17"/>
              </w:rPr>
              <w:t>The system shall determine the document title using a fallback sequence: native title -&gt; first heading -&gt; cleaned filename.</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FR-N5</w:t>
            </w:r>
          </w:p>
        </w:tc>
        <w:tc>
          <w:tcPr>
            <w:tcW w:type="dxa" w:w="3120"/>
            <w:shd w:fill="FFFFFF"/>
            <w:tcMar>
              <w:top w:w="35" w:type="dxa"/>
              <w:bottom w:w="35" w:type="dxa"/>
              <w:left w:w="75" w:type="dxa"/>
              <w:right w:w="75" w:type="dxa"/>
            </w:tcMar>
          </w:tcPr>
          <w:p>
            <w:r>
              <w:rPr>
                <w:sz w:val="17"/>
              </w:rPr>
              <w:t>The system shall categorize documents into a controlled vocabulary (report, policy, invoice, etc.) via deterministic rules.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FR-N6</w:t>
            </w:r>
          </w:p>
        </w:tc>
        <w:tc>
          <w:tcPr>
            <w:tcW w:type="dxa" w:w="3120"/>
            <w:shd w:fill="FFFFFF"/>
            <w:tcMar>
              <w:top w:w="35" w:type="dxa"/>
              <w:bottom w:w="35" w:type="dxa"/>
              <w:left w:w="75" w:type="dxa"/>
              <w:right w:w="75" w:type="dxa"/>
            </w:tcMar>
          </w:tcPr>
          <w:p>
            <w:r>
              <w:rPr>
                <w:sz w:val="17"/>
              </w:rPr>
              <w:t>The system shall generate a deterministic document identifier using uuid5(silo_id + relative_path).</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FR-N7</w:t>
            </w:r>
          </w:p>
        </w:tc>
        <w:tc>
          <w:tcPr>
            <w:tcW w:type="dxa" w:w="3120"/>
            <w:shd w:fill="FFFFFF"/>
            <w:tcMar>
              <w:top w:w="35" w:type="dxa"/>
              <w:bottom w:w="35" w:type="dxa"/>
              <w:left w:w="75" w:type="dxa"/>
              <w:right w:w="75" w:type="dxa"/>
            </w:tcMar>
          </w:tcPr>
          <w:p>
            <w:r>
              <w:rPr>
                <w:sz w:val="17"/>
              </w:rPr>
              <w:t>The system shall record field-level provenance documenting the source key and applied rule for every normalized value.</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FR-N8</w:t>
            </w:r>
          </w:p>
        </w:tc>
        <w:tc>
          <w:tcPr>
            <w:tcW w:type="dxa" w:w="3120"/>
            <w:shd w:fill="FFFFFF"/>
            <w:tcMar>
              <w:top w:w="35" w:type="dxa"/>
              <w:bottom w:w="35" w:type="dxa"/>
              <w:left w:w="75" w:type="dxa"/>
              <w:right w:w="75" w:type="dxa"/>
            </w:tcMar>
          </w:tcPr>
          <w:p>
            <w:r>
              <w:rPr>
                <w:sz w:val="17"/>
              </w:rPr>
              <w:t>The system shall generate an extractive text summary and spaCy noun chunk keywords.</w:t>
            </w:r>
          </w:p>
        </w:tc>
        <w:tc>
          <w:tcPr>
            <w:tcW w:type="dxa" w:w="3120"/>
            <w:shd w:fill="F4F6F9"/>
            <w:tcMar>
              <w:top w:w="35" w:type="dxa"/>
              <w:bottom w:w="35" w:type="dxa"/>
              <w:left w:w="75" w:type="dxa"/>
              <w:right w:w="75" w:type="dxa"/>
            </w:tcMar>
          </w:tcPr>
          <w:p>
            <w:r>
              <w:rPr>
                <w:b/>
                <w:sz w:val="17"/>
              </w:rPr>
              <w:t>Should</w:t>
            </w:r>
          </w:p>
        </w:tc>
      </w:tr>
      <w:tr>
        <w:tc>
          <w:tcPr>
            <w:tcW w:type="dxa" w:w="3120"/>
            <w:shd w:fill="F4F6F9"/>
            <w:tcMar>
              <w:top w:w="35" w:type="dxa"/>
              <w:bottom w:w="35" w:type="dxa"/>
              <w:left w:w="75" w:type="dxa"/>
              <w:right w:w="75" w:type="dxa"/>
            </w:tcMar>
          </w:tcPr>
          <w:p>
            <w:r>
              <w:rPr>
                <w:b/>
                <w:color w:val="1B365D"/>
                <w:sz w:val="17"/>
              </w:rPr>
              <w:t>FR-N9</w:t>
            </w:r>
          </w:p>
        </w:tc>
        <w:tc>
          <w:tcPr>
            <w:tcW w:type="dxa" w:w="3120"/>
            <w:shd w:fill="FFFFFF"/>
            <w:tcMar>
              <w:top w:w="35" w:type="dxa"/>
              <w:bottom w:w="35" w:type="dxa"/>
              <w:left w:w="75" w:type="dxa"/>
              <w:right w:w="75" w:type="dxa"/>
            </w:tcMar>
          </w:tcPr>
          <w:p>
            <w:r>
              <w:rPr>
                <w:sz w:val="17"/>
              </w:rPr>
              <w:t>The system shall validate every normalized record against the formal UMN JSON Schema prior to database storage.</w:t>
            </w:r>
          </w:p>
        </w:tc>
        <w:tc>
          <w:tcPr>
            <w:tcW w:type="dxa" w:w="3120"/>
            <w:shd w:fill="F4F6F9"/>
            <w:tcMar>
              <w:top w:w="35" w:type="dxa"/>
              <w:bottom w:w="35" w:type="dxa"/>
              <w:left w:w="75" w:type="dxa"/>
              <w:right w:w="75" w:type="dxa"/>
            </w:tcMar>
          </w:tcPr>
          <w:p>
            <w:r>
              <w:rPr>
                <w:b/>
                <w:sz w:val="17"/>
              </w:rPr>
              <w:t>Must</w:t>
            </w:r>
          </w:p>
        </w:tc>
      </w:tr>
    </w:tbl>
    <w:p>
      <w:pPr>
        <w:spacing w:after="80"/>
      </w:pPr>
    </w:p>
    <w:p>
      <w:pPr>
        <w:keepNext/>
        <w:spacing w:before="200" w:after="60"/>
      </w:pPr>
      <w:r>
        <w:rPr>
          <w:rFonts w:ascii="Arial" w:hAnsi="Arial"/>
          <w:b/>
          <w:color w:val="4A6572"/>
          <w:sz w:val="22"/>
        </w:rPr>
        <w:t>4.4 Storage and Vector Indexing Requirements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Req ID</w:t>
            </w:r>
          </w:p>
        </w:tc>
        <w:tc>
          <w:tcPr>
            <w:tcW w:type="dxa" w:w="3120"/>
            <w:shd w:fill="1B365D"/>
          </w:tcPr>
          <w:p>
            <w:r>
              <w:rPr>
                <w:b/>
                <w:color w:val="FFFFFF"/>
              </w:rPr>
              <w:t>Requirement Statement</w:t>
            </w:r>
          </w:p>
        </w:tc>
        <w:tc>
          <w:tcPr>
            <w:tcW w:type="dxa" w:w="3120"/>
            <w:shd w:fill="1B365D"/>
          </w:tcPr>
          <w:p>
            <w:r>
              <w:rPr>
                <w:b/>
                <w:color w:val="FFFFFF"/>
              </w:rPr>
              <w:t>Priority</w:t>
            </w:r>
          </w:p>
        </w:tc>
      </w:tr>
      <w:tr>
        <w:tc>
          <w:tcPr>
            <w:tcW w:type="dxa" w:w="3120"/>
            <w:shd w:fill="F4F6F9"/>
            <w:tcMar>
              <w:top w:w="35" w:type="dxa"/>
              <w:bottom w:w="35" w:type="dxa"/>
              <w:left w:w="75" w:type="dxa"/>
              <w:right w:w="75" w:type="dxa"/>
            </w:tcMar>
          </w:tcPr>
          <w:p>
            <w:r>
              <w:rPr>
                <w:b/>
                <w:color w:val="1B365D"/>
                <w:sz w:val="17"/>
              </w:rPr>
              <w:t>FR-S1</w:t>
            </w:r>
          </w:p>
        </w:tc>
        <w:tc>
          <w:tcPr>
            <w:tcW w:type="dxa" w:w="3120"/>
            <w:shd w:fill="FFFFFF"/>
            <w:tcMar>
              <w:top w:w="35" w:type="dxa"/>
              <w:bottom w:w="35" w:type="dxa"/>
              <w:left w:w="75" w:type="dxa"/>
              <w:right w:w="75" w:type="dxa"/>
            </w:tcMar>
          </w:tcPr>
          <w:p>
            <w:r>
              <w:rPr>
                <w:sz w:val="17"/>
              </w:rPr>
              <w:t>The system shall persist validated UMN records (as JSONB) and dense vector embeddings in PostgreSQL.</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FR-S2</w:t>
            </w:r>
          </w:p>
        </w:tc>
        <w:tc>
          <w:tcPr>
            <w:tcW w:type="dxa" w:w="3120"/>
            <w:shd w:fill="FFFFFF"/>
            <w:tcMar>
              <w:top w:w="35" w:type="dxa"/>
              <w:bottom w:w="35" w:type="dxa"/>
              <w:left w:w="75" w:type="dxa"/>
              <w:right w:w="75" w:type="dxa"/>
            </w:tcMar>
          </w:tcPr>
          <w:p>
            <w:r>
              <w:rPr>
                <w:sz w:val="17"/>
              </w:rPr>
              <w:t>The system shall skip re-embedding and database updates if a file's content hash matches the stored record.</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FR-S3</w:t>
            </w:r>
          </w:p>
        </w:tc>
        <w:tc>
          <w:tcPr>
            <w:tcW w:type="dxa" w:w="3120"/>
            <w:shd w:fill="FFFFFF"/>
            <w:tcMar>
              <w:top w:w="35" w:type="dxa"/>
              <w:bottom w:w="35" w:type="dxa"/>
              <w:left w:w="75" w:type="dxa"/>
              <w:right w:w="75" w:type="dxa"/>
            </w:tcMar>
          </w:tcPr>
          <w:p>
            <w:r>
              <w:rPr>
                <w:sz w:val="17"/>
              </w:rPr>
              <w:t>The system shall execute an atomic upsert on umn_id when a file is modified, refreshing metadata and embeddings.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FR-S4</w:t>
            </w:r>
          </w:p>
        </w:tc>
        <w:tc>
          <w:tcPr>
            <w:tcW w:type="dxa" w:w="3120"/>
            <w:shd w:fill="FFFFFF"/>
            <w:tcMar>
              <w:top w:w="35" w:type="dxa"/>
              <w:bottom w:w="35" w:type="dxa"/>
              <w:left w:w="75" w:type="dxa"/>
              <w:right w:w="75" w:type="dxa"/>
            </w:tcMar>
          </w:tcPr>
          <w:p>
            <w:r>
              <w:rPr>
                <w:sz w:val="17"/>
              </w:rPr>
              <w:t>The system shall compute 384-dimensional dense vectors using the sentence-transformers all-MiniLM-L6-v2 model.</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FR-S5</w:t>
            </w:r>
          </w:p>
        </w:tc>
        <w:tc>
          <w:tcPr>
            <w:tcW w:type="dxa" w:w="3120"/>
            <w:shd w:fill="FFFFFF"/>
            <w:tcMar>
              <w:top w:w="35" w:type="dxa"/>
              <w:bottom w:w="35" w:type="dxa"/>
              <w:left w:w="75" w:type="dxa"/>
              <w:right w:w="75" w:type="dxa"/>
            </w:tcMar>
          </w:tcPr>
          <w:p>
            <w:r>
              <w:rPr>
                <w:sz w:val="17"/>
              </w:rPr>
              <w:t>The system shall maintain an HNSW index on the vector embedding column using cosine distance operators.</w:t>
            </w:r>
          </w:p>
        </w:tc>
        <w:tc>
          <w:tcPr>
            <w:tcW w:type="dxa" w:w="3120"/>
            <w:shd w:fill="F4F6F9"/>
            <w:tcMar>
              <w:top w:w="35" w:type="dxa"/>
              <w:bottom w:w="35" w:type="dxa"/>
              <w:left w:w="75" w:type="dxa"/>
              <w:right w:w="75" w:type="dxa"/>
            </w:tcMar>
          </w:tcPr>
          <w:p>
            <w:r>
              <w:rPr>
                <w:b/>
                <w:sz w:val="17"/>
              </w:rPr>
              <w:t>Must</w:t>
            </w:r>
          </w:p>
        </w:tc>
      </w:tr>
    </w:tbl>
    <w:p>
      <w:pPr>
        <w:spacing w:after="80"/>
      </w:pPr>
    </w:p>
    <w:p>
      <w:pPr>
        <w:keepNext/>
        <w:spacing w:before="200" w:after="60"/>
      </w:pPr>
      <w:r>
        <w:rPr>
          <w:rFonts w:ascii="Arial" w:hAnsi="Arial"/>
          <w:b/>
          <w:color w:val="4A6572"/>
          <w:sz w:val="22"/>
        </w:rPr>
        <w:t>4.5 Search &amp; Retrieval Requirements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Req ID</w:t>
            </w:r>
          </w:p>
        </w:tc>
        <w:tc>
          <w:tcPr>
            <w:tcW w:type="dxa" w:w="3120"/>
            <w:shd w:fill="1B365D"/>
          </w:tcPr>
          <w:p>
            <w:r>
              <w:rPr>
                <w:b/>
                <w:color w:val="FFFFFF"/>
              </w:rPr>
              <w:t>Requirement Statement</w:t>
            </w:r>
          </w:p>
        </w:tc>
        <w:tc>
          <w:tcPr>
            <w:tcW w:type="dxa" w:w="3120"/>
            <w:shd w:fill="1B365D"/>
          </w:tcPr>
          <w:p>
            <w:r>
              <w:rPr>
                <w:b/>
                <w:color w:val="FFFFFF"/>
              </w:rPr>
              <w:t>Priority</w:t>
            </w:r>
          </w:p>
        </w:tc>
      </w:tr>
      <w:tr>
        <w:tc>
          <w:tcPr>
            <w:tcW w:type="dxa" w:w="3120"/>
            <w:shd w:fill="F4F6F9"/>
            <w:tcMar>
              <w:top w:w="35" w:type="dxa"/>
              <w:bottom w:w="35" w:type="dxa"/>
              <w:left w:w="75" w:type="dxa"/>
              <w:right w:w="75" w:type="dxa"/>
            </w:tcMar>
          </w:tcPr>
          <w:p>
            <w:r>
              <w:rPr>
                <w:b/>
                <w:color w:val="1B365D"/>
                <w:sz w:val="17"/>
              </w:rPr>
              <w:t>FR-Q1</w:t>
            </w:r>
          </w:p>
        </w:tc>
        <w:tc>
          <w:tcPr>
            <w:tcW w:type="dxa" w:w="3120"/>
            <w:shd w:fill="FFFFFF"/>
            <w:tcMar>
              <w:top w:w="35" w:type="dxa"/>
              <w:bottom w:w="35" w:type="dxa"/>
              <w:left w:w="75" w:type="dxa"/>
              <w:right w:w="75" w:type="dxa"/>
            </w:tcMar>
          </w:tcPr>
          <w:p>
            <w:r>
              <w:rPr>
                <w:sz w:val="17"/>
              </w:rPr>
              <w:t>The system shall accept natural language search queries and return the top-k semantically relevant documents.</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FR-Q2</w:t>
            </w:r>
          </w:p>
        </w:tc>
        <w:tc>
          <w:tcPr>
            <w:tcW w:type="dxa" w:w="3120"/>
            <w:shd w:fill="FFFFFF"/>
            <w:tcMar>
              <w:top w:w="35" w:type="dxa"/>
              <w:bottom w:w="35" w:type="dxa"/>
              <w:left w:w="75" w:type="dxa"/>
              <w:right w:w="75" w:type="dxa"/>
            </w:tcMar>
          </w:tcPr>
          <w:p>
            <w:r>
              <w:rPr>
                <w:sz w:val="17"/>
              </w:rPr>
              <w:t>The system shall encode queries into dense vectors and execute cosine similarity matching against the vector index.</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FR-Q3</w:t>
            </w:r>
          </w:p>
        </w:tc>
        <w:tc>
          <w:tcPr>
            <w:tcW w:type="dxa" w:w="3120"/>
            <w:shd w:fill="FFFFFF"/>
            <w:tcMar>
              <w:top w:w="35" w:type="dxa"/>
              <w:bottom w:w="35" w:type="dxa"/>
              <w:left w:w="75" w:type="dxa"/>
              <w:right w:w="75" w:type="dxa"/>
            </w:tcMar>
          </w:tcPr>
          <w:p>
            <w:r>
              <w:rPr>
                <w:sz w:val="17"/>
              </w:rPr>
              <w:t>The system shall support combining vector similarity ranking with department and document-type SQL filters in a single query.</w:t>
            </w:r>
          </w:p>
        </w:tc>
        <w:tc>
          <w:tcPr>
            <w:tcW w:type="dxa" w:w="3120"/>
            <w:shd w:fill="F4F6F9"/>
            <w:tcMar>
              <w:top w:w="35" w:type="dxa"/>
              <w:bottom w:w="35" w:type="dxa"/>
              <w:left w:w="75" w:type="dxa"/>
              <w:right w:w="75" w:type="dxa"/>
            </w:tcMar>
          </w:tcPr>
          <w:p>
            <w:r>
              <w:rPr>
                <w:b/>
                <w:sz w:val="17"/>
              </w:rPr>
              <w:t>Should</w:t>
            </w:r>
          </w:p>
        </w:tc>
      </w:tr>
      <w:tr>
        <w:tc>
          <w:tcPr>
            <w:tcW w:type="dxa" w:w="3120"/>
            <w:shd w:fill="F4F6F9"/>
            <w:tcMar>
              <w:top w:w="35" w:type="dxa"/>
              <w:bottom w:w="35" w:type="dxa"/>
              <w:left w:w="75" w:type="dxa"/>
              <w:right w:w="75" w:type="dxa"/>
            </w:tcMar>
          </w:tcPr>
          <w:p>
            <w:r>
              <w:rPr>
                <w:b/>
                <w:color w:val="1B365D"/>
                <w:sz w:val="17"/>
              </w:rPr>
              <w:t>FR-Q4</w:t>
            </w:r>
          </w:p>
        </w:tc>
        <w:tc>
          <w:tcPr>
            <w:tcW w:type="dxa" w:w="3120"/>
            <w:shd w:fill="FFFFFF"/>
            <w:tcMar>
              <w:top w:w="35" w:type="dxa"/>
              <w:bottom w:w="35" w:type="dxa"/>
              <w:left w:w="75" w:type="dxa"/>
              <w:right w:w="75" w:type="dxa"/>
            </w:tcMar>
          </w:tcPr>
          <w:p>
            <w:r>
              <w:rPr>
                <w:sz w:val="17"/>
              </w:rPr>
              <w:t>Each search result shall display title, extractive summary, department, document type, relevance score, and file link.</w:t>
            </w:r>
          </w:p>
        </w:tc>
        <w:tc>
          <w:tcPr>
            <w:tcW w:type="dxa" w:w="3120"/>
            <w:shd w:fill="F4F6F9"/>
            <w:tcMar>
              <w:top w:w="35" w:type="dxa"/>
              <w:bottom w:w="35" w:type="dxa"/>
              <w:left w:w="75" w:type="dxa"/>
              <w:right w:w="75" w:type="dxa"/>
            </w:tcMar>
          </w:tcPr>
          <w:p>
            <w:r>
              <w:rPr>
                <w:b/>
                <w:sz w:val="17"/>
              </w:rPr>
              <w:t>Must</w:t>
            </w:r>
          </w:p>
        </w:tc>
      </w:tr>
      <w:tr>
        <w:tc>
          <w:tcPr>
            <w:tcW w:type="dxa" w:w="3120"/>
            <w:shd w:fill="F4F6F9"/>
            <w:tcMar>
              <w:top w:w="35" w:type="dxa"/>
              <w:bottom w:w="35" w:type="dxa"/>
              <w:left w:w="75" w:type="dxa"/>
              <w:right w:w="75" w:type="dxa"/>
            </w:tcMar>
          </w:tcPr>
          <w:p>
            <w:r>
              <w:rPr>
                <w:b/>
                <w:color w:val="1B365D"/>
                <w:sz w:val="17"/>
              </w:rPr>
              <w:t>FR-Q5</w:t>
            </w:r>
          </w:p>
        </w:tc>
        <w:tc>
          <w:tcPr>
            <w:tcW w:type="dxa" w:w="3120"/>
            <w:shd w:fill="FFFFFF"/>
            <w:tcMar>
              <w:top w:w="35" w:type="dxa"/>
              <w:bottom w:w="35" w:type="dxa"/>
              <w:left w:w="75" w:type="dxa"/>
              <w:right w:w="75" w:type="dxa"/>
            </w:tcMar>
          </w:tcPr>
          <w:p>
            <w:r>
              <w:rPr>
                <w:sz w:val="17"/>
              </w:rPr>
              <w:t>The system shall display a helpful notification when no documents meet the similarity threshold.</w:t>
            </w:r>
          </w:p>
        </w:tc>
        <w:tc>
          <w:tcPr>
            <w:tcW w:type="dxa" w:w="3120"/>
            <w:shd w:fill="F4F6F9"/>
            <w:tcMar>
              <w:top w:w="35" w:type="dxa"/>
              <w:bottom w:w="35" w:type="dxa"/>
              <w:left w:w="75" w:type="dxa"/>
              <w:right w:w="75" w:type="dxa"/>
            </w:tcMar>
          </w:tcPr>
          <w:p>
            <w:r>
              <w:rPr>
                <w:b/>
                <w:sz w:val="17"/>
              </w:rPr>
              <w:t>Must</w:t>
            </w:r>
          </w:p>
        </w:tc>
      </w:tr>
    </w:tbl>
    <w:p>
      <w:pPr>
        <w:spacing w:after="80"/>
      </w:pPr>
    </w:p>
    <w:p>
      <w:pPr>
        <w:keepNext/>
        <w:spacing w:before="280" w:after="80"/>
      </w:pPr>
      <w:r>
        <w:rPr>
          <w:rFonts w:ascii="Arial" w:hAnsi="Arial"/>
          <w:b/>
          <w:color w:val="1B365D"/>
          <w:sz w:val="26"/>
        </w:rPr>
        <w:t>5. NON-FUNCTIONAL REQUIREMENTS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rPr>
              <w:t>ID</w:t>
            </w:r>
          </w:p>
        </w:tc>
        <w:tc>
          <w:tcPr>
            <w:tcW w:type="dxa" w:w="2340"/>
            <w:shd w:fill="1B365D"/>
          </w:tcPr>
          <w:p>
            <w:r>
              <w:rPr>
                <w:b/>
                <w:color w:val="FFFFFF"/>
              </w:rPr>
              <w:t>Category</w:t>
            </w:r>
          </w:p>
        </w:tc>
        <w:tc>
          <w:tcPr>
            <w:tcW w:type="dxa" w:w="2340"/>
            <w:shd w:fill="1B365D"/>
          </w:tcPr>
          <w:p>
            <w:r>
              <w:rPr>
                <w:b/>
                <w:color w:val="FFFFFF"/>
              </w:rPr>
              <w:t>Requirement Statement</w:t>
            </w:r>
          </w:p>
        </w:tc>
        <w:tc>
          <w:tcPr>
            <w:tcW w:type="dxa" w:w="2340"/>
            <w:shd w:fill="1B365D"/>
          </w:tcPr>
          <w:p>
            <w:r>
              <w:rPr>
                <w:b/>
                <w:color w:val="FFFFFF"/>
              </w:rPr>
              <w:t>Verification Method</w:t>
            </w:r>
          </w:p>
        </w:tc>
      </w:tr>
      <w:tr>
        <w:tc>
          <w:tcPr>
            <w:tcW w:type="dxa" w:w="2340"/>
            <w:shd w:fill="F4F6F9"/>
            <w:tcMar>
              <w:top w:w="35" w:type="dxa"/>
              <w:bottom w:w="35" w:type="dxa"/>
              <w:left w:w="65" w:type="dxa"/>
              <w:right w:w="65" w:type="dxa"/>
            </w:tcMar>
          </w:tcPr>
          <w:p>
            <w:r>
              <w:rPr>
                <w:b/>
                <w:sz w:val="17"/>
              </w:rPr>
              <w:t>NFR-1</w:t>
            </w:r>
          </w:p>
        </w:tc>
        <w:tc>
          <w:tcPr>
            <w:tcW w:type="dxa" w:w="2340"/>
            <w:shd w:fill="FFFFFF"/>
            <w:tcMar>
              <w:top w:w="35" w:type="dxa"/>
              <w:bottom w:w="35" w:type="dxa"/>
              <w:left w:w="65" w:type="dxa"/>
              <w:right w:w="65" w:type="dxa"/>
            </w:tcMar>
          </w:tcPr>
          <w:p>
            <w:r>
              <w:rPr>
                <w:sz w:val="17"/>
              </w:rPr>
              <w:t>Determinism</w:t>
            </w:r>
          </w:p>
        </w:tc>
        <w:tc>
          <w:tcPr>
            <w:tcW w:type="dxa" w:w="2340"/>
            <w:shd w:fill="FFFFFF"/>
            <w:tcMar>
              <w:top w:w="35" w:type="dxa"/>
              <w:bottom w:w="35" w:type="dxa"/>
              <w:left w:w="65" w:type="dxa"/>
              <w:right w:w="65" w:type="dxa"/>
            </w:tcMar>
          </w:tcPr>
          <w:p>
            <w:r>
              <w:rPr>
                <w:sz w:val="17"/>
              </w:rPr>
              <w:t>Processing identical files repeatedly must produce byte-identical UMN records (excluding timestamp).</w:t>
            </w:r>
          </w:p>
        </w:tc>
        <w:tc>
          <w:tcPr>
            <w:tcW w:type="dxa" w:w="2340"/>
            <w:shd w:fill="FFFFFF"/>
            <w:tcMar>
              <w:top w:w="35" w:type="dxa"/>
              <w:bottom w:w="35" w:type="dxa"/>
              <w:left w:w="65" w:type="dxa"/>
              <w:right w:w="65" w:type="dxa"/>
            </w:tcMar>
          </w:tcPr>
          <w:p>
            <w:r>
              <w:rPr>
                <w:sz w:val="17"/>
              </w:rPr>
              <w:t>Execute duplicate ingestion runs and assert equality of output UMN records.</w:t>
            </w:r>
          </w:p>
        </w:tc>
      </w:tr>
      <w:tr>
        <w:tc>
          <w:tcPr>
            <w:tcW w:type="dxa" w:w="2340"/>
            <w:shd w:fill="F4F6F9"/>
            <w:tcMar>
              <w:top w:w="35" w:type="dxa"/>
              <w:bottom w:w="35" w:type="dxa"/>
              <w:left w:w="65" w:type="dxa"/>
              <w:right w:w="65" w:type="dxa"/>
            </w:tcMar>
          </w:tcPr>
          <w:p>
            <w:r>
              <w:rPr>
                <w:b/>
                <w:sz w:val="17"/>
              </w:rPr>
              <w:t>NFR-2</w:t>
            </w:r>
          </w:p>
        </w:tc>
        <w:tc>
          <w:tcPr>
            <w:tcW w:type="dxa" w:w="2340"/>
            <w:shd w:fill="FFFFFF"/>
            <w:tcMar>
              <w:top w:w="35" w:type="dxa"/>
              <w:bottom w:w="35" w:type="dxa"/>
              <w:left w:w="65" w:type="dxa"/>
              <w:right w:w="65" w:type="dxa"/>
            </w:tcMar>
          </w:tcPr>
          <w:p>
            <w:r>
              <w:rPr>
                <w:sz w:val="17"/>
              </w:rPr>
              <w:t>Non-Destructive</w:t>
            </w:r>
          </w:p>
        </w:tc>
        <w:tc>
          <w:tcPr>
            <w:tcW w:type="dxa" w:w="2340"/>
            <w:shd w:fill="FFFFFF"/>
            <w:tcMar>
              <w:top w:w="35" w:type="dxa"/>
              <w:bottom w:w="35" w:type="dxa"/>
              <w:left w:w="65" w:type="dxa"/>
              <w:right w:w="65" w:type="dxa"/>
            </w:tcMar>
          </w:tcPr>
          <w:p>
            <w:r>
              <w:rPr>
                <w:sz w:val="17"/>
              </w:rPr>
              <w:t>Source silo directories must remain 100% read-only; no files or sidecars are written to source folders.</w:t>
            </w:r>
          </w:p>
        </w:tc>
        <w:tc>
          <w:tcPr>
            <w:tcW w:type="dxa" w:w="2340"/>
            <w:shd w:fill="FFFFFF"/>
            <w:tcMar>
              <w:top w:w="35" w:type="dxa"/>
              <w:bottom w:w="35" w:type="dxa"/>
              <w:left w:w="65" w:type="dxa"/>
              <w:right w:w="65" w:type="dxa"/>
            </w:tcMar>
          </w:tcPr>
          <w:p>
            <w:r>
              <w:rPr>
                <w:sz w:val="17"/>
              </w:rPr>
              <w:t>Verify cryptographic file hashes across source directories before and after ingest.</w:t>
            </w:r>
          </w:p>
        </w:tc>
      </w:tr>
      <w:tr>
        <w:tc>
          <w:tcPr>
            <w:tcW w:type="dxa" w:w="2340"/>
            <w:shd w:fill="F4F6F9"/>
            <w:tcMar>
              <w:top w:w="35" w:type="dxa"/>
              <w:bottom w:w="35" w:type="dxa"/>
              <w:left w:w="65" w:type="dxa"/>
              <w:right w:w="65" w:type="dxa"/>
            </w:tcMar>
          </w:tcPr>
          <w:p>
            <w:r>
              <w:rPr>
                <w:b/>
                <w:sz w:val="17"/>
              </w:rPr>
              <w:t>NFR-3</w:t>
            </w:r>
          </w:p>
        </w:tc>
        <w:tc>
          <w:tcPr>
            <w:tcW w:type="dxa" w:w="2340"/>
            <w:shd w:fill="FFFFFF"/>
            <w:tcMar>
              <w:top w:w="35" w:type="dxa"/>
              <w:bottom w:w="35" w:type="dxa"/>
              <w:left w:w="65" w:type="dxa"/>
              <w:right w:w="65" w:type="dxa"/>
            </w:tcMar>
          </w:tcPr>
          <w:p>
            <w:r>
              <w:rPr>
                <w:sz w:val="17"/>
              </w:rPr>
              <w:t>Search Latency</w:t>
            </w:r>
          </w:p>
        </w:tc>
        <w:tc>
          <w:tcPr>
            <w:tcW w:type="dxa" w:w="2340"/>
            <w:shd w:fill="FFFFFF"/>
            <w:tcMar>
              <w:top w:w="35" w:type="dxa"/>
              <w:bottom w:w="35" w:type="dxa"/>
              <w:left w:w="65" w:type="dxa"/>
              <w:right w:w="65" w:type="dxa"/>
            </w:tcMar>
          </w:tcPr>
          <w:p>
            <w:r>
              <w:rPr>
                <w:sz w:val="17"/>
              </w:rPr>
              <w:t>Top-k semantic search queries must return results within 1.0 second on a 1,000-document database on laptop CPU.</w:t>
            </w:r>
          </w:p>
        </w:tc>
        <w:tc>
          <w:tcPr>
            <w:tcW w:type="dxa" w:w="2340"/>
            <w:shd w:fill="FFFFFF"/>
            <w:tcMar>
              <w:top w:w="35" w:type="dxa"/>
              <w:bottom w:w="35" w:type="dxa"/>
              <w:left w:w="65" w:type="dxa"/>
              <w:right w:w="65" w:type="dxa"/>
            </w:tcMar>
          </w:tcPr>
          <w:p>
            <w:r>
              <w:rPr>
                <w:sz w:val="17"/>
              </w:rPr>
              <w:t>Automated benchmark script executing 50 queries and measuring response times.</w:t>
            </w:r>
          </w:p>
        </w:tc>
      </w:tr>
      <w:tr>
        <w:tc>
          <w:tcPr>
            <w:tcW w:type="dxa" w:w="2340"/>
            <w:shd w:fill="F4F6F9"/>
            <w:tcMar>
              <w:top w:w="35" w:type="dxa"/>
              <w:bottom w:w="35" w:type="dxa"/>
              <w:left w:w="65" w:type="dxa"/>
              <w:right w:w="65" w:type="dxa"/>
            </w:tcMar>
          </w:tcPr>
          <w:p>
            <w:r>
              <w:rPr>
                <w:b/>
                <w:sz w:val="17"/>
              </w:rPr>
              <w:t>NFR-4</w:t>
            </w:r>
          </w:p>
        </w:tc>
        <w:tc>
          <w:tcPr>
            <w:tcW w:type="dxa" w:w="2340"/>
            <w:shd w:fill="FFFFFF"/>
            <w:tcMar>
              <w:top w:w="35" w:type="dxa"/>
              <w:bottom w:w="35" w:type="dxa"/>
              <w:left w:w="65" w:type="dxa"/>
              <w:right w:w="65" w:type="dxa"/>
            </w:tcMar>
          </w:tcPr>
          <w:p>
            <w:r>
              <w:rPr>
                <w:sz w:val="17"/>
              </w:rPr>
              <w:t>Ingest Throughput</w:t>
            </w:r>
          </w:p>
        </w:tc>
        <w:tc>
          <w:tcPr>
            <w:tcW w:type="dxa" w:w="2340"/>
            <w:shd w:fill="FFFFFF"/>
            <w:tcMar>
              <w:top w:w="35" w:type="dxa"/>
              <w:bottom w:w="35" w:type="dxa"/>
              <w:left w:w="65" w:type="dxa"/>
              <w:right w:w="65" w:type="dxa"/>
            </w:tcMar>
          </w:tcPr>
          <w:p>
            <w:r>
              <w:rPr>
                <w:sz w:val="17"/>
              </w:rPr>
              <w:t>Standard documents (&lt; 5 MB) must be parsed, normalized, and indexed in under 5.0 seconds per file on CPU.</w:t>
            </w:r>
          </w:p>
        </w:tc>
        <w:tc>
          <w:tcPr>
            <w:tcW w:type="dxa" w:w="2340"/>
            <w:shd w:fill="FFFFFF"/>
            <w:tcMar>
              <w:top w:w="35" w:type="dxa"/>
              <w:bottom w:w="35" w:type="dxa"/>
              <w:left w:w="65" w:type="dxa"/>
              <w:right w:w="65" w:type="dxa"/>
            </w:tcMar>
          </w:tcPr>
          <w:p>
            <w:r>
              <w:rPr>
                <w:sz w:val="17"/>
              </w:rPr>
              <w:t>Execution timing across test corpus during pipeline ingest.</w:t>
            </w:r>
          </w:p>
        </w:tc>
      </w:tr>
      <w:tr>
        <w:tc>
          <w:tcPr>
            <w:tcW w:type="dxa" w:w="2340"/>
            <w:shd w:fill="F4F6F9"/>
            <w:tcMar>
              <w:top w:w="35" w:type="dxa"/>
              <w:bottom w:w="35" w:type="dxa"/>
              <w:left w:w="65" w:type="dxa"/>
              <w:right w:w="65" w:type="dxa"/>
            </w:tcMar>
          </w:tcPr>
          <w:p>
            <w:r>
              <w:rPr>
                <w:b/>
                <w:sz w:val="17"/>
              </w:rPr>
              <w:t>NFR-5</w:t>
            </w:r>
          </w:p>
        </w:tc>
        <w:tc>
          <w:tcPr>
            <w:tcW w:type="dxa" w:w="2340"/>
            <w:shd w:fill="FFFFFF"/>
            <w:tcMar>
              <w:top w:w="35" w:type="dxa"/>
              <w:bottom w:w="35" w:type="dxa"/>
              <w:left w:w="65" w:type="dxa"/>
              <w:right w:w="65" w:type="dxa"/>
            </w:tcMar>
          </w:tcPr>
          <w:p>
            <w:r>
              <w:rPr>
                <w:sz w:val="17"/>
              </w:rPr>
              <w:t>Fault Tolerance</w:t>
            </w:r>
          </w:p>
        </w:tc>
        <w:tc>
          <w:tcPr>
            <w:tcW w:type="dxa" w:w="2340"/>
            <w:shd w:fill="FFFFFF"/>
            <w:tcMar>
              <w:top w:w="35" w:type="dxa"/>
              <w:bottom w:w="35" w:type="dxa"/>
              <w:left w:w="65" w:type="dxa"/>
              <w:right w:w="65" w:type="dxa"/>
            </w:tcMar>
          </w:tcPr>
          <w:p>
            <w:r>
              <w:rPr>
                <w:sz w:val="17"/>
              </w:rPr>
              <w:t>Corrupted, unreadable, or password-protected files must never cause ingestion batch crashes.</w:t>
            </w:r>
          </w:p>
        </w:tc>
        <w:tc>
          <w:tcPr>
            <w:tcW w:type="dxa" w:w="2340"/>
            <w:shd w:fill="FFFFFF"/>
            <w:tcMar>
              <w:top w:w="35" w:type="dxa"/>
              <w:bottom w:w="35" w:type="dxa"/>
              <w:left w:w="65" w:type="dxa"/>
              <w:right w:w="65" w:type="dxa"/>
            </w:tcMar>
          </w:tcPr>
          <w:p>
            <w:r>
              <w:rPr>
                <w:sz w:val="17"/>
              </w:rPr>
              <w:t>Inject corrupt/empty files into test silo and verify batch continues successfully.</w:t>
            </w:r>
          </w:p>
        </w:tc>
      </w:tr>
      <w:tr>
        <w:tc>
          <w:tcPr>
            <w:tcW w:type="dxa" w:w="2340"/>
            <w:shd w:fill="F4F6F9"/>
            <w:tcMar>
              <w:top w:w="35" w:type="dxa"/>
              <w:bottom w:w="35" w:type="dxa"/>
              <w:left w:w="65" w:type="dxa"/>
              <w:right w:w="65" w:type="dxa"/>
            </w:tcMar>
          </w:tcPr>
          <w:p>
            <w:r>
              <w:rPr>
                <w:b/>
                <w:sz w:val="17"/>
              </w:rPr>
              <w:t>NFR-6</w:t>
            </w:r>
          </w:p>
        </w:tc>
        <w:tc>
          <w:tcPr>
            <w:tcW w:type="dxa" w:w="2340"/>
            <w:shd w:fill="FFFFFF"/>
            <w:tcMar>
              <w:top w:w="35" w:type="dxa"/>
              <w:bottom w:w="35" w:type="dxa"/>
              <w:left w:w="65" w:type="dxa"/>
              <w:right w:w="65" w:type="dxa"/>
            </w:tcMar>
          </w:tcPr>
          <w:p>
            <w:r>
              <w:rPr>
                <w:sz w:val="17"/>
              </w:rPr>
              <w:t>Data Privacy</w:t>
            </w:r>
          </w:p>
        </w:tc>
        <w:tc>
          <w:tcPr>
            <w:tcW w:type="dxa" w:w="2340"/>
            <w:shd w:fill="FFFFFF"/>
            <w:tcMar>
              <w:top w:w="35" w:type="dxa"/>
              <w:bottom w:w="35" w:type="dxa"/>
              <w:left w:w="65" w:type="dxa"/>
              <w:right w:w="65" w:type="dxa"/>
            </w:tcMar>
          </w:tcPr>
          <w:p>
            <w:r>
              <w:rPr>
                <w:sz w:val="17"/>
              </w:rPr>
              <w:t>All file reading, parsing, embeddings, database storage, and UI execution must run locally with zero cloud API calls.</w:t>
            </w:r>
          </w:p>
        </w:tc>
        <w:tc>
          <w:tcPr>
            <w:tcW w:type="dxa" w:w="2340"/>
            <w:shd w:fill="FFFFFF"/>
            <w:tcMar>
              <w:top w:w="35" w:type="dxa"/>
              <w:bottom w:w="35" w:type="dxa"/>
              <w:left w:w="65" w:type="dxa"/>
              <w:right w:w="65" w:type="dxa"/>
            </w:tcMar>
          </w:tcPr>
          <w:p>
            <w:r>
              <w:rPr>
                <w:sz w:val="17"/>
              </w:rPr>
              <w:t>Monitor network interfaces to verify zero outbound external traffic.</w:t>
            </w:r>
          </w:p>
        </w:tc>
      </w:tr>
      <w:tr>
        <w:tc>
          <w:tcPr>
            <w:tcW w:type="dxa" w:w="2340"/>
            <w:shd w:fill="F4F6F9"/>
            <w:tcMar>
              <w:top w:w="35" w:type="dxa"/>
              <w:bottom w:w="35" w:type="dxa"/>
              <w:left w:w="65" w:type="dxa"/>
              <w:right w:w="65" w:type="dxa"/>
            </w:tcMar>
          </w:tcPr>
          <w:p>
            <w:r>
              <w:rPr>
                <w:b/>
                <w:sz w:val="17"/>
              </w:rPr>
              <w:t>NFR-7</w:t>
            </w:r>
          </w:p>
        </w:tc>
        <w:tc>
          <w:tcPr>
            <w:tcW w:type="dxa" w:w="2340"/>
            <w:shd w:fill="FFFFFF"/>
            <w:tcMar>
              <w:top w:w="35" w:type="dxa"/>
              <w:bottom w:w="35" w:type="dxa"/>
              <w:left w:w="65" w:type="dxa"/>
              <w:right w:w="65" w:type="dxa"/>
            </w:tcMar>
          </w:tcPr>
          <w:p>
            <w:r>
              <w:rPr>
                <w:sz w:val="17"/>
              </w:rPr>
              <w:t>Maintainability</w:t>
            </w:r>
          </w:p>
        </w:tc>
        <w:tc>
          <w:tcPr>
            <w:tcW w:type="dxa" w:w="2340"/>
            <w:shd w:fill="FFFFFF"/>
            <w:tcMar>
              <w:top w:w="35" w:type="dxa"/>
              <w:bottom w:w="35" w:type="dxa"/>
              <w:left w:w="65" w:type="dxa"/>
              <w:right w:w="65" w:type="dxa"/>
            </w:tcMar>
          </w:tcPr>
          <w:p>
            <w:r>
              <w:rPr>
                <w:sz w:val="17"/>
              </w:rPr>
              <w:t>Codebase must achieve modular separation with unit test suites for connectors, parsers, normalizer, and repository.</w:t>
            </w:r>
          </w:p>
        </w:tc>
        <w:tc>
          <w:tcPr>
            <w:tcW w:type="dxa" w:w="2340"/>
            <w:shd w:fill="FFFFFF"/>
            <w:tcMar>
              <w:top w:w="35" w:type="dxa"/>
              <w:bottom w:w="35" w:type="dxa"/>
              <w:left w:w="65" w:type="dxa"/>
              <w:right w:w="65" w:type="dxa"/>
            </w:tcMar>
          </w:tcPr>
          <w:p>
            <w:r>
              <w:rPr>
                <w:sz w:val="17"/>
              </w:rPr>
              <w:t>Run pytest test suite in CI pipeline with target coverage &gt; 80%.</w:t>
            </w:r>
          </w:p>
        </w:tc>
      </w:tr>
      <w:tr>
        <w:tc>
          <w:tcPr>
            <w:tcW w:type="dxa" w:w="2340"/>
            <w:shd w:fill="F4F6F9"/>
            <w:tcMar>
              <w:top w:w="35" w:type="dxa"/>
              <w:bottom w:w="35" w:type="dxa"/>
              <w:left w:w="65" w:type="dxa"/>
              <w:right w:w="65" w:type="dxa"/>
            </w:tcMar>
          </w:tcPr>
          <w:p>
            <w:r>
              <w:rPr>
                <w:b/>
                <w:sz w:val="17"/>
              </w:rPr>
              <w:t>NFR-8</w:t>
            </w:r>
          </w:p>
        </w:tc>
        <w:tc>
          <w:tcPr>
            <w:tcW w:type="dxa" w:w="2340"/>
            <w:shd w:fill="FFFFFF"/>
            <w:tcMar>
              <w:top w:w="35" w:type="dxa"/>
              <w:bottom w:w="35" w:type="dxa"/>
              <w:left w:w="65" w:type="dxa"/>
              <w:right w:w="65" w:type="dxa"/>
            </w:tcMar>
          </w:tcPr>
          <w:p>
            <w:r>
              <w:rPr>
                <w:sz w:val="17"/>
              </w:rPr>
              <w:t>Portability</w:t>
            </w:r>
          </w:p>
        </w:tc>
        <w:tc>
          <w:tcPr>
            <w:tcW w:type="dxa" w:w="2340"/>
            <w:shd w:fill="FFFFFF"/>
            <w:tcMar>
              <w:top w:w="35" w:type="dxa"/>
              <w:bottom w:w="35" w:type="dxa"/>
              <w:left w:w="65" w:type="dxa"/>
              <w:right w:w="65" w:type="dxa"/>
            </w:tcMar>
          </w:tcPr>
          <w:p>
            <w:r>
              <w:rPr>
                <w:sz w:val="17"/>
              </w:rPr>
              <w:t>System must execute on Windows 11 and Linux environments using Python 3.10+ and containerized PostgreSQL.</w:t>
            </w:r>
          </w:p>
        </w:tc>
        <w:tc>
          <w:tcPr>
            <w:tcW w:type="dxa" w:w="2340"/>
            <w:shd w:fill="FFFFFF"/>
            <w:tcMar>
              <w:top w:w="35" w:type="dxa"/>
              <w:bottom w:w="35" w:type="dxa"/>
              <w:left w:w="65" w:type="dxa"/>
              <w:right w:w="65" w:type="dxa"/>
            </w:tcMar>
          </w:tcPr>
          <w:p>
            <w:r>
              <w:rPr>
                <w:sz w:val="17"/>
              </w:rPr>
              <w:t>Validate setup and pipeline execution on clean CPU-only testing machines.</w:t>
            </w:r>
          </w:p>
        </w:tc>
      </w:tr>
    </w:tbl>
    <w:p>
      <w:pPr>
        <w:spacing w:after="120"/>
      </w:pPr>
    </w:p>
    <w:p>
      <w:pPr>
        <w:keepNext/>
        <w:spacing w:before="280" w:after="80"/>
      </w:pPr>
      <w:r>
        <w:rPr>
          <w:rFonts w:ascii="Arial" w:hAnsi="Arial"/>
          <w:b/>
          <w:color w:val="1B365D"/>
          <w:sz w:val="26"/>
        </w:rPr>
        <w:t>6. USE CASE SPECIFICATIONS</w:t>
      </w:r>
    </w:p>
    <w:p>
      <w:pPr>
        <w:keepNext/>
        <w:spacing w:before="200" w:after="60"/>
      </w:pPr>
      <w:r>
        <w:rPr>
          <w:rFonts w:ascii="Arial" w:hAnsi="Arial"/>
          <w:b/>
          <w:color w:val="4A6572"/>
          <w:sz w:val="22"/>
        </w:rPr>
        <w:t>Use Case 1: Ingest Departmental Silos</w:t>
      </w:r>
    </w:p>
    <w:p>
      <w:pPr>
        <w:pStyle w:val="ListBullet"/>
        <w:spacing w:before="0" w:after="50" w:line="276" w:lineRule="auto"/>
      </w:pPr>
      <w:r>
        <w:rPr>
          <w:rFonts w:ascii="Arial" w:hAnsi="Arial"/>
          <w:b/>
          <w:color w:val="1B365D"/>
          <w:sz w:val="20"/>
        </w:rPr>
        <w:t>Primary Actor:</w:t>
      </w:r>
      <w:r>
        <w:rPr>
          <w:rFonts w:ascii="Arial" w:hAnsi="Arial"/>
          <w:color w:val="212121"/>
          <w:sz w:val="20"/>
        </w:rPr>
        <w:t xml:space="preserve"> Data Steward / Administrator</w:t>
      </w:r>
    </w:p>
    <w:p>
      <w:pPr>
        <w:pStyle w:val="ListBullet"/>
        <w:spacing w:before="0" w:after="50" w:line="276" w:lineRule="auto"/>
      </w:pPr>
      <w:r>
        <w:rPr>
          <w:rFonts w:ascii="Arial" w:hAnsi="Arial"/>
          <w:b/>
          <w:color w:val="1B365D"/>
          <w:sz w:val="20"/>
        </w:rPr>
        <w:t>Preconditions:</w:t>
      </w:r>
      <w:r>
        <w:rPr>
          <w:rFonts w:ascii="Arial" w:hAnsi="Arial"/>
          <w:color w:val="212121"/>
          <w:sz w:val="20"/>
        </w:rPr>
        <w:t xml:space="preserve"> Departmental silos are configured in configuration files; database container is active.</w:t>
      </w:r>
    </w:p>
    <w:p>
      <w:pPr>
        <w:pStyle w:val="ListBullet"/>
        <w:spacing w:before="0" w:after="50" w:line="276" w:lineRule="auto"/>
      </w:pPr>
      <w:r>
        <w:rPr>
          <w:rFonts w:ascii="Arial" w:hAnsi="Arial"/>
          <w:b/>
          <w:color w:val="1B365D"/>
          <w:sz w:val="20"/>
        </w:rPr>
        <w:t>Main Success Scenario:</w:t>
      </w:r>
      <w:r>
        <w:rPr>
          <w:rFonts w:ascii="Arial" w:hAnsi="Arial"/>
          <w:color w:val="212121"/>
          <w:sz w:val="20"/>
        </w:rPr>
        <w:t xml:space="preserve"> (1) Administrator accesses Admin Dashboard on Streamlit and triggers 'Run Ingestion'. (2) Pipeline scans silo paths recursively. (3) Connector calculates SHA-256 hashes; unchanged files are skipped. (4) Parsers/OCR extract metadata and text from new/modified documents. (5) Normalizer maps values to UMN schema, generates summary and keywords, and validates against JSON Schema. (6) Embedder generates 384-d vector embeddings using all-MiniLM-L6-v2. (7) Repository commits an atomic upsert into the database. (8) Streamlit displays Ingestion Report summary.</w:t>
      </w:r>
    </w:p>
    <w:p>
      <w:pPr>
        <w:pStyle w:val="ListBullet"/>
        <w:spacing w:before="0" w:after="50" w:line="276" w:lineRule="auto"/>
      </w:pPr>
      <w:r>
        <w:rPr>
          <w:rFonts w:ascii="Arial" w:hAnsi="Arial"/>
          <w:b/>
          <w:color w:val="1B365D"/>
          <w:sz w:val="20"/>
        </w:rPr>
        <w:t>Extensions:</w:t>
      </w:r>
      <w:r>
        <w:rPr>
          <w:rFonts w:ascii="Arial" w:hAnsi="Arial"/>
          <w:color w:val="212121"/>
          <w:sz w:val="20"/>
        </w:rPr>
        <w:t xml:space="preserve"> If a file is corrupt or unreadable, the error is recorded in the ingestion report, the file is skipped, and batch processing proceeds.</w:t>
      </w:r>
    </w:p>
    <w:p>
      <w:pPr>
        <w:pStyle w:val="ListBullet"/>
        <w:spacing w:before="0" w:after="50" w:line="276" w:lineRule="auto"/>
      </w:pPr>
      <w:r>
        <w:rPr>
          <w:rFonts w:ascii="Arial" w:hAnsi="Arial"/>
          <w:b/>
          <w:color w:val="1B365D"/>
          <w:sz w:val="20"/>
        </w:rPr>
        <w:t>Postconditions:</w:t>
      </w:r>
      <w:r>
        <w:rPr>
          <w:rFonts w:ascii="Arial" w:hAnsi="Arial"/>
          <w:color w:val="212121"/>
          <w:sz w:val="20"/>
        </w:rPr>
        <w:t xml:space="preserve"> Supported files have validated UMN records and indexed vectors; source folders remain untouched.</w:t>
      </w:r>
    </w:p>
    <w:p>
      <w:pPr>
        <w:keepNext/>
        <w:spacing w:before="200" w:after="60"/>
      </w:pPr>
      <w:r>
        <w:rPr>
          <w:rFonts w:ascii="Arial" w:hAnsi="Arial"/>
          <w:b/>
          <w:color w:val="4A6572"/>
          <w:sz w:val="22"/>
        </w:rPr>
        <w:t>Use Case 2: Semantic Document Search</w:t>
      </w:r>
    </w:p>
    <w:p>
      <w:pPr>
        <w:pStyle w:val="ListBullet"/>
        <w:spacing w:before="0" w:after="50" w:line="276" w:lineRule="auto"/>
      </w:pPr>
      <w:r>
        <w:rPr>
          <w:rFonts w:ascii="Arial" w:hAnsi="Arial"/>
          <w:b/>
          <w:color w:val="1B365D"/>
          <w:sz w:val="20"/>
        </w:rPr>
        <w:t>Primary Actor:</w:t>
      </w:r>
      <w:r>
        <w:rPr>
          <w:rFonts w:ascii="Arial" w:hAnsi="Arial"/>
          <w:color w:val="212121"/>
          <w:sz w:val="20"/>
        </w:rPr>
        <w:t xml:space="preserve"> Knowledge Worker (End User)</w:t>
      </w:r>
    </w:p>
    <w:p>
      <w:pPr>
        <w:pStyle w:val="ListBullet"/>
        <w:spacing w:before="0" w:after="50" w:line="276" w:lineRule="auto"/>
      </w:pPr>
      <w:r>
        <w:rPr>
          <w:rFonts w:ascii="Arial" w:hAnsi="Arial"/>
          <w:b/>
          <w:color w:val="1B365D"/>
          <w:sz w:val="20"/>
        </w:rPr>
        <w:t>Preconditions:</w:t>
      </w:r>
      <w:r>
        <w:rPr>
          <w:rFonts w:ascii="Arial" w:hAnsi="Arial"/>
          <w:color w:val="212121"/>
          <w:sz w:val="20"/>
        </w:rPr>
        <w:t xml:space="preserve"> Database contains indexed document records and embeddings.</w:t>
      </w:r>
    </w:p>
    <w:p>
      <w:pPr>
        <w:pStyle w:val="ListBullet"/>
        <w:spacing w:before="0" w:after="50" w:line="276" w:lineRule="auto"/>
      </w:pPr>
      <w:r>
        <w:rPr>
          <w:rFonts w:ascii="Arial" w:hAnsi="Arial"/>
          <w:b/>
          <w:color w:val="1B365D"/>
          <w:sz w:val="20"/>
        </w:rPr>
        <w:t>Main Success Scenario:</w:t>
      </w:r>
      <w:r>
        <w:rPr>
          <w:rFonts w:ascii="Arial" w:hAnsi="Arial"/>
          <w:color w:val="212121"/>
          <w:sz w:val="20"/>
        </w:rPr>
        <w:t xml:space="preserve"> (1) User inputs natural language query (e.g., 'maternity leave policy') in Streamlit. (2) User optionally selects Department (e.g., 'HR') or Document Type filters. (3) Streamlit forwards query parameters to FastAPI GET /search endpoint. (4) SearchService embeds query text via all-MiniLM-L6-v2. (5) PostgreSQL executes similarity query calculating cosine distance with applied WHERE filters. (6) Top-k matching UMN records and similarity scores are returned to Streamlit. (7) Results are rendered as ranked cards showing title, summary, score, and local file links.</w:t>
      </w:r>
    </w:p>
    <w:p>
      <w:pPr>
        <w:pStyle w:val="ListBullet"/>
        <w:spacing w:before="0" w:after="50" w:line="276" w:lineRule="auto"/>
      </w:pPr>
      <w:r>
        <w:rPr>
          <w:rFonts w:ascii="Arial" w:hAnsi="Arial"/>
          <w:b/>
          <w:color w:val="1B365D"/>
          <w:sz w:val="20"/>
        </w:rPr>
        <w:t>Extensions:</w:t>
      </w:r>
      <w:r>
        <w:rPr>
          <w:rFonts w:ascii="Arial" w:hAnsi="Arial"/>
          <w:color w:val="212121"/>
          <w:sz w:val="20"/>
        </w:rPr>
        <w:t xml:space="preserve"> If no documents exceed the similarity threshold, the interface displays 'No matching documents found; try refining your search terms.'</w:t>
      </w:r>
    </w:p>
    <w:p>
      <w:pPr>
        <w:keepNext/>
        <w:spacing w:before="280" w:after="80"/>
      </w:pPr>
      <w:r>
        <w:rPr>
          <w:rFonts w:ascii="Arial" w:hAnsi="Arial"/>
          <w:b/>
          <w:color w:val="1B365D"/>
          <w:sz w:val="26"/>
        </w:rPr>
        <w:t>7. REQUIREMENTS TRACEABILITY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rPr>
              <w:t>Requirement ID</w:t>
            </w:r>
          </w:p>
        </w:tc>
        <w:tc>
          <w:tcPr>
            <w:tcW w:type="dxa" w:w="2340"/>
            <w:shd w:fill="1B365D"/>
          </w:tcPr>
          <w:p>
            <w:r>
              <w:rPr>
                <w:b/>
                <w:color w:val="FFFFFF"/>
              </w:rPr>
              <w:t>Associated Use Case</w:t>
            </w:r>
          </w:p>
        </w:tc>
        <w:tc>
          <w:tcPr>
            <w:tcW w:type="dxa" w:w="2340"/>
            <w:shd w:fill="1B365D"/>
          </w:tcPr>
          <w:p>
            <w:r>
              <w:rPr>
                <w:b/>
                <w:color w:val="FFFFFF"/>
              </w:rPr>
              <w:t>Architectural Module / Class</w:t>
            </w:r>
          </w:p>
        </w:tc>
        <w:tc>
          <w:tcPr>
            <w:tcW w:type="dxa" w:w="2340"/>
            <w:shd w:fill="1B365D"/>
          </w:tcPr>
          <w:p>
            <w:r>
              <w:rPr>
                <w:b/>
                <w:color w:val="FFFFFF"/>
              </w:rPr>
              <w:t>Verification Test</w:t>
            </w:r>
          </w:p>
        </w:tc>
      </w:tr>
      <w:tr>
        <w:tc>
          <w:tcPr>
            <w:tcW w:type="dxa" w:w="2340"/>
            <w:shd w:fill="F4F6F9"/>
            <w:tcMar>
              <w:top w:w="35" w:type="dxa"/>
              <w:bottom w:w="35" w:type="dxa"/>
              <w:left w:w="65" w:type="dxa"/>
              <w:right w:w="65" w:type="dxa"/>
            </w:tcMar>
          </w:tcPr>
          <w:p>
            <w:r>
              <w:rPr>
                <w:b/>
                <w:sz w:val="17"/>
              </w:rPr>
              <w:t>FR-C1 – FR-C5</w:t>
            </w:r>
          </w:p>
        </w:tc>
        <w:tc>
          <w:tcPr>
            <w:tcW w:type="dxa" w:w="2340"/>
            <w:shd w:fill="FFFFFF"/>
            <w:tcMar>
              <w:top w:w="35" w:type="dxa"/>
              <w:bottom w:w="35" w:type="dxa"/>
              <w:left w:w="65" w:type="dxa"/>
              <w:right w:w="65" w:type="dxa"/>
            </w:tcMar>
          </w:tcPr>
          <w:p>
            <w:r>
              <w:rPr>
                <w:sz w:val="17"/>
              </w:rPr>
              <w:t>UC-1</w:t>
            </w:r>
          </w:p>
        </w:tc>
        <w:tc>
          <w:tcPr>
            <w:tcW w:type="dxa" w:w="2340"/>
            <w:shd w:fill="FFFFFF"/>
            <w:tcMar>
              <w:top w:w="35" w:type="dxa"/>
              <w:bottom w:w="35" w:type="dxa"/>
              <w:left w:w="65" w:type="dxa"/>
              <w:right w:w="65" w:type="dxa"/>
            </w:tcMar>
          </w:tcPr>
          <w:p>
            <w:r>
              <w:rPr>
                <w:sz w:val="17"/>
              </w:rPr>
              <w:t>LocalFolderConnector, SiloConfig</w:t>
            </w:r>
          </w:p>
        </w:tc>
        <w:tc>
          <w:tcPr>
            <w:tcW w:type="dxa" w:w="2340"/>
            <w:shd w:fill="FFFFFF"/>
            <w:tcMar>
              <w:top w:w="35" w:type="dxa"/>
              <w:bottom w:w="35" w:type="dxa"/>
              <w:left w:w="65" w:type="dxa"/>
              <w:right w:w="65" w:type="dxa"/>
            </w:tcMar>
          </w:tcPr>
          <w:p>
            <w:r>
              <w:rPr>
                <w:sz w:val="17"/>
              </w:rPr>
              <w:t>tests/test_connector.py</w:t>
            </w:r>
          </w:p>
        </w:tc>
      </w:tr>
      <w:tr>
        <w:tc>
          <w:tcPr>
            <w:tcW w:type="dxa" w:w="2340"/>
            <w:shd w:fill="F4F6F9"/>
            <w:tcMar>
              <w:top w:w="35" w:type="dxa"/>
              <w:bottom w:w="35" w:type="dxa"/>
              <w:left w:w="65" w:type="dxa"/>
              <w:right w:w="65" w:type="dxa"/>
            </w:tcMar>
          </w:tcPr>
          <w:p>
            <w:r>
              <w:rPr>
                <w:b/>
                <w:sz w:val="17"/>
              </w:rPr>
              <w:t>FR-E1 – FR-E8</w:t>
            </w:r>
          </w:p>
        </w:tc>
        <w:tc>
          <w:tcPr>
            <w:tcW w:type="dxa" w:w="2340"/>
            <w:shd w:fill="FFFFFF"/>
            <w:tcMar>
              <w:top w:w="35" w:type="dxa"/>
              <w:bottom w:w="35" w:type="dxa"/>
              <w:left w:w="65" w:type="dxa"/>
              <w:right w:w="65" w:type="dxa"/>
            </w:tcMar>
          </w:tcPr>
          <w:p>
            <w:r>
              <w:rPr>
                <w:sz w:val="17"/>
              </w:rPr>
              <w:t>UC-1</w:t>
            </w:r>
          </w:p>
        </w:tc>
        <w:tc>
          <w:tcPr>
            <w:tcW w:type="dxa" w:w="2340"/>
            <w:shd w:fill="FFFFFF"/>
            <w:tcMar>
              <w:top w:w="35" w:type="dxa"/>
              <w:bottom w:w="35" w:type="dxa"/>
              <w:left w:w="65" w:type="dxa"/>
              <w:right w:w="65" w:type="dxa"/>
            </w:tcMar>
          </w:tcPr>
          <w:p>
            <w:r>
              <w:rPr>
                <w:sz w:val="17"/>
              </w:rPr>
              <w:t>PdfExtractor, DocxExtractor, EasyOCR</w:t>
            </w:r>
          </w:p>
        </w:tc>
        <w:tc>
          <w:tcPr>
            <w:tcW w:type="dxa" w:w="2340"/>
            <w:shd w:fill="FFFFFF"/>
            <w:tcMar>
              <w:top w:w="35" w:type="dxa"/>
              <w:bottom w:w="35" w:type="dxa"/>
              <w:left w:w="65" w:type="dxa"/>
              <w:right w:w="65" w:type="dxa"/>
            </w:tcMar>
          </w:tcPr>
          <w:p>
            <w:r>
              <w:rPr>
                <w:sz w:val="17"/>
              </w:rPr>
              <w:t>tests/test_extractors.py</w:t>
            </w:r>
          </w:p>
        </w:tc>
      </w:tr>
      <w:tr>
        <w:tc>
          <w:tcPr>
            <w:tcW w:type="dxa" w:w="2340"/>
            <w:shd w:fill="F4F6F9"/>
            <w:tcMar>
              <w:top w:w="35" w:type="dxa"/>
              <w:bottom w:w="35" w:type="dxa"/>
              <w:left w:w="65" w:type="dxa"/>
              <w:right w:w="65" w:type="dxa"/>
            </w:tcMar>
          </w:tcPr>
          <w:p>
            <w:r>
              <w:rPr>
                <w:b/>
                <w:sz w:val="17"/>
              </w:rPr>
              <w:t>FR-N1 – FR-N9</w:t>
            </w:r>
          </w:p>
        </w:tc>
        <w:tc>
          <w:tcPr>
            <w:tcW w:type="dxa" w:w="2340"/>
            <w:shd w:fill="FFFFFF"/>
            <w:tcMar>
              <w:top w:w="35" w:type="dxa"/>
              <w:bottom w:w="35" w:type="dxa"/>
              <w:left w:w="65" w:type="dxa"/>
              <w:right w:w="65" w:type="dxa"/>
            </w:tcMar>
          </w:tcPr>
          <w:p>
            <w:r>
              <w:rPr>
                <w:sz w:val="17"/>
              </w:rPr>
              <w:t>UC-1</w:t>
            </w:r>
          </w:p>
        </w:tc>
        <w:tc>
          <w:tcPr>
            <w:tcW w:type="dxa" w:w="2340"/>
            <w:shd w:fill="FFFFFF"/>
            <w:tcMar>
              <w:top w:w="35" w:type="dxa"/>
              <w:bottom w:w="35" w:type="dxa"/>
              <w:left w:w="65" w:type="dxa"/>
              <w:right w:w="65" w:type="dxa"/>
            </w:tcMar>
          </w:tcPr>
          <w:p>
            <w:r>
              <w:rPr>
                <w:sz w:val="17"/>
              </w:rPr>
              <w:t>Normalizer, TitleResolver, DateNormalizer</w:t>
            </w:r>
          </w:p>
        </w:tc>
        <w:tc>
          <w:tcPr>
            <w:tcW w:type="dxa" w:w="2340"/>
            <w:shd w:fill="FFFFFF"/>
            <w:tcMar>
              <w:top w:w="35" w:type="dxa"/>
              <w:bottom w:w="35" w:type="dxa"/>
              <w:left w:w="65" w:type="dxa"/>
              <w:right w:w="65" w:type="dxa"/>
            </w:tcMar>
          </w:tcPr>
          <w:p>
            <w:r>
              <w:rPr>
                <w:sz w:val="17"/>
              </w:rPr>
              <w:t>tests/test_normalizer.py, test_determinism.py</w:t>
            </w:r>
          </w:p>
        </w:tc>
      </w:tr>
      <w:tr>
        <w:tc>
          <w:tcPr>
            <w:tcW w:type="dxa" w:w="2340"/>
            <w:shd w:fill="F4F6F9"/>
            <w:tcMar>
              <w:top w:w="35" w:type="dxa"/>
              <w:bottom w:w="35" w:type="dxa"/>
              <w:left w:w="65" w:type="dxa"/>
              <w:right w:w="65" w:type="dxa"/>
            </w:tcMar>
          </w:tcPr>
          <w:p>
            <w:r>
              <w:rPr>
                <w:b/>
                <w:sz w:val="17"/>
              </w:rPr>
              <w:t>FR-S1 – FR-S5</w:t>
            </w:r>
          </w:p>
        </w:tc>
        <w:tc>
          <w:tcPr>
            <w:tcW w:type="dxa" w:w="2340"/>
            <w:shd w:fill="FFFFFF"/>
            <w:tcMar>
              <w:top w:w="35" w:type="dxa"/>
              <w:bottom w:w="35" w:type="dxa"/>
              <w:left w:w="65" w:type="dxa"/>
              <w:right w:w="65" w:type="dxa"/>
            </w:tcMar>
          </w:tcPr>
          <w:p>
            <w:r>
              <w:rPr>
                <w:sz w:val="17"/>
              </w:rPr>
              <w:t>UC-1</w:t>
            </w:r>
          </w:p>
        </w:tc>
        <w:tc>
          <w:tcPr>
            <w:tcW w:type="dxa" w:w="2340"/>
            <w:shd w:fill="FFFFFF"/>
            <w:tcMar>
              <w:top w:w="35" w:type="dxa"/>
              <w:bottom w:w="35" w:type="dxa"/>
              <w:left w:w="65" w:type="dxa"/>
              <w:right w:w="65" w:type="dxa"/>
            </w:tcMar>
          </w:tcPr>
          <w:p>
            <w:r>
              <w:rPr>
                <w:sz w:val="17"/>
              </w:rPr>
              <w:t>PostgresUMNRepository, Embedder</w:t>
            </w:r>
          </w:p>
        </w:tc>
        <w:tc>
          <w:tcPr>
            <w:tcW w:type="dxa" w:w="2340"/>
            <w:shd w:fill="FFFFFF"/>
            <w:tcMar>
              <w:top w:w="35" w:type="dxa"/>
              <w:bottom w:w="35" w:type="dxa"/>
              <w:left w:w="65" w:type="dxa"/>
              <w:right w:w="65" w:type="dxa"/>
            </w:tcMar>
          </w:tcPr>
          <w:p>
            <w:r>
              <w:rPr>
                <w:sz w:val="17"/>
              </w:rPr>
              <w:t>tests/test_repository.py, test_index.py</w:t>
            </w:r>
          </w:p>
        </w:tc>
      </w:tr>
      <w:tr>
        <w:tc>
          <w:tcPr>
            <w:tcW w:type="dxa" w:w="2340"/>
            <w:shd w:fill="F4F6F9"/>
            <w:tcMar>
              <w:top w:w="35" w:type="dxa"/>
              <w:bottom w:w="35" w:type="dxa"/>
              <w:left w:w="65" w:type="dxa"/>
              <w:right w:w="65" w:type="dxa"/>
            </w:tcMar>
          </w:tcPr>
          <w:p>
            <w:r>
              <w:rPr>
                <w:b/>
                <w:sz w:val="17"/>
              </w:rPr>
              <w:t>FR-Q1 – FR-Q5</w:t>
            </w:r>
          </w:p>
        </w:tc>
        <w:tc>
          <w:tcPr>
            <w:tcW w:type="dxa" w:w="2340"/>
            <w:shd w:fill="FFFFFF"/>
            <w:tcMar>
              <w:top w:w="35" w:type="dxa"/>
              <w:bottom w:w="35" w:type="dxa"/>
              <w:left w:w="65" w:type="dxa"/>
              <w:right w:w="65" w:type="dxa"/>
            </w:tcMar>
          </w:tcPr>
          <w:p>
            <w:r>
              <w:rPr>
                <w:sz w:val="17"/>
              </w:rPr>
              <w:t>UC-2</w:t>
            </w:r>
          </w:p>
        </w:tc>
        <w:tc>
          <w:tcPr>
            <w:tcW w:type="dxa" w:w="2340"/>
            <w:shd w:fill="FFFFFF"/>
            <w:tcMar>
              <w:top w:w="35" w:type="dxa"/>
              <w:bottom w:w="35" w:type="dxa"/>
              <w:left w:w="65" w:type="dxa"/>
              <w:right w:w="65" w:type="dxa"/>
            </w:tcMar>
          </w:tcPr>
          <w:p>
            <w:r>
              <w:rPr>
                <w:sz w:val="17"/>
              </w:rPr>
              <w:t>SearchService, ApiApp, UiApp</w:t>
            </w:r>
          </w:p>
        </w:tc>
        <w:tc>
          <w:tcPr>
            <w:tcW w:type="dxa" w:w="2340"/>
            <w:shd w:fill="FFFFFF"/>
            <w:tcMar>
              <w:top w:w="35" w:type="dxa"/>
              <w:bottom w:w="35" w:type="dxa"/>
              <w:left w:w="65" w:type="dxa"/>
              <w:right w:w="65" w:type="dxa"/>
            </w:tcMar>
          </w:tcPr>
          <w:p>
            <w:r>
              <w:rPr>
                <w:sz w:val="17"/>
              </w:rPr>
              <w:t>tests/test_search.py, eval/gold_eval.py</w:t>
            </w:r>
          </w:p>
        </w:tc>
      </w:tr>
      <w:tr>
        <w:tc>
          <w:tcPr>
            <w:tcW w:type="dxa" w:w="2340"/>
            <w:shd w:fill="F4F6F9"/>
            <w:tcMar>
              <w:top w:w="35" w:type="dxa"/>
              <w:bottom w:w="35" w:type="dxa"/>
              <w:left w:w="65" w:type="dxa"/>
              <w:right w:w="65" w:type="dxa"/>
            </w:tcMar>
          </w:tcPr>
          <w:p>
            <w:r>
              <w:rPr>
                <w:b/>
                <w:sz w:val="17"/>
              </w:rPr>
              <w:t>NFR-1 – NFR-8</w:t>
            </w:r>
          </w:p>
        </w:tc>
        <w:tc>
          <w:tcPr>
            <w:tcW w:type="dxa" w:w="2340"/>
            <w:shd w:fill="FFFFFF"/>
            <w:tcMar>
              <w:top w:w="35" w:type="dxa"/>
              <w:bottom w:w="35" w:type="dxa"/>
              <w:left w:w="65" w:type="dxa"/>
              <w:right w:w="65" w:type="dxa"/>
            </w:tcMar>
          </w:tcPr>
          <w:p>
            <w:r>
              <w:rPr>
                <w:sz w:val="17"/>
              </w:rPr>
              <w:t>UC-1, UC-2</w:t>
            </w:r>
          </w:p>
        </w:tc>
        <w:tc>
          <w:tcPr>
            <w:tcW w:type="dxa" w:w="2340"/>
            <w:shd w:fill="FFFFFF"/>
            <w:tcMar>
              <w:top w:w="35" w:type="dxa"/>
              <w:bottom w:w="35" w:type="dxa"/>
              <w:left w:w="65" w:type="dxa"/>
              <w:right w:w="65" w:type="dxa"/>
            </w:tcMar>
          </w:tcPr>
          <w:p>
            <w:r>
              <w:rPr>
                <w:sz w:val="17"/>
              </w:rPr>
              <w:t>Entire System Architecture</w:t>
            </w:r>
          </w:p>
        </w:tc>
        <w:tc>
          <w:tcPr>
            <w:tcW w:type="dxa" w:w="2340"/>
            <w:shd w:fill="FFFFFF"/>
            <w:tcMar>
              <w:top w:w="35" w:type="dxa"/>
              <w:bottom w:w="35" w:type="dxa"/>
              <w:left w:w="65" w:type="dxa"/>
              <w:right w:w="65" w:type="dxa"/>
            </w:tcMar>
          </w:tcPr>
          <w:p>
            <w:r>
              <w:rPr>
                <w:sz w:val="17"/>
              </w:rPr>
              <w:t>Performance, privacy, and stress test suites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