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129" w:rsidRPr="00A66129" w:rsidRDefault="00A66129" w:rsidP="00A66129">
      <w:pPr>
        <w:shd w:val="clear" w:color="auto" w:fill="FFFFFF"/>
        <w:spacing w:before="120" w:after="120" w:line="360" w:lineRule="auto"/>
        <w:jc w:val="both"/>
        <w:rPr>
          <w:rFonts w:eastAsia="Times New Roman" w:cstheme="minorHAnsi"/>
          <w:color w:val="222222"/>
          <w:sz w:val="24"/>
          <w:szCs w:val="24"/>
        </w:rPr>
      </w:pPr>
      <w:r w:rsidRPr="00A66129">
        <w:rPr>
          <w:rFonts w:eastAsia="Times New Roman" w:cstheme="minorHAnsi"/>
          <w:color w:val="222222"/>
          <w:sz w:val="24"/>
          <w:szCs w:val="24"/>
        </w:rPr>
        <w:t>The set of shortcomings that the Polish cryptanalysts exploited to such great effect included the following:</w:t>
      </w:r>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 xml:space="preserve">The production of an early Enigma training manual containing an example of plaintext and its genuine </w:t>
      </w:r>
      <w:proofErr w:type="spellStart"/>
      <w:r w:rsidRPr="00A66129">
        <w:rPr>
          <w:rFonts w:eastAsia="Times New Roman" w:cstheme="minorHAnsi"/>
          <w:color w:val="222222"/>
          <w:sz w:val="24"/>
          <w:szCs w:val="24"/>
        </w:rPr>
        <w:t>ciphertext</w:t>
      </w:r>
      <w:proofErr w:type="spellEnd"/>
      <w:r w:rsidRPr="00A66129">
        <w:rPr>
          <w:rFonts w:eastAsia="Times New Roman" w:cstheme="minorHAnsi"/>
          <w:color w:val="222222"/>
          <w:sz w:val="24"/>
          <w:szCs w:val="24"/>
        </w:rPr>
        <w:t>, together with the relevant message k</w:t>
      </w:r>
      <w:bookmarkStart w:id="0" w:name="_GoBack"/>
      <w:bookmarkEnd w:id="0"/>
      <w:r w:rsidRPr="00A66129">
        <w:rPr>
          <w:rFonts w:eastAsia="Times New Roman" w:cstheme="minorHAnsi"/>
          <w:color w:val="222222"/>
          <w:sz w:val="24"/>
          <w:szCs w:val="24"/>
        </w:rPr>
        <w:t>ey. When Rejewski was given this in December 1932, it "made [his reconstruction of the Enigma machine] somewhat easier".</w:t>
      </w:r>
      <w:hyperlink r:id="rId5" w:anchor="cite_note-Rejewski84P243-83" w:history="1">
        <w:r w:rsidRPr="00A66129">
          <w:rPr>
            <w:rFonts w:eastAsia="Times New Roman" w:cstheme="minorHAnsi"/>
            <w:color w:val="0B0080"/>
            <w:sz w:val="24"/>
            <w:szCs w:val="24"/>
            <w:u w:val="single"/>
            <w:vertAlign w:val="superscript"/>
          </w:rPr>
          <w:t>[83]</w:t>
        </w:r>
      </w:hyperlink>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Repetition of the message key as described in </w:t>
      </w:r>
      <w:hyperlink r:id="rId6" w:anchor="Rejewski's_characteristics_method" w:tooltip="Cryptanalysis of the Enigma" w:history="1">
        <w:r w:rsidRPr="00A66129">
          <w:rPr>
            <w:rFonts w:eastAsia="Times New Roman" w:cstheme="minorHAnsi"/>
            <w:color w:val="0B0080"/>
            <w:sz w:val="24"/>
            <w:szCs w:val="24"/>
            <w:u w:val="single"/>
          </w:rPr>
          <w:t>Rejewski's characteristics method</w:t>
        </w:r>
      </w:hyperlink>
      <w:r w:rsidRPr="00A66129">
        <w:rPr>
          <w:rFonts w:eastAsia="Times New Roman" w:cstheme="minorHAnsi"/>
          <w:color w:val="222222"/>
          <w:sz w:val="24"/>
          <w:szCs w:val="24"/>
        </w:rPr>
        <w:t>, above. (This helped in Rejewski's </w:t>
      </w:r>
      <w:hyperlink r:id="rId7" w:anchor="Solving_Enigma's_wiring" w:tooltip="Marian Rejewski" w:history="1">
        <w:r w:rsidRPr="00A66129">
          <w:rPr>
            <w:rFonts w:eastAsia="Times New Roman" w:cstheme="minorHAnsi"/>
            <w:color w:val="0B0080"/>
            <w:sz w:val="24"/>
            <w:szCs w:val="24"/>
            <w:u w:val="single"/>
          </w:rPr>
          <w:t>solving Enigma's wiring</w:t>
        </w:r>
      </w:hyperlink>
      <w:r w:rsidRPr="00A66129">
        <w:rPr>
          <w:rFonts w:eastAsia="Times New Roman" w:cstheme="minorHAnsi"/>
          <w:color w:val="222222"/>
          <w:sz w:val="24"/>
          <w:szCs w:val="24"/>
        </w:rPr>
        <w:t> in 1932, and was continued until May 1940.)</w:t>
      </w:r>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Repeatedly using the same stereotypical expressions in messages, an early example of what Bletchley Park would later term </w:t>
      </w:r>
      <w:hyperlink r:id="rId8" w:tooltip="Crib (cryptanalysis)" w:history="1">
        <w:r w:rsidRPr="00A66129">
          <w:rPr>
            <w:rFonts w:eastAsia="Times New Roman" w:cstheme="minorHAnsi"/>
            <w:color w:val="0B0080"/>
            <w:sz w:val="24"/>
            <w:szCs w:val="24"/>
            <w:u w:val="single"/>
          </w:rPr>
          <w:t>cribs</w:t>
        </w:r>
      </w:hyperlink>
      <w:r w:rsidRPr="00A66129">
        <w:rPr>
          <w:rFonts w:eastAsia="Times New Roman" w:cstheme="minorHAnsi"/>
          <w:color w:val="222222"/>
          <w:sz w:val="24"/>
          <w:szCs w:val="24"/>
        </w:rPr>
        <w:t>. Rejewski wrote that "... we relied on the fact that the greater number of messages began with the letters </w:t>
      </w:r>
      <w:r w:rsidRPr="00A66129">
        <w:rPr>
          <w:rFonts w:eastAsia="Times New Roman" w:cstheme="minorHAnsi"/>
          <w:i/>
          <w:iCs/>
          <w:color w:val="222222"/>
          <w:sz w:val="24"/>
          <w:szCs w:val="24"/>
        </w:rPr>
        <w:t>ANX</w:t>
      </w:r>
      <w:r w:rsidRPr="00A66129">
        <w:rPr>
          <w:rFonts w:eastAsia="Times New Roman" w:cstheme="minorHAnsi"/>
          <w:color w:val="222222"/>
          <w:sz w:val="24"/>
          <w:szCs w:val="24"/>
        </w:rPr>
        <w:t>—German for "to", followed by </w:t>
      </w:r>
      <w:r w:rsidRPr="00A66129">
        <w:rPr>
          <w:rFonts w:eastAsia="Times New Roman" w:cstheme="minorHAnsi"/>
          <w:i/>
          <w:iCs/>
          <w:color w:val="222222"/>
          <w:sz w:val="24"/>
          <w:szCs w:val="24"/>
        </w:rPr>
        <w:t>X</w:t>
      </w:r>
      <w:r w:rsidRPr="00A66129">
        <w:rPr>
          <w:rFonts w:eastAsia="Times New Roman" w:cstheme="minorHAnsi"/>
          <w:color w:val="222222"/>
          <w:sz w:val="24"/>
          <w:szCs w:val="24"/>
        </w:rPr>
        <w:t> as a spacer".</w:t>
      </w:r>
      <w:hyperlink r:id="rId9" w:anchor="cite_note-90" w:history="1">
        <w:r w:rsidRPr="00A66129">
          <w:rPr>
            <w:rFonts w:eastAsia="Times New Roman" w:cstheme="minorHAnsi"/>
            <w:color w:val="0B0080"/>
            <w:sz w:val="24"/>
            <w:szCs w:val="24"/>
            <w:u w:val="single"/>
            <w:vertAlign w:val="superscript"/>
          </w:rPr>
          <w:t>[90]</w:t>
        </w:r>
      </w:hyperlink>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The use of easily guessed keys such as </w:t>
      </w:r>
      <w:r w:rsidRPr="00A66129">
        <w:rPr>
          <w:rFonts w:eastAsia="Times New Roman" w:cstheme="minorHAnsi"/>
          <w:i/>
          <w:iCs/>
          <w:color w:val="222222"/>
          <w:sz w:val="24"/>
          <w:szCs w:val="24"/>
        </w:rPr>
        <w:t>AAA</w:t>
      </w:r>
      <w:r w:rsidRPr="00A66129">
        <w:rPr>
          <w:rFonts w:eastAsia="Times New Roman" w:cstheme="minorHAnsi"/>
          <w:color w:val="222222"/>
          <w:sz w:val="24"/>
          <w:szCs w:val="24"/>
        </w:rPr>
        <w:t> or </w:t>
      </w:r>
      <w:r w:rsidRPr="00A66129">
        <w:rPr>
          <w:rFonts w:eastAsia="Times New Roman" w:cstheme="minorHAnsi"/>
          <w:i/>
          <w:iCs/>
          <w:color w:val="222222"/>
          <w:sz w:val="24"/>
          <w:szCs w:val="24"/>
        </w:rPr>
        <w:t>BBB</w:t>
      </w:r>
      <w:r w:rsidRPr="00A66129">
        <w:rPr>
          <w:rFonts w:eastAsia="Times New Roman" w:cstheme="minorHAnsi"/>
          <w:color w:val="222222"/>
          <w:sz w:val="24"/>
          <w:szCs w:val="24"/>
        </w:rPr>
        <w:t>, or sequences that reflected the layout of the Enigma keyboard, such as "three [typing] keys that stand next to each other [o]r diagonally [from each other]..."</w:t>
      </w:r>
      <w:hyperlink r:id="rId10" w:anchor="cite_note-91" w:history="1">
        <w:r w:rsidRPr="00A66129">
          <w:rPr>
            <w:rFonts w:eastAsia="Times New Roman" w:cstheme="minorHAnsi"/>
            <w:color w:val="0B0080"/>
            <w:sz w:val="24"/>
            <w:szCs w:val="24"/>
            <w:u w:val="single"/>
            <w:vertAlign w:val="superscript"/>
          </w:rPr>
          <w:t>[91]</w:t>
        </w:r>
      </w:hyperlink>
      <w:r w:rsidRPr="00A66129">
        <w:rPr>
          <w:rFonts w:eastAsia="Times New Roman" w:cstheme="minorHAnsi"/>
          <w:color w:val="222222"/>
          <w:sz w:val="24"/>
          <w:szCs w:val="24"/>
        </w:rPr>
        <w:t> At Bletchley Park such occurrences were called </w:t>
      </w:r>
      <w:proofErr w:type="spellStart"/>
      <w:r w:rsidRPr="00A66129">
        <w:rPr>
          <w:rFonts w:eastAsia="Times New Roman" w:cstheme="minorHAnsi"/>
          <w:i/>
          <w:iCs/>
          <w:color w:val="222222"/>
          <w:sz w:val="24"/>
          <w:szCs w:val="24"/>
        </w:rPr>
        <w:t>cillies</w:t>
      </w:r>
      <w:proofErr w:type="spellEnd"/>
      <w:r w:rsidRPr="00A66129">
        <w:rPr>
          <w:rFonts w:eastAsia="Times New Roman" w:cstheme="minorHAnsi"/>
          <w:color w:val="222222"/>
          <w:sz w:val="24"/>
          <w:szCs w:val="24"/>
        </w:rPr>
        <w:t>.</w:t>
      </w:r>
      <w:hyperlink r:id="rId11" w:anchor="cite_note-David_Kahn_1991_p._113-92" w:history="1">
        <w:r w:rsidRPr="00A66129">
          <w:rPr>
            <w:rFonts w:eastAsia="Times New Roman" w:cstheme="minorHAnsi"/>
            <w:color w:val="0B0080"/>
            <w:sz w:val="24"/>
            <w:szCs w:val="24"/>
            <w:u w:val="single"/>
            <w:vertAlign w:val="superscript"/>
          </w:rPr>
          <w:t>[92]</w:t>
        </w:r>
      </w:hyperlink>
      <w:hyperlink r:id="rId12" w:anchor="cite_note-93" w:history="1">
        <w:r w:rsidRPr="00A66129">
          <w:rPr>
            <w:rFonts w:eastAsia="Times New Roman" w:cstheme="minorHAnsi"/>
            <w:color w:val="0B0080"/>
            <w:sz w:val="24"/>
            <w:szCs w:val="24"/>
            <w:u w:val="single"/>
            <w:vertAlign w:val="superscript"/>
          </w:rPr>
          <w:t>[93]</w:t>
        </w:r>
      </w:hyperlink>
      <w:r w:rsidRPr="00A66129">
        <w:rPr>
          <w:rFonts w:eastAsia="Times New Roman" w:cstheme="minorHAnsi"/>
          <w:color w:val="222222"/>
          <w:sz w:val="24"/>
          <w:szCs w:val="24"/>
        </w:rPr>
        <w:t> </w:t>
      </w:r>
      <w:proofErr w:type="spellStart"/>
      <w:r w:rsidRPr="00A66129">
        <w:rPr>
          <w:rFonts w:eastAsia="Times New Roman" w:cstheme="minorHAnsi"/>
          <w:color w:val="222222"/>
          <w:sz w:val="24"/>
          <w:szCs w:val="24"/>
        </w:rPr>
        <w:t>Cillies</w:t>
      </w:r>
      <w:proofErr w:type="spellEnd"/>
      <w:r w:rsidRPr="00A66129">
        <w:rPr>
          <w:rFonts w:eastAsia="Times New Roman" w:cstheme="minorHAnsi"/>
          <w:color w:val="222222"/>
          <w:sz w:val="24"/>
          <w:szCs w:val="24"/>
        </w:rPr>
        <w:t xml:space="preserve"> in the operation of the four-rotor </w:t>
      </w:r>
      <w:proofErr w:type="spellStart"/>
      <w:r w:rsidRPr="00A66129">
        <w:rPr>
          <w:rFonts w:eastAsia="Times New Roman" w:cstheme="minorHAnsi"/>
          <w:i/>
          <w:iCs/>
          <w:color w:val="222222"/>
          <w:sz w:val="24"/>
          <w:szCs w:val="24"/>
        </w:rPr>
        <w:t>Abwehr</w:t>
      </w:r>
      <w:proofErr w:type="spellEnd"/>
      <w:r w:rsidRPr="00A66129">
        <w:rPr>
          <w:rFonts w:eastAsia="Times New Roman" w:cstheme="minorHAnsi"/>
          <w:color w:val="222222"/>
          <w:sz w:val="24"/>
          <w:szCs w:val="24"/>
        </w:rPr>
        <w:t> Enigma included four-letter names and German obscenities. Sometimes, with multi-part messages, the operator would not enter a key for a subsequent part of a message, merely leaving the rotors as they were at the end of the previous part, to become the message key for the next part.</w:t>
      </w:r>
      <w:hyperlink r:id="rId13" w:anchor="cite_note-94" w:history="1">
        <w:r w:rsidRPr="00A66129">
          <w:rPr>
            <w:rFonts w:eastAsia="Times New Roman" w:cstheme="minorHAnsi"/>
            <w:color w:val="0B0080"/>
            <w:sz w:val="24"/>
            <w:szCs w:val="24"/>
            <w:u w:val="single"/>
            <w:vertAlign w:val="superscript"/>
          </w:rPr>
          <w:t>[94]</w:t>
        </w:r>
      </w:hyperlink>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Having only three different rotors for the three positions in the scrambler. (This continued until December 1938, when it was increased to five and then eight for naval traffic in 1940.)</w:t>
      </w:r>
    </w:p>
    <w:p w:rsidR="00A66129" w:rsidRPr="00A66129" w:rsidRDefault="00A66129" w:rsidP="00A66129">
      <w:pPr>
        <w:numPr>
          <w:ilvl w:val="0"/>
          <w:numId w:val="1"/>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 xml:space="preserve">Using only six </w:t>
      </w:r>
      <w:proofErr w:type="spellStart"/>
      <w:r w:rsidRPr="00A66129">
        <w:rPr>
          <w:rFonts w:eastAsia="Times New Roman" w:cstheme="minorHAnsi"/>
          <w:color w:val="222222"/>
          <w:sz w:val="24"/>
          <w:szCs w:val="24"/>
        </w:rPr>
        <w:t>plugboard</w:t>
      </w:r>
      <w:proofErr w:type="spellEnd"/>
      <w:r w:rsidRPr="00A66129">
        <w:rPr>
          <w:rFonts w:eastAsia="Times New Roman" w:cstheme="minorHAnsi"/>
          <w:color w:val="222222"/>
          <w:sz w:val="24"/>
          <w:szCs w:val="24"/>
        </w:rPr>
        <w:t xml:space="preserve"> leads, leaving 14 letters </w:t>
      </w:r>
      <w:proofErr w:type="spellStart"/>
      <w:r w:rsidRPr="00A66129">
        <w:rPr>
          <w:rFonts w:eastAsia="Times New Roman" w:cstheme="minorHAnsi"/>
          <w:i/>
          <w:iCs/>
          <w:color w:val="222222"/>
          <w:sz w:val="24"/>
          <w:szCs w:val="24"/>
        </w:rPr>
        <w:t>unsteckered</w:t>
      </w:r>
      <w:proofErr w:type="spellEnd"/>
      <w:r w:rsidRPr="00A66129">
        <w:rPr>
          <w:rFonts w:eastAsia="Times New Roman" w:cstheme="minorHAnsi"/>
          <w:color w:val="222222"/>
          <w:sz w:val="24"/>
          <w:szCs w:val="24"/>
        </w:rPr>
        <w:t xml:space="preserve">. (This continued until January 1939 when the number of leads was increased, leaving only a small number of letters </w:t>
      </w:r>
      <w:proofErr w:type="spellStart"/>
      <w:r w:rsidRPr="00A66129">
        <w:rPr>
          <w:rFonts w:eastAsia="Times New Roman" w:cstheme="minorHAnsi"/>
          <w:color w:val="222222"/>
          <w:sz w:val="24"/>
          <w:szCs w:val="24"/>
        </w:rPr>
        <w:t>unsteckered</w:t>
      </w:r>
      <w:proofErr w:type="spellEnd"/>
      <w:r w:rsidRPr="00A66129">
        <w:rPr>
          <w:rFonts w:eastAsia="Times New Roman" w:cstheme="minorHAnsi"/>
          <w:color w:val="222222"/>
          <w:sz w:val="24"/>
          <w:szCs w:val="24"/>
        </w:rPr>
        <w:t>.)</w:t>
      </w:r>
    </w:p>
    <w:p w:rsidR="00A66129" w:rsidRPr="00A66129" w:rsidRDefault="00A66129" w:rsidP="00A66129">
      <w:pPr>
        <w:shd w:val="clear" w:color="auto" w:fill="FFFFFF"/>
        <w:spacing w:before="120" w:after="120" w:line="360" w:lineRule="auto"/>
        <w:jc w:val="both"/>
        <w:rPr>
          <w:rFonts w:eastAsia="Times New Roman" w:cstheme="minorHAnsi"/>
          <w:color w:val="222222"/>
          <w:sz w:val="24"/>
          <w:szCs w:val="24"/>
        </w:rPr>
      </w:pPr>
      <w:r w:rsidRPr="00A66129">
        <w:rPr>
          <w:rFonts w:eastAsia="Times New Roman" w:cstheme="minorHAnsi"/>
          <w:color w:val="222222"/>
          <w:sz w:val="24"/>
          <w:szCs w:val="24"/>
        </w:rPr>
        <w:t>Other useful shortcomings that were discovered by the British and later the American cryptanalysts included the following, many of which depended on frequent solving of a particular network:</w:t>
      </w:r>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lastRenderedPageBreak/>
        <w:t>The practice of re-transmitting a message in an identical, or near-identical, form on different cipher networks. If a message was transmitted using both a low-level cipher that Bletchley Park broke by hand, and Enigma, the decrypt provided an excellent crib for Enigma decipherment.</w:t>
      </w:r>
      <w:hyperlink r:id="rId14" w:anchor="cite_note-95" w:history="1">
        <w:r w:rsidRPr="00A66129">
          <w:rPr>
            <w:rFonts w:eastAsia="Times New Roman" w:cstheme="minorHAnsi"/>
            <w:color w:val="0B0080"/>
            <w:sz w:val="24"/>
            <w:szCs w:val="24"/>
            <w:u w:val="single"/>
            <w:vertAlign w:val="superscript"/>
          </w:rPr>
          <w:t>[95]</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For machines where there was a choice of more rotors than there were slots for them, a rule on some networks stipulated that no rotor should be in the same slot in the scrambler as it had been for the immediately preceding configuration. This reduced the number of wheel orders that had to be tried.</w:t>
      </w:r>
      <w:hyperlink r:id="rId15" w:anchor="cite_note-96" w:history="1">
        <w:r w:rsidRPr="00A66129">
          <w:rPr>
            <w:rFonts w:eastAsia="Times New Roman" w:cstheme="minorHAnsi"/>
            <w:color w:val="0B0080"/>
            <w:sz w:val="24"/>
            <w:szCs w:val="24"/>
            <w:u w:val="single"/>
            <w:vertAlign w:val="superscript"/>
          </w:rPr>
          <w:t>[96]</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Not allowing a wheel order to be repeated on a monthly setting sheet. This meant that when the keys were being found on a regular basis, economies in excluding possible wheel orders could be made.</w:t>
      </w:r>
      <w:hyperlink r:id="rId16" w:anchor="cite_note-Taunt_1993_108-97" w:history="1">
        <w:r w:rsidRPr="00A66129">
          <w:rPr>
            <w:rFonts w:eastAsia="Times New Roman" w:cstheme="minorHAnsi"/>
            <w:color w:val="0B0080"/>
            <w:sz w:val="24"/>
            <w:szCs w:val="24"/>
            <w:u w:val="single"/>
            <w:vertAlign w:val="superscript"/>
          </w:rPr>
          <w:t>[97]</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 xml:space="preserve">The stipulation, for Air Force operators, that no letter should be connected on the </w:t>
      </w:r>
      <w:proofErr w:type="spellStart"/>
      <w:r w:rsidRPr="00A66129">
        <w:rPr>
          <w:rFonts w:eastAsia="Times New Roman" w:cstheme="minorHAnsi"/>
          <w:color w:val="222222"/>
          <w:sz w:val="24"/>
          <w:szCs w:val="24"/>
        </w:rPr>
        <w:t>plugboard</w:t>
      </w:r>
      <w:proofErr w:type="spellEnd"/>
      <w:r w:rsidRPr="00A66129">
        <w:rPr>
          <w:rFonts w:eastAsia="Times New Roman" w:cstheme="minorHAnsi"/>
          <w:color w:val="222222"/>
          <w:sz w:val="24"/>
          <w:szCs w:val="24"/>
        </w:rPr>
        <w:t xml:space="preserve"> to its </w:t>
      </w:r>
      <w:proofErr w:type="spellStart"/>
      <w:r w:rsidRPr="00A66129">
        <w:rPr>
          <w:rFonts w:eastAsia="Times New Roman" w:cstheme="minorHAnsi"/>
          <w:color w:val="222222"/>
          <w:sz w:val="24"/>
          <w:szCs w:val="24"/>
        </w:rPr>
        <w:t>neighbour</w:t>
      </w:r>
      <w:proofErr w:type="spellEnd"/>
      <w:r w:rsidRPr="00A66129">
        <w:rPr>
          <w:rFonts w:eastAsia="Times New Roman" w:cstheme="minorHAnsi"/>
          <w:color w:val="222222"/>
          <w:sz w:val="24"/>
          <w:szCs w:val="24"/>
        </w:rPr>
        <w:t xml:space="preserve"> in the alphabet. This reduced the problem of identifying the </w:t>
      </w:r>
      <w:proofErr w:type="spellStart"/>
      <w:r w:rsidRPr="00A66129">
        <w:rPr>
          <w:rFonts w:eastAsia="Times New Roman" w:cstheme="minorHAnsi"/>
          <w:color w:val="222222"/>
          <w:sz w:val="24"/>
          <w:szCs w:val="24"/>
        </w:rPr>
        <w:t>plugboard</w:t>
      </w:r>
      <w:proofErr w:type="spellEnd"/>
      <w:r w:rsidRPr="00A66129">
        <w:rPr>
          <w:rFonts w:eastAsia="Times New Roman" w:cstheme="minorHAnsi"/>
          <w:color w:val="222222"/>
          <w:sz w:val="24"/>
          <w:szCs w:val="24"/>
        </w:rPr>
        <w:t xml:space="preserve"> connections and was automated in some Bombes with a Consecutive </w:t>
      </w:r>
      <w:proofErr w:type="spellStart"/>
      <w:r w:rsidRPr="00A66129">
        <w:rPr>
          <w:rFonts w:eastAsia="Times New Roman" w:cstheme="minorHAnsi"/>
          <w:color w:val="222222"/>
          <w:sz w:val="24"/>
          <w:szCs w:val="24"/>
        </w:rPr>
        <w:t>Stecker</w:t>
      </w:r>
      <w:proofErr w:type="spellEnd"/>
      <w:r w:rsidRPr="00A66129">
        <w:rPr>
          <w:rFonts w:eastAsia="Times New Roman" w:cstheme="minorHAnsi"/>
          <w:color w:val="222222"/>
          <w:sz w:val="24"/>
          <w:szCs w:val="24"/>
        </w:rPr>
        <w:t xml:space="preserve"> Knock-Out (CSKO) device.</w:t>
      </w:r>
      <w:hyperlink r:id="rId17" w:anchor="cite_note-98" w:history="1">
        <w:r w:rsidRPr="00A66129">
          <w:rPr>
            <w:rFonts w:eastAsia="Times New Roman" w:cstheme="minorHAnsi"/>
            <w:color w:val="0B0080"/>
            <w:sz w:val="24"/>
            <w:szCs w:val="24"/>
            <w:u w:val="single"/>
            <w:vertAlign w:val="superscript"/>
          </w:rPr>
          <w:t>[98]</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 xml:space="preserve">The sloppy practice that John </w:t>
      </w:r>
      <w:proofErr w:type="spellStart"/>
      <w:r w:rsidRPr="00A66129">
        <w:rPr>
          <w:rFonts w:eastAsia="Times New Roman" w:cstheme="minorHAnsi"/>
          <w:color w:val="222222"/>
          <w:sz w:val="24"/>
          <w:szCs w:val="24"/>
        </w:rPr>
        <w:t>Herivel</w:t>
      </w:r>
      <w:proofErr w:type="spellEnd"/>
      <w:r w:rsidRPr="00A66129">
        <w:rPr>
          <w:rFonts w:eastAsia="Times New Roman" w:cstheme="minorHAnsi"/>
          <w:color w:val="222222"/>
          <w:sz w:val="24"/>
          <w:szCs w:val="24"/>
        </w:rPr>
        <w:t xml:space="preserve"> anticipated soon after his arrival at Bletchley Park in January 1940. He thought about the practical actions that an Enigma operator would have to make, and the short cuts he might employ. He thought that, after setting the alphabet rings to the prescribed setting, and closing the lid, the operator might not turn the rotors by more than a few places in selecting the first part of the indicator. Initially this did not seem to be the case, but after the changes of May 1940, what became known as the </w:t>
      </w:r>
      <w:proofErr w:type="spellStart"/>
      <w:r w:rsidRPr="00A66129">
        <w:rPr>
          <w:rFonts w:eastAsia="Times New Roman" w:cstheme="minorHAnsi"/>
          <w:color w:val="222222"/>
          <w:sz w:val="24"/>
          <w:szCs w:val="24"/>
        </w:rPr>
        <w:fldChar w:fldCharType="begin"/>
      </w:r>
      <w:r w:rsidRPr="00A66129">
        <w:rPr>
          <w:rFonts w:eastAsia="Times New Roman" w:cstheme="minorHAnsi"/>
          <w:color w:val="222222"/>
          <w:sz w:val="24"/>
          <w:szCs w:val="24"/>
        </w:rPr>
        <w:instrText xml:space="preserve"> HYPERLINK "https://en.wikipedia.org/wiki/Herivel_tip" \o "Herivel tip" </w:instrText>
      </w:r>
      <w:r w:rsidRPr="00A66129">
        <w:rPr>
          <w:rFonts w:eastAsia="Times New Roman" w:cstheme="minorHAnsi"/>
          <w:color w:val="222222"/>
          <w:sz w:val="24"/>
          <w:szCs w:val="24"/>
        </w:rPr>
        <w:fldChar w:fldCharType="separate"/>
      </w:r>
      <w:r w:rsidRPr="00A66129">
        <w:rPr>
          <w:rFonts w:eastAsia="Times New Roman" w:cstheme="minorHAnsi"/>
          <w:color w:val="0B0080"/>
          <w:sz w:val="24"/>
          <w:szCs w:val="24"/>
          <w:u w:val="single"/>
        </w:rPr>
        <w:t>Herivel</w:t>
      </w:r>
      <w:proofErr w:type="spellEnd"/>
      <w:r w:rsidRPr="00A66129">
        <w:rPr>
          <w:rFonts w:eastAsia="Times New Roman" w:cstheme="minorHAnsi"/>
          <w:color w:val="0B0080"/>
          <w:sz w:val="24"/>
          <w:szCs w:val="24"/>
          <w:u w:val="single"/>
        </w:rPr>
        <w:t xml:space="preserve"> tip</w:t>
      </w:r>
      <w:r w:rsidRPr="00A66129">
        <w:rPr>
          <w:rFonts w:eastAsia="Times New Roman" w:cstheme="minorHAnsi"/>
          <w:color w:val="222222"/>
          <w:sz w:val="24"/>
          <w:szCs w:val="24"/>
        </w:rPr>
        <w:fldChar w:fldCharType="end"/>
      </w:r>
      <w:r w:rsidRPr="00A66129">
        <w:rPr>
          <w:rFonts w:eastAsia="Times New Roman" w:cstheme="minorHAnsi"/>
          <w:color w:val="222222"/>
          <w:sz w:val="24"/>
          <w:szCs w:val="24"/>
        </w:rPr>
        <w:t> proved to be most useful.</w:t>
      </w:r>
      <w:hyperlink r:id="rId18" w:anchor="cite_note-David_Kahn_1991_p._113-92" w:history="1">
        <w:r w:rsidRPr="00A66129">
          <w:rPr>
            <w:rFonts w:eastAsia="Times New Roman" w:cstheme="minorHAnsi"/>
            <w:color w:val="0B0080"/>
            <w:sz w:val="24"/>
            <w:szCs w:val="24"/>
            <w:u w:val="single"/>
            <w:vertAlign w:val="superscript"/>
          </w:rPr>
          <w:t>[92]</w:t>
        </w:r>
      </w:hyperlink>
      <w:hyperlink r:id="rId19" w:anchor="cite_note-99" w:history="1">
        <w:r w:rsidRPr="00A66129">
          <w:rPr>
            <w:rFonts w:eastAsia="Times New Roman" w:cstheme="minorHAnsi"/>
            <w:color w:val="0B0080"/>
            <w:sz w:val="24"/>
            <w:szCs w:val="24"/>
            <w:u w:val="single"/>
            <w:vertAlign w:val="superscript"/>
          </w:rPr>
          <w:t>[99]</w:t>
        </w:r>
      </w:hyperlink>
      <w:hyperlink r:id="rId20" w:anchor="cite_note-100" w:history="1">
        <w:r w:rsidRPr="00A66129">
          <w:rPr>
            <w:rFonts w:eastAsia="Times New Roman" w:cstheme="minorHAnsi"/>
            <w:color w:val="0B0080"/>
            <w:sz w:val="24"/>
            <w:szCs w:val="24"/>
            <w:u w:val="single"/>
            <w:vertAlign w:val="superscript"/>
          </w:rPr>
          <w:t>[100]</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 xml:space="preserve">The practice of re-using some of the columns of wheel orders, ring settings or </w:t>
      </w:r>
      <w:proofErr w:type="spellStart"/>
      <w:r w:rsidRPr="00A66129">
        <w:rPr>
          <w:rFonts w:eastAsia="Times New Roman" w:cstheme="minorHAnsi"/>
          <w:color w:val="222222"/>
          <w:sz w:val="24"/>
          <w:szCs w:val="24"/>
        </w:rPr>
        <w:t>plugboard</w:t>
      </w:r>
      <w:proofErr w:type="spellEnd"/>
      <w:r w:rsidRPr="00A66129">
        <w:rPr>
          <w:rFonts w:eastAsia="Times New Roman" w:cstheme="minorHAnsi"/>
          <w:color w:val="222222"/>
          <w:sz w:val="24"/>
          <w:szCs w:val="24"/>
        </w:rPr>
        <w:t xml:space="preserve"> connections from previous months. The resulting analytical short-cut was christened at Bletchley Park </w:t>
      </w:r>
      <w:proofErr w:type="spellStart"/>
      <w:r w:rsidRPr="00A66129">
        <w:rPr>
          <w:rFonts w:eastAsia="Times New Roman" w:cstheme="minorHAnsi"/>
          <w:i/>
          <w:iCs/>
          <w:color w:val="222222"/>
          <w:sz w:val="24"/>
          <w:szCs w:val="24"/>
        </w:rPr>
        <w:t>Parkerismus</w:t>
      </w:r>
      <w:proofErr w:type="spellEnd"/>
      <w:r w:rsidRPr="00A66129">
        <w:rPr>
          <w:rFonts w:eastAsia="Times New Roman" w:cstheme="minorHAnsi"/>
          <w:color w:val="222222"/>
          <w:sz w:val="24"/>
          <w:szCs w:val="24"/>
        </w:rPr>
        <w:t xml:space="preserve"> after </w:t>
      </w:r>
      <w:proofErr w:type="spellStart"/>
      <w:r w:rsidRPr="00A66129">
        <w:rPr>
          <w:rFonts w:eastAsia="Times New Roman" w:cstheme="minorHAnsi"/>
          <w:color w:val="222222"/>
          <w:sz w:val="24"/>
          <w:szCs w:val="24"/>
        </w:rPr>
        <w:t>Reg</w:t>
      </w:r>
      <w:proofErr w:type="spellEnd"/>
      <w:r w:rsidRPr="00A66129">
        <w:rPr>
          <w:rFonts w:eastAsia="Times New Roman" w:cstheme="minorHAnsi"/>
          <w:color w:val="222222"/>
          <w:sz w:val="24"/>
          <w:szCs w:val="24"/>
        </w:rPr>
        <w:t xml:space="preserve"> Parker, who had, through his meticulous record-keeping, spotted this phenomenon.</w:t>
      </w:r>
      <w:hyperlink r:id="rId21" w:anchor="cite_note-101" w:history="1">
        <w:r w:rsidRPr="00A66129">
          <w:rPr>
            <w:rFonts w:eastAsia="Times New Roman" w:cstheme="minorHAnsi"/>
            <w:color w:val="0B0080"/>
            <w:sz w:val="24"/>
            <w:szCs w:val="24"/>
            <w:u w:val="single"/>
            <w:vertAlign w:val="superscript"/>
          </w:rPr>
          <w:t>[101]</w:t>
        </w:r>
      </w:hyperlink>
    </w:p>
    <w:p w:rsidR="00A66129" w:rsidRPr="00A66129" w:rsidRDefault="00A66129" w:rsidP="00A66129">
      <w:pPr>
        <w:numPr>
          <w:ilvl w:val="0"/>
          <w:numId w:val="2"/>
        </w:numPr>
        <w:shd w:val="clear" w:color="auto" w:fill="FFFFFF"/>
        <w:spacing w:before="100" w:beforeAutospacing="1" w:after="24" w:line="360" w:lineRule="auto"/>
        <w:ind w:left="384"/>
        <w:jc w:val="both"/>
        <w:rPr>
          <w:rFonts w:eastAsia="Times New Roman" w:cstheme="minorHAnsi"/>
          <w:color w:val="222222"/>
          <w:sz w:val="24"/>
          <w:szCs w:val="24"/>
        </w:rPr>
      </w:pPr>
      <w:r w:rsidRPr="00A66129">
        <w:rPr>
          <w:rFonts w:eastAsia="Times New Roman" w:cstheme="minorHAnsi"/>
          <w:color w:val="222222"/>
          <w:sz w:val="24"/>
          <w:szCs w:val="24"/>
        </w:rPr>
        <w:t>The re-use of a permutation in the German Air Force METEO code as the Enigma </w:t>
      </w:r>
      <w:proofErr w:type="spellStart"/>
      <w:r w:rsidRPr="00A66129">
        <w:rPr>
          <w:rFonts w:eastAsia="Times New Roman" w:cstheme="minorHAnsi"/>
          <w:i/>
          <w:iCs/>
          <w:color w:val="222222"/>
          <w:sz w:val="24"/>
          <w:szCs w:val="24"/>
        </w:rPr>
        <w:t>stecker</w:t>
      </w:r>
      <w:proofErr w:type="spellEnd"/>
      <w:r w:rsidRPr="00A66129">
        <w:rPr>
          <w:rFonts w:eastAsia="Times New Roman" w:cstheme="minorHAnsi"/>
          <w:color w:val="222222"/>
          <w:sz w:val="24"/>
          <w:szCs w:val="24"/>
        </w:rPr>
        <w:t> permutation for the day.</w:t>
      </w:r>
      <w:hyperlink r:id="rId22" w:anchor="cite_note-102" w:history="1">
        <w:r w:rsidRPr="00A66129">
          <w:rPr>
            <w:rFonts w:eastAsia="Times New Roman" w:cstheme="minorHAnsi"/>
            <w:color w:val="0B0080"/>
            <w:sz w:val="24"/>
            <w:szCs w:val="24"/>
            <w:u w:val="single"/>
            <w:vertAlign w:val="superscript"/>
          </w:rPr>
          <w:t>[102]</w:t>
        </w:r>
      </w:hyperlink>
    </w:p>
    <w:p w:rsidR="00863269" w:rsidRPr="00A66129" w:rsidRDefault="00863269" w:rsidP="00A66129">
      <w:pPr>
        <w:spacing w:line="360" w:lineRule="auto"/>
        <w:jc w:val="both"/>
        <w:rPr>
          <w:rFonts w:cstheme="minorHAnsi"/>
          <w:sz w:val="24"/>
          <w:szCs w:val="24"/>
        </w:rPr>
      </w:pPr>
    </w:p>
    <w:sectPr w:rsidR="00863269" w:rsidRPr="00A6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732"/>
    <w:multiLevelType w:val="multilevel"/>
    <w:tmpl w:val="01C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7439C"/>
    <w:multiLevelType w:val="multilevel"/>
    <w:tmpl w:val="17C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8E"/>
    <w:rsid w:val="00863269"/>
    <w:rsid w:val="00A66129"/>
    <w:rsid w:val="00EC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CEAC7-CB88-426A-B157-67FB6FCD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6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b_(cryptanalysis)" TargetMode="External"/><Relationship Id="rId13" Type="http://schemas.openxmlformats.org/officeDocument/2006/relationships/hyperlink" Target="https://en.wikipedia.org/wiki/Cryptanalysis_of_the_Enigma" TargetMode="External"/><Relationship Id="rId18" Type="http://schemas.openxmlformats.org/officeDocument/2006/relationships/hyperlink" Target="https://en.wikipedia.org/wiki/Cryptanalysis_of_the_Enigma" TargetMode="External"/><Relationship Id="rId3" Type="http://schemas.openxmlformats.org/officeDocument/2006/relationships/settings" Target="settings.xml"/><Relationship Id="rId21" Type="http://schemas.openxmlformats.org/officeDocument/2006/relationships/hyperlink" Target="https://en.wikipedia.org/wiki/Cryptanalysis_of_the_Enigma" TargetMode="External"/><Relationship Id="rId7" Type="http://schemas.openxmlformats.org/officeDocument/2006/relationships/hyperlink" Target="https://en.wikipedia.org/wiki/Marian_Rejewski" TargetMode="External"/><Relationship Id="rId12" Type="http://schemas.openxmlformats.org/officeDocument/2006/relationships/hyperlink" Target="https://en.wikipedia.org/wiki/Cryptanalysis_of_the_Enigma" TargetMode="External"/><Relationship Id="rId17" Type="http://schemas.openxmlformats.org/officeDocument/2006/relationships/hyperlink" Target="https://en.wikipedia.org/wiki/Cryptanalysis_of_the_Enigma" TargetMode="External"/><Relationship Id="rId2" Type="http://schemas.openxmlformats.org/officeDocument/2006/relationships/styles" Target="styles.xml"/><Relationship Id="rId16" Type="http://schemas.openxmlformats.org/officeDocument/2006/relationships/hyperlink" Target="https://en.wikipedia.org/wiki/Cryptanalysis_of_the_Enigma" TargetMode="External"/><Relationship Id="rId20" Type="http://schemas.openxmlformats.org/officeDocument/2006/relationships/hyperlink" Target="https://en.wikipedia.org/wiki/Cryptanalysis_of_the_Enigma" TargetMode="External"/><Relationship Id="rId1" Type="http://schemas.openxmlformats.org/officeDocument/2006/relationships/numbering" Target="numbering.xml"/><Relationship Id="rId6" Type="http://schemas.openxmlformats.org/officeDocument/2006/relationships/hyperlink" Target="https://en.wikipedia.org/wiki/Cryptanalysis_of_the_Enigma" TargetMode="External"/><Relationship Id="rId11" Type="http://schemas.openxmlformats.org/officeDocument/2006/relationships/hyperlink" Target="https://en.wikipedia.org/wiki/Cryptanalysis_of_the_Enigma" TargetMode="External"/><Relationship Id="rId24" Type="http://schemas.openxmlformats.org/officeDocument/2006/relationships/theme" Target="theme/theme1.xml"/><Relationship Id="rId5" Type="http://schemas.openxmlformats.org/officeDocument/2006/relationships/hyperlink" Target="https://en.wikipedia.org/wiki/Cryptanalysis_of_the_Enigma" TargetMode="External"/><Relationship Id="rId15" Type="http://schemas.openxmlformats.org/officeDocument/2006/relationships/hyperlink" Target="https://en.wikipedia.org/wiki/Cryptanalysis_of_the_Enigma" TargetMode="External"/><Relationship Id="rId23" Type="http://schemas.openxmlformats.org/officeDocument/2006/relationships/fontTable" Target="fontTable.xml"/><Relationship Id="rId10" Type="http://schemas.openxmlformats.org/officeDocument/2006/relationships/hyperlink" Target="https://en.wikipedia.org/wiki/Cryptanalysis_of_the_Enigma" TargetMode="External"/><Relationship Id="rId19" Type="http://schemas.openxmlformats.org/officeDocument/2006/relationships/hyperlink" Target="https://en.wikipedia.org/wiki/Cryptanalysis_of_the_Enigma" TargetMode="External"/><Relationship Id="rId4" Type="http://schemas.openxmlformats.org/officeDocument/2006/relationships/webSettings" Target="webSettings.xml"/><Relationship Id="rId9" Type="http://schemas.openxmlformats.org/officeDocument/2006/relationships/hyperlink" Target="https://en.wikipedia.org/wiki/Cryptanalysis_of_the_Enigma" TargetMode="External"/><Relationship Id="rId14" Type="http://schemas.openxmlformats.org/officeDocument/2006/relationships/hyperlink" Target="https://en.wikipedia.org/wiki/Cryptanalysis_of_the_Enigma" TargetMode="External"/><Relationship Id="rId22" Type="http://schemas.openxmlformats.org/officeDocument/2006/relationships/hyperlink" Target="https://en.wikipedia.org/wiki/Cryptanalysis_of_the_Eni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Patil</dc:creator>
  <cp:keywords/>
  <dc:description/>
  <cp:lastModifiedBy>Kedar Patil</cp:lastModifiedBy>
  <cp:revision>2</cp:revision>
  <dcterms:created xsi:type="dcterms:W3CDTF">2018-03-22T17:00:00Z</dcterms:created>
  <dcterms:modified xsi:type="dcterms:W3CDTF">2018-03-22T17:00:00Z</dcterms:modified>
</cp:coreProperties>
</file>