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714B67"/>
          <w:sz w:val="44"/>
        </w:rPr>
        <w:t>FUNCTIONAL SPECIFICATION DOCUMENT</w:t>
      </w:r>
    </w:p>
    <w:p>
      <w:pPr>
        <w:spacing w:after="120"/>
        <w:jc w:val="center"/>
      </w:pPr>
      <w:r>
        <w:rPr>
          <w:b/>
          <w:i w:val="0"/>
          <w:color w:val="714B67"/>
          <w:sz w:val="28"/>
        </w:rPr>
        <w:t>(FSD)</w:t>
      </w:r>
    </w:p>
    <w:p/>
    <w:p>
      <w:pPr>
        <w:spacing w:after="120"/>
        <w:jc w:val="center"/>
      </w:pPr>
      <w:r>
        <w:rPr>
          <w:b/>
          <w:i w:val="0"/>
          <w:sz w:val="32"/>
        </w:rPr>
        <w:t>FSD — Implementasi Odoo Bisnis Retail Levi's PT Era Busana Retailindo</w:t>
      </w:r>
    </w:p>
    <w:p>
      <w:pPr>
        <w:spacing w:after="120"/>
        <w:jc w:val="center"/>
      </w:pPr>
      <w:r>
        <w:rPr>
          <w:b w:val="0"/>
          <w:i w:val="0"/>
          <w:sz w:val="22"/>
        </w:rPr>
        <w:t>PT Sinar Eka Selaras (SES — SAP)  ×  PT Era Busana Retailindo (EBR — Odoo)  ×  POS Principal Levi's</w:t>
      </w:r>
    </w:p>
    <w:p/>
    <w:p/>
    <w:p/>
    <w:tbl>
      <w:tblPr>
        <w:tblStyle w:val="TableGrid"/>
        <w:tblW w:type="auto" w:w="0"/>
        <w:jc w:val="center"/>
        <w:tblLook w:firstColumn="1" w:firstRow="1" w:lastColumn="0" w:lastRow="0" w:noHBand="0" w:noVBand="1" w:val="04A0"/>
      </w:tblPr>
      <w:tblGrid>
        <w:gridCol w:w="4816"/>
        <w:gridCol w:w="4816"/>
      </w:tblGrid>
      <w:tr>
        <w:tc>
          <w:tcPr>
            <w:tcW w:type="dxa" w:w="2835"/>
            <w:shd w:val="clear" w:fill="1A2332"/>
          </w:tcPr>
          <w:p>
            <w:r/>
            <w:r>
              <w:rPr>
                <w:b/>
                <w:color w:val="FFFFFF"/>
                <w:sz w:val="19"/>
              </w:rPr>
              <w:t>Atribut</w:t>
            </w:r>
          </w:p>
        </w:tc>
        <w:tc>
          <w:tcPr>
            <w:tcW w:type="dxa" w:w="6236"/>
            <w:shd w:val="clear" w:fill="1A2332"/>
          </w:tcPr>
          <w:p>
            <w:r/>
            <w:r>
              <w:rPr>
                <w:b/>
                <w:color w:val="FFFFFF"/>
                <w:sz w:val="19"/>
              </w:rPr>
              <w:t>Keterangan</w:t>
            </w:r>
          </w:p>
        </w:tc>
      </w:tr>
      <w:tr>
        <w:tc>
          <w:tcPr>
            <w:tcW w:type="dxa" w:w="2835"/>
          </w:tcPr>
          <w:p>
            <w:pPr>
              <w:jc w:val="both"/>
            </w:pPr>
            <w:r/>
            <w:r>
              <w:rPr>
                <w:sz w:val="19"/>
              </w:rPr>
              <w:t>Judul Dokumen</w:t>
            </w:r>
          </w:p>
        </w:tc>
        <w:tc>
          <w:tcPr>
            <w:tcW w:type="dxa" w:w="6236"/>
          </w:tcPr>
          <w:p>
            <w:pPr>
              <w:jc w:val="both"/>
            </w:pPr>
            <w:r/>
            <w:r>
              <w:rPr>
                <w:sz w:val="19"/>
              </w:rPr>
              <w:t>FSD — Implementasi Odoo Bisnis Retail Levi's PT Era Busana Retailindo</w:t>
            </w:r>
          </w:p>
        </w:tc>
      </w:tr>
      <w:tr>
        <w:tc>
          <w:tcPr>
            <w:tcW w:type="dxa" w:w="2835"/>
          </w:tcPr>
          <w:p>
            <w:pPr>
              <w:jc w:val="both"/>
            </w:pPr>
            <w:r/>
            <w:r>
              <w:rPr>
                <w:sz w:val="19"/>
              </w:rPr>
              <w:t>Entitas</w:t>
            </w:r>
          </w:p>
        </w:tc>
        <w:tc>
          <w:tcPr>
            <w:tcW w:type="dxa" w:w="6236"/>
          </w:tcPr>
          <w:p>
            <w:pPr>
              <w:jc w:val="both"/>
            </w:pPr>
            <w:r/>
            <w:r>
              <w:rPr>
                <w:sz w:val="19"/>
              </w:rPr>
              <w:t>PT Era Busana Retailindo (EBR) — operator retail Levi's</w:t>
            </w:r>
          </w:p>
        </w:tc>
      </w:tr>
      <w:tr>
        <w:tc>
          <w:tcPr>
            <w:tcW w:type="dxa" w:w="2835"/>
          </w:tcPr>
          <w:p>
            <w:pPr>
              <w:jc w:val="both"/>
            </w:pPr>
            <w:r/>
            <w:r>
              <w:rPr>
                <w:sz w:val="19"/>
              </w:rPr>
              <w:t>Nomor Dokumen</w:t>
            </w:r>
          </w:p>
        </w:tc>
        <w:tc>
          <w:tcPr>
            <w:tcW w:type="dxa" w:w="6236"/>
          </w:tcPr>
          <w:p>
            <w:pPr>
              <w:jc w:val="both"/>
            </w:pPr>
            <w:r/>
            <w:r>
              <w:rPr>
                <w:sz w:val="19"/>
              </w:rPr>
              <w:t>FSD/ERAJAYA/EBR-LEVIS/2026/001</w:t>
            </w:r>
          </w:p>
        </w:tc>
      </w:tr>
      <w:tr>
        <w:tc>
          <w:tcPr>
            <w:tcW w:type="dxa" w:w="2835"/>
          </w:tcPr>
          <w:p>
            <w:pPr>
              <w:jc w:val="both"/>
            </w:pPr>
            <w:r/>
            <w:r>
              <w:rPr>
                <w:sz w:val="19"/>
              </w:rPr>
              <w:t>Versi</w:t>
            </w:r>
          </w:p>
        </w:tc>
        <w:tc>
          <w:tcPr>
            <w:tcW w:type="dxa" w:w="6236"/>
          </w:tcPr>
          <w:p>
            <w:pPr>
              <w:jc w:val="both"/>
            </w:pPr>
            <w:r/>
            <w:r>
              <w:rPr>
                <w:sz w:val="19"/>
              </w:rPr>
              <w:t>1.0</w:t>
            </w:r>
          </w:p>
        </w:tc>
      </w:tr>
      <w:tr>
        <w:tc>
          <w:tcPr>
            <w:tcW w:type="dxa" w:w="2835"/>
          </w:tcPr>
          <w:p>
            <w:pPr>
              <w:jc w:val="both"/>
            </w:pPr>
            <w:r/>
            <w:r>
              <w:rPr>
                <w:sz w:val="19"/>
              </w:rPr>
              <w:t>Tanggal</w:t>
            </w:r>
          </w:p>
        </w:tc>
        <w:tc>
          <w:tcPr>
            <w:tcW w:type="dxa" w:w="6236"/>
          </w:tcPr>
          <w:p>
            <w:pPr>
              <w:jc w:val="both"/>
            </w:pPr>
            <w:r/>
            <w:r>
              <w:rPr>
                <w:sz w:val="19"/>
              </w:rPr>
              <w:t>22 Juni 2026</w:t>
            </w:r>
          </w:p>
        </w:tc>
      </w:tr>
      <w:tr>
        <w:tc>
          <w:tcPr>
            <w:tcW w:type="dxa" w:w="2835"/>
          </w:tcPr>
          <w:p>
            <w:pPr>
              <w:jc w:val="both"/>
            </w:pPr>
            <w:r/>
            <w:r>
              <w:rPr>
                <w:sz w:val="19"/>
              </w:rPr>
              <w:t>Klasifikasi</w:t>
            </w:r>
          </w:p>
        </w:tc>
        <w:tc>
          <w:tcPr>
            <w:tcW w:type="dxa" w:w="6236"/>
          </w:tcPr>
          <w:p>
            <w:pPr>
              <w:jc w:val="both"/>
            </w:pPr>
            <w:r/>
            <w:r>
              <w:rPr>
                <w:sz w:val="19"/>
              </w:rPr>
              <w:t>Internal — Erajaya Group</w:t>
            </w:r>
          </w:p>
        </w:tc>
      </w:tr>
      <w:tr>
        <w:tc>
          <w:tcPr>
            <w:tcW w:type="dxa" w:w="2835"/>
          </w:tcPr>
          <w:p>
            <w:pPr>
              <w:jc w:val="both"/>
            </w:pPr>
            <w:r/>
            <w:r>
              <w:rPr>
                <w:sz w:val="19"/>
              </w:rPr>
              <w:t>Status</w:t>
            </w:r>
          </w:p>
        </w:tc>
        <w:tc>
          <w:tcPr>
            <w:tcW w:type="dxa" w:w="6236"/>
          </w:tcPr>
          <w:p>
            <w:pPr>
              <w:jc w:val="both"/>
            </w:pPr>
            <w:r/>
            <w:r>
              <w:rPr>
                <w:sz w:val="19"/>
              </w:rPr>
              <w:t>Draft — Diajukan untuk Persetujuan (Approval Request)</w:t>
            </w:r>
          </w:p>
        </w:tc>
      </w:tr>
      <w:tr>
        <w:tc>
          <w:tcPr>
            <w:tcW w:type="dxa" w:w="2835"/>
          </w:tcPr>
          <w:p>
            <w:pPr>
              <w:jc w:val="both"/>
            </w:pPr>
            <w:r/>
            <w:r>
              <w:rPr>
                <w:sz w:val="19"/>
              </w:rPr>
              <w:t>Dokumen Terkait</w:t>
            </w:r>
          </w:p>
        </w:tc>
        <w:tc>
          <w:tcPr>
            <w:tcW w:type="dxa" w:w="6236"/>
          </w:tcPr>
          <w:p>
            <w:pPr>
              <w:jc w:val="both"/>
            </w:pPr>
            <w:r/>
            <w:r>
              <w:rPr>
                <w:sz w:val="19"/>
              </w:rPr>
              <w:t>FSD/TSD/Charter/Business Workflow Levi's Retail (SES x EBR)</w:t>
            </w:r>
          </w:p>
        </w:tc>
      </w:tr>
    </w:tbl>
    <w:p>
      <w:pPr>
        <w:spacing w:after="40"/>
      </w:pPr>
    </w:p>
    <w:p>
      <w:r>
        <w:br w:type="page"/>
      </w:r>
    </w:p>
    <w:p>
      <w:pPr>
        <w:pStyle w:val="Heading1"/>
      </w:pPr>
      <w:r>
        <w:t>Lembar Persetujuan (Approval Sheet)</w:t>
      </w:r>
    </w:p>
    <w:p>
      <w:pPr>
        <w:spacing w:after="120"/>
        <w:jc w:val="both"/>
      </w:pPr>
      <w:r>
        <w:rPr>
          <w:b w:val="0"/>
          <w:i w:val="0"/>
        </w:rPr>
        <w:t>Dokumen ini diajukan untuk mendapatkan persetujuan. Dengan menandatangani lembar ini, para pihak menyatakan telah membaca, memahami, dan menyetujui isi dokumen. Perubahan setelah persetujuan dikelola melalui mekanisme change request.</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494"/>
            <w:shd w:val="clear" w:fill="1A2332"/>
          </w:tcPr>
          <w:p>
            <w:r/>
            <w:r>
              <w:rPr>
                <w:b/>
                <w:color w:val="FFFFFF"/>
                <w:sz w:val="19"/>
              </w:rPr>
              <w:t>Peran</w:t>
            </w:r>
          </w:p>
        </w:tc>
        <w:tc>
          <w:tcPr>
            <w:tcW w:type="dxa" w:w="1814"/>
            <w:shd w:val="clear" w:fill="1A2332"/>
          </w:tcPr>
          <w:p>
            <w:r/>
            <w:r>
              <w:rPr>
                <w:b/>
                <w:color w:val="FFFFFF"/>
                <w:sz w:val="19"/>
              </w:rPr>
              <w:t>Nama</w:t>
            </w:r>
          </w:p>
        </w:tc>
        <w:tc>
          <w:tcPr>
            <w:tcW w:type="dxa" w:w="2608"/>
            <w:shd w:val="clear" w:fill="1A2332"/>
          </w:tcPr>
          <w:p>
            <w:r/>
            <w:r>
              <w:rPr>
                <w:b/>
                <w:color w:val="FFFFFF"/>
                <w:sz w:val="19"/>
              </w:rPr>
              <w:t>Jabatan / Fungsi</w:t>
            </w:r>
          </w:p>
        </w:tc>
        <w:tc>
          <w:tcPr>
            <w:tcW w:type="dxa" w:w="1417"/>
            <w:shd w:val="clear" w:fill="1A2332"/>
          </w:tcPr>
          <w:p>
            <w:r/>
            <w:r>
              <w:rPr>
                <w:b/>
                <w:color w:val="FFFFFF"/>
                <w:sz w:val="19"/>
              </w:rPr>
              <w:t>Tanda Tangan</w:t>
            </w:r>
          </w:p>
        </w:tc>
        <w:tc>
          <w:tcPr>
            <w:tcW w:type="dxa" w:w="1134"/>
            <w:shd w:val="clear" w:fill="1A2332"/>
          </w:tcPr>
          <w:p>
            <w:r/>
            <w:r>
              <w:rPr>
                <w:b/>
                <w:color w:val="FFFFFF"/>
                <w:sz w:val="19"/>
              </w:rPr>
              <w:t>Tanggal</w:t>
            </w:r>
          </w:p>
        </w:tc>
      </w:tr>
      <w:tr>
        <w:tc>
          <w:tcPr>
            <w:tcW w:type="dxa" w:w="2494"/>
          </w:tcPr>
          <w:p>
            <w:pPr>
              <w:jc w:val="both"/>
            </w:pPr>
            <w:r/>
            <w:r>
              <w:rPr>
                <w:sz w:val="19"/>
              </w:rPr>
              <w:t>Disusun oleh (Prepared by)</w:t>
            </w:r>
          </w:p>
        </w:tc>
        <w:tc>
          <w:tcPr>
            <w:tcW w:type="dxa" w:w="1814"/>
          </w:tcPr>
          <w:p>
            <w:pPr>
              <w:jc w:val="both"/>
            </w:pPr>
            <w:r/>
            <w:r>
              <w:rPr>
                <w:sz w:val="19"/>
              </w:rPr>
            </w:r>
          </w:p>
        </w:tc>
        <w:tc>
          <w:tcPr>
            <w:tcW w:type="dxa" w:w="2608"/>
          </w:tcPr>
          <w:p>
            <w:pPr>
              <w:jc w:val="both"/>
            </w:pPr>
            <w:r/>
            <w:r>
              <w:rPr>
                <w:sz w:val="19"/>
              </w:rPr>
              <w:t>Functional Consultant — Erajaya</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Diperiksa oleh (Reviewed by)</w:t>
            </w:r>
          </w:p>
        </w:tc>
        <w:tc>
          <w:tcPr>
            <w:tcW w:type="dxa" w:w="1814"/>
          </w:tcPr>
          <w:p>
            <w:pPr>
              <w:jc w:val="both"/>
            </w:pPr>
            <w:r/>
            <w:r>
              <w:rPr>
                <w:sz w:val="19"/>
              </w:rPr>
            </w:r>
          </w:p>
        </w:tc>
        <w:tc>
          <w:tcPr>
            <w:tcW w:type="dxa" w:w="2608"/>
          </w:tcPr>
          <w:p>
            <w:pPr>
              <w:jc w:val="both"/>
            </w:pPr>
            <w:r/>
            <w:r>
              <w:rPr>
                <w:sz w:val="19"/>
              </w:rPr>
              <w:t>IT / ERP Lead — Erajaya</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Diperiksa oleh (Reviewed by)</w:t>
            </w:r>
          </w:p>
        </w:tc>
        <w:tc>
          <w:tcPr>
            <w:tcW w:type="dxa" w:w="1814"/>
          </w:tcPr>
          <w:p>
            <w:pPr>
              <w:jc w:val="both"/>
            </w:pPr>
            <w:r/>
            <w:r>
              <w:rPr>
                <w:sz w:val="19"/>
              </w:rPr>
            </w:r>
          </w:p>
        </w:tc>
        <w:tc>
          <w:tcPr>
            <w:tcW w:type="dxa" w:w="2608"/>
          </w:tcPr>
          <w:p>
            <w:pPr>
              <w:jc w:val="both"/>
            </w:pPr>
            <w:r/>
            <w:r>
              <w:rPr>
                <w:sz w:val="19"/>
              </w:rPr>
              <w:t>Finance &amp; Accounting — PT EBR</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Disetujui oleh (Approved by)</w:t>
            </w:r>
          </w:p>
        </w:tc>
        <w:tc>
          <w:tcPr>
            <w:tcW w:type="dxa" w:w="1814"/>
          </w:tcPr>
          <w:p>
            <w:pPr>
              <w:jc w:val="both"/>
            </w:pPr>
            <w:r/>
            <w:r>
              <w:rPr>
                <w:sz w:val="19"/>
              </w:rPr>
            </w:r>
          </w:p>
        </w:tc>
        <w:tc>
          <w:tcPr>
            <w:tcW w:type="dxa" w:w="2608"/>
          </w:tcPr>
          <w:p>
            <w:pPr>
              <w:jc w:val="both"/>
            </w:pPr>
            <w:r/>
            <w:r>
              <w:rPr>
                <w:sz w:val="19"/>
              </w:rPr>
              <w:t>Business Owner — Levi's Retail</w:t>
            </w:r>
          </w:p>
        </w:tc>
        <w:tc>
          <w:tcPr>
            <w:tcW w:type="dxa" w:w="1417"/>
          </w:tcPr>
          <w:p>
            <w:pPr>
              <w:jc w:val="both"/>
            </w:pPr>
            <w:r/>
            <w:r>
              <w:rPr>
                <w:sz w:val="19"/>
              </w:rPr>
            </w:r>
          </w:p>
        </w:tc>
        <w:tc>
          <w:tcPr>
            <w:tcW w:type="dxa" w:w="1134"/>
          </w:tcPr>
          <w:p>
            <w:pPr>
              <w:jc w:val="both"/>
            </w:pPr>
            <w:r/>
            <w:r>
              <w:rPr>
                <w:sz w:val="19"/>
              </w:rPr>
            </w:r>
          </w:p>
        </w:tc>
      </w:tr>
      <w:tr>
        <w:tc>
          <w:tcPr>
            <w:tcW w:type="dxa" w:w="2494"/>
          </w:tcPr>
          <w:p>
            <w:pPr>
              <w:jc w:val="both"/>
            </w:pPr>
            <w:r/>
            <w:r>
              <w:rPr>
                <w:sz w:val="19"/>
              </w:rPr>
              <w:t>Disetujui oleh (Approved by)</w:t>
            </w:r>
          </w:p>
        </w:tc>
        <w:tc>
          <w:tcPr>
            <w:tcW w:type="dxa" w:w="1814"/>
          </w:tcPr>
          <w:p>
            <w:pPr>
              <w:jc w:val="both"/>
            </w:pPr>
            <w:r/>
            <w:r>
              <w:rPr>
                <w:sz w:val="19"/>
              </w:rPr>
            </w:r>
          </w:p>
        </w:tc>
        <w:tc>
          <w:tcPr>
            <w:tcW w:type="dxa" w:w="2608"/>
          </w:tcPr>
          <w:p>
            <w:pPr>
              <w:jc w:val="both"/>
            </w:pPr>
            <w:r/>
            <w:r>
              <w:rPr>
                <w:sz w:val="19"/>
              </w:rPr>
              <w:t>Manajemen PT SES</w:t>
            </w:r>
          </w:p>
        </w:tc>
        <w:tc>
          <w:tcPr>
            <w:tcW w:type="dxa" w:w="1417"/>
          </w:tcPr>
          <w:p>
            <w:pPr>
              <w:jc w:val="both"/>
            </w:pPr>
            <w:r/>
            <w:r>
              <w:rPr>
                <w:sz w:val="19"/>
              </w:rPr>
            </w:r>
          </w:p>
        </w:tc>
        <w:tc>
          <w:tcPr>
            <w:tcW w:type="dxa" w:w="1134"/>
          </w:tcPr>
          <w:p>
            <w:pPr>
              <w:jc w:val="both"/>
            </w:pPr>
            <w:r/>
            <w:r>
              <w:rPr>
                <w:sz w:val="19"/>
              </w:rPr>
            </w:r>
          </w:p>
        </w:tc>
      </w:tr>
    </w:tbl>
    <w:p>
      <w:pPr>
        <w:spacing w:after="40"/>
      </w:pPr>
    </w:p>
    <w:p>
      <w:pPr>
        <w:pStyle w:val="Heading2"/>
      </w:pPr>
      <w:r>
        <w:t>Riwayat Revisi</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134"/>
            <w:shd w:val="clear" w:fill="1A2332"/>
          </w:tcPr>
          <w:p>
            <w:r/>
            <w:r>
              <w:rPr>
                <w:b/>
                <w:color w:val="FFFFFF"/>
                <w:sz w:val="19"/>
              </w:rPr>
              <w:t>Versi</w:t>
            </w:r>
          </w:p>
        </w:tc>
        <w:tc>
          <w:tcPr>
            <w:tcW w:type="dxa" w:w="1701"/>
            <w:shd w:val="clear" w:fill="1A2332"/>
          </w:tcPr>
          <w:p>
            <w:r/>
            <w:r>
              <w:rPr>
                <w:b/>
                <w:color w:val="FFFFFF"/>
                <w:sz w:val="19"/>
              </w:rPr>
              <w:t>Tanggal</w:t>
            </w:r>
          </w:p>
        </w:tc>
        <w:tc>
          <w:tcPr>
            <w:tcW w:type="dxa" w:w="2268"/>
            <w:shd w:val="clear" w:fill="1A2332"/>
          </w:tcPr>
          <w:p>
            <w:r/>
            <w:r>
              <w:rPr>
                <w:b/>
                <w:color w:val="FFFFFF"/>
                <w:sz w:val="19"/>
              </w:rPr>
              <w:t>Penyusun</w:t>
            </w:r>
          </w:p>
        </w:tc>
        <w:tc>
          <w:tcPr>
            <w:tcW w:type="dxa" w:w="4082"/>
            <w:shd w:val="clear" w:fill="1A2332"/>
          </w:tcPr>
          <w:p>
            <w:r/>
            <w:r>
              <w:rPr>
                <w:b/>
                <w:color w:val="FFFFFF"/>
                <w:sz w:val="19"/>
              </w:rPr>
              <w:t>Deskripsi Perubahan</w:t>
            </w:r>
          </w:p>
        </w:tc>
      </w:tr>
      <w:tr>
        <w:tc>
          <w:tcPr>
            <w:tcW w:type="dxa" w:w="1134"/>
          </w:tcPr>
          <w:p>
            <w:pPr>
              <w:jc w:val="both"/>
            </w:pPr>
            <w:r/>
            <w:r>
              <w:rPr>
                <w:sz w:val="19"/>
              </w:rPr>
              <w:t>1.0</w:t>
            </w:r>
          </w:p>
        </w:tc>
        <w:tc>
          <w:tcPr>
            <w:tcW w:type="dxa" w:w="1701"/>
          </w:tcPr>
          <w:p>
            <w:pPr>
              <w:jc w:val="both"/>
            </w:pPr>
            <w:r/>
            <w:r>
              <w:rPr>
                <w:sz w:val="19"/>
              </w:rPr>
              <w:t>22 Juni 2026</w:t>
            </w:r>
          </w:p>
        </w:tc>
        <w:tc>
          <w:tcPr>
            <w:tcW w:type="dxa" w:w="2268"/>
          </w:tcPr>
          <w:p>
            <w:pPr>
              <w:jc w:val="both"/>
            </w:pPr>
            <w:r/>
            <w:r>
              <w:rPr>
                <w:sz w:val="19"/>
              </w:rPr>
              <w:t>Tim Implementasi Erajaya</w:t>
            </w:r>
          </w:p>
        </w:tc>
        <w:tc>
          <w:tcPr>
            <w:tcW w:type="dxa" w:w="4082"/>
          </w:tcPr>
          <w:p>
            <w:pPr>
              <w:jc w:val="both"/>
            </w:pPr>
            <w:r/>
            <w:r>
              <w:rPr>
                <w:sz w:val="19"/>
              </w:rPr>
              <w:t>Penerbitan awal untuk pengajuan persetujuan.</w:t>
            </w:r>
          </w:p>
        </w:tc>
      </w:tr>
    </w:tbl>
    <w:p>
      <w:pPr>
        <w:spacing w:after="40"/>
      </w:pPr>
    </w:p>
    <w:p>
      <w:r>
        <w:br w:type="page"/>
      </w:r>
    </w:p>
    <w:p>
      <w:pPr>
        <w:pStyle w:val="Heading1"/>
      </w:pPr>
      <w:r>
        <w:t>1. Pendahuluan</w:t>
      </w:r>
    </w:p>
    <w:p>
      <w:pPr>
        <w:pStyle w:val="Heading2"/>
      </w:pPr>
      <w:r>
        <w:t>1.1 Latar Belakang</w:t>
      </w:r>
    </w:p>
    <w:p>
      <w:pPr>
        <w:spacing w:after="120"/>
        <w:jc w:val="both"/>
      </w:pPr>
      <w:r>
        <w:rPr>
          <w:b w:val="0"/>
          <w:i w:val="0"/>
        </w:rPr>
        <w:t>Erajaya Group melalui PT Sinar Eka Selaras (SES) bertindak sebagai distributor resmi produk Levi's di Indonesia, dengan seluruh proses distribusi dan pengadaan dijalankan pada sistem SAP. Operasional penjualan retail dijalankan oleh PT Era Busana Retailindo (EBR), sementara seluruh toko beroperasi menggunakan sistem POS bawaan principal yang menjadi standar global Levi's. PT EBR membutuhkan sistem pembukuan dan pelaporan yang andal namun tidak menggantikan sistem transaksional toko; untuk kebutuhan tersebut dipilih Odoo sebagai sistem ERP pencatatan (system of record akuntansi) PT EBR. Data operasional toko — goods receipt, penjualan POS beserta tender pembayarannya, dan mutasi persediaan — dimirror ke Odoo melalui file Excel/CSV pada fase awal dan melalui FTP/SFTP Erajaya pada fase berikutnya.</w:t>
      </w:r>
    </w:p>
    <w:p>
      <w:pPr>
        <w:pStyle w:val="Heading2"/>
      </w:pPr>
      <w:r>
        <w:t>1.2 Tujuan Dokumen</w:t>
      </w:r>
    </w:p>
    <w:p>
      <w:pPr>
        <w:spacing w:after="120"/>
        <w:jc w:val="both"/>
      </w:pPr>
      <w:r>
        <w:rPr>
          <w:b w:val="0"/>
          <w:i w:val="0"/>
        </w:rPr>
        <w:t>Dokumen ini mendefinisikan kebutuhan fungsional implementasi Odoo untuk PT Era Busana Retailindo, mencakup proses bisnis end-to-end antara Levi's Principal, PT SES, toko retail, dan PT EBR; modul Odoo yang diinstal beserta kustomisasinya; spesifikasi file data yang dipertukarkan; serta konfigurasi data yang harus disiapkan sebelum go-live. Dokumen ini menjadi dasar persetujuan (approval) dan acuan penyusunan skenario User Acceptance Testing (UAT) sebelum tahap konfigurasi, pengembangan, dan migrasi data dilaksanakan.</w:t>
      </w:r>
    </w:p>
    <w:p>
      <w:pPr>
        <w:pStyle w:val="Heading2"/>
      </w:pPr>
      <w:r>
        <w:t>1.3 Ruang Lingkup</w:t>
      </w:r>
    </w:p>
    <w:p>
      <w:pPr>
        <w:spacing w:after="120"/>
        <w:jc w:val="both"/>
      </w:pPr>
      <w:r>
        <w:rPr>
          <w:b/>
          <w:i w:val="0"/>
        </w:rPr>
        <w:t>Ruang lingkup pekerjaan yang tercakup (in-scope):</w:t>
      </w:r>
    </w:p>
    <w:p>
      <w:pPr>
        <w:pStyle w:val="ListBullet"/>
        <w:jc w:val="both"/>
      </w:pPr>
      <w:r>
        <w:t>Pencatatan Purchase Order PT EBR kepada PT SES di Odoo, termasuk approval berjenjang, pencatatan vendor bill, dan pembayaran kepada SES.</w:t>
      </w:r>
    </w:p>
    <w:p>
      <w:pPr>
        <w:pStyle w:val="ListBullet"/>
        <w:jc w:val="both"/>
      </w:pPr>
      <w:r>
        <w:t>Mirroring data operasional toko dari POS principal ke Odoo: goods receipt toko, penjualan POS dan tender pembayaran, mutasi persediaan, posisi stok on-hand, serta data diskon/promosi.</w:t>
      </w:r>
    </w:p>
    <w:p>
      <w:pPr>
        <w:pStyle w:val="ListBullet"/>
        <w:jc w:val="both"/>
      </w:pPr>
      <w:r>
        <w:t>Pembangunan adapter import Excel/CSV (modul custom_retail_import) dengan profil per jenis file, pratinjau dry-run, deduplikasi, log audit, dan eksekusi asinkron.</w:t>
      </w:r>
    </w:p>
    <w:p>
      <w:pPr>
        <w:pStyle w:val="ListBullet"/>
        <w:jc w:val="both"/>
      </w:pPr>
      <w:r>
        <w:t>Penyediaan feed otomatis melalui FTP/SFTP Erajaya pada Phase 2.</w:t>
      </w:r>
    </w:p>
    <w:p>
      <w:pPr>
        <w:pStyle w:val="ListBullet"/>
        <w:jc w:val="both"/>
      </w:pPr>
      <w:r>
        <w:t>Penyiapan master data dan konfigurasi awal: company, chart of accounts, rekening bank dan jurnal, pajak, vendor, master produk, warehouse per toko, dan saldo awal stok.</w:t>
      </w:r>
    </w:p>
    <w:p>
      <w:pPr>
        <w:pStyle w:val="ListBullet"/>
        <w:jc w:val="both"/>
      </w:pPr>
      <w:r>
        <w:t>Pelaporan keuangan dan rekonsiliasi (penjualan, HPP, persediaan, settlement tender terhadap penerimaan bank).</w:t>
      </w:r>
    </w:p>
    <w:p>
      <w:pPr>
        <w:spacing w:after="120"/>
        <w:jc w:val="both"/>
      </w:pPr>
      <w:r>
        <w:rPr>
          <w:b/>
          <w:i w:val="0"/>
        </w:rPr>
        <w:t>Hal-hal di luar ruang lingkup (out-of-scope):</w:t>
      </w:r>
    </w:p>
    <w:p>
      <w:pPr>
        <w:pStyle w:val="ListBullet"/>
        <w:jc w:val="both"/>
      </w:pPr>
      <w:r>
        <w:t>Proses transaksional di toko. Toko tetap menggunakan POS bawaan principal; Odoo tidak menggantikan fungsi POS toko.</w:t>
      </w:r>
    </w:p>
    <w:p>
      <w:pPr>
        <w:pStyle w:val="ListBullet"/>
        <w:jc w:val="both"/>
      </w:pPr>
      <w:r>
        <w:t>Proses internal SAP PT SES, termasuk pengadaan SES kepada Levi's Principal dan goods receipt di DC SES; proses tersebut dijelaskan hanya sebagai konteks alur bisnis.</w:t>
      </w:r>
    </w:p>
    <w:p>
      <w:pPr>
        <w:pStyle w:val="ListBullet"/>
        <w:jc w:val="both"/>
      </w:pPr>
      <w:r>
        <w:t>Integrasi API real-time dua arah antara SAP, POS principal, dan Odoo (di luar mekanisme file/SFTP yang didefinisikan).</w:t>
      </w:r>
    </w:p>
    <w:p>
      <w:pPr>
        <w:pStyle w:val="ListBullet"/>
        <w:jc w:val="both"/>
      </w:pPr>
      <w:r>
        <w:t>Perubahan proses bisnis pada sisi Levi's Principal.</w:t>
      </w:r>
    </w:p>
    <w:p>
      <w:pPr>
        <w:pStyle w:val="Heading2"/>
      </w:pPr>
      <w:r>
        <w:t>1.4 Definisi dan Singkatan</w:t>
      </w:r>
    </w:p>
    <w:tbl>
      <w:tblPr>
        <w:tblStyle w:val="TableGrid"/>
        <w:tblW w:type="auto" w:w="0"/>
        <w:jc w:val="center"/>
        <w:tblLook w:firstColumn="1" w:firstRow="1" w:lastColumn="0" w:lastRow="0" w:noHBand="0" w:noVBand="1" w:val="04A0"/>
      </w:tblPr>
      <w:tblGrid>
        <w:gridCol w:w="4816"/>
        <w:gridCol w:w="4816"/>
      </w:tblGrid>
      <w:tr>
        <w:tc>
          <w:tcPr>
            <w:tcW w:type="dxa" w:w="1814"/>
            <w:shd w:val="clear" w:fill="1A2332"/>
          </w:tcPr>
          <w:p>
            <w:r/>
            <w:r>
              <w:rPr>
                <w:b/>
                <w:color w:val="FFFFFF"/>
                <w:sz w:val="19"/>
              </w:rPr>
              <w:t>Istilah</w:t>
            </w:r>
          </w:p>
        </w:tc>
        <w:tc>
          <w:tcPr>
            <w:tcW w:type="dxa" w:w="7370"/>
            <w:shd w:val="clear" w:fill="1A2332"/>
          </w:tcPr>
          <w:p>
            <w:r/>
            <w:r>
              <w:rPr>
                <w:b/>
                <w:color w:val="FFFFFF"/>
                <w:sz w:val="19"/>
              </w:rPr>
              <w:t>Definisi</w:t>
            </w:r>
          </w:p>
        </w:tc>
      </w:tr>
      <w:tr>
        <w:tc>
          <w:tcPr>
            <w:tcW w:type="dxa" w:w="1814"/>
          </w:tcPr>
          <w:p>
            <w:pPr>
              <w:jc w:val="both"/>
            </w:pPr>
            <w:r/>
            <w:r>
              <w:rPr>
                <w:sz w:val="19"/>
              </w:rPr>
              <w:t>SES</w:t>
            </w:r>
          </w:p>
        </w:tc>
        <w:tc>
          <w:tcPr>
            <w:tcW w:type="dxa" w:w="7370"/>
          </w:tcPr>
          <w:p>
            <w:pPr>
              <w:jc w:val="both"/>
            </w:pPr>
            <w:r/>
            <w:r>
              <w:rPr>
                <w:sz w:val="19"/>
              </w:rPr>
              <w:t>PT Sinar Eka Selaras — distributor produk Levi's (Erajaya Group), bersistem SAP.</w:t>
            </w:r>
          </w:p>
        </w:tc>
      </w:tr>
      <w:tr>
        <w:tc>
          <w:tcPr>
            <w:tcW w:type="dxa" w:w="1814"/>
          </w:tcPr>
          <w:p>
            <w:pPr>
              <w:jc w:val="both"/>
            </w:pPr>
            <w:r/>
            <w:r>
              <w:rPr>
                <w:sz w:val="19"/>
              </w:rPr>
              <w:t>EBR</w:t>
            </w:r>
          </w:p>
        </w:tc>
        <w:tc>
          <w:tcPr>
            <w:tcW w:type="dxa" w:w="7370"/>
          </w:tcPr>
          <w:p>
            <w:pPr>
              <w:jc w:val="both"/>
            </w:pPr>
            <w:r/>
            <w:r>
              <w:rPr>
                <w:sz w:val="19"/>
              </w:rPr>
              <w:t>PT Era Busana Retailindo — entitas retail Levi's yang pembukuannya di Odoo.</w:t>
            </w:r>
          </w:p>
        </w:tc>
      </w:tr>
      <w:tr>
        <w:tc>
          <w:tcPr>
            <w:tcW w:type="dxa" w:w="1814"/>
          </w:tcPr>
          <w:p>
            <w:pPr>
              <w:jc w:val="both"/>
            </w:pPr>
            <w:r/>
            <w:r>
              <w:rPr>
                <w:sz w:val="19"/>
              </w:rPr>
              <w:t>Principal</w:t>
            </w:r>
          </w:p>
        </w:tc>
        <w:tc>
          <w:tcPr>
            <w:tcW w:type="dxa" w:w="7370"/>
          </w:tcPr>
          <w:p>
            <w:pPr>
              <w:jc w:val="both"/>
            </w:pPr>
            <w:r/>
            <w:r>
              <w:rPr>
                <w:sz w:val="19"/>
              </w:rPr>
              <w:t>Levi's selaku pemilik merek dan pemasok produk.</w:t>
            </w:r>
          </w:p>
        </w:tc>
      </w:tr>
      <w:tr>
        <w:tc>
          <w:tcPr>
            <w:tcW w:type="dxa" w:w="1814"/>
          </w:tcPr>
          <w:p>
            <w:pPr>
              <w:jc w:val="both"/>
            </w:pPr>
            <w:r/>
            <w:r>
              <w:rPr>
                <w:sz w:val="19"/>
              </w:rPr>
              <w:t>POS Principal</w:t>
            </w:r>
          </w:p>
        </w:tc>
        <w:tc>
          <w:tcPr>
            <w:tcW w:type="dxa" w:w="7370"/>
          </w:tcPr>
          <w:p>
            <w:pPr>
              <w:jc w:val="both"/>
            </w:pPr>
            <w:r/>
            <w:r>
              <w:rPr>
                <w:sz w:val="19"/>
              </w:rPr>
              <w:t>Sistem point-of-sale bawaan principal yang digunakan seluruh toko Levi's.</w:t>
            </w:r>
          </w:p>
        </w:tc>
      </w:tr>
      <w:tr>
        <w:tc>
          <w:tcPr>
            <w:tcW w:type="dxa" w:w="1814"/>
          </w:tcPr>
          <w:p>
            <w:pPr>
              <w:jc w:val="both"/>
            </w:pPr>
            <w:r/>
            <w:r>
              <w:rPr>
                <w:sz w:val="19"/>
              </w:rPr>
              <w:t>GR</w:t>
            </w:r>
          </w:p>
        </w:tc>
        <w:tc>
          <w:tcPr>
            <w:tcW w:type="dxa" w:w="7370"/>
          </w:tcPr>
          <w:p>
            <w:pPr>
              <w:jc w:val="both"/>
            </w:pPr>
            <w:r/>
            <w:r>
              <w:rPr>
                <w:sz w:val="19"/>
              </w:rPr>
              <w:t>Goods Receipt — penerimaan barang.</w:t>
            </w:r>
          </w:p>
        </w:tc>
      </w:tr>
      <w:tr>
        <w:tc>
          <w:tcPr>
            <w:tcW w:type="dxa" w:w="1814"/>
          </w:tcPr>
          <w:p>
            <w:pPr>
              <w:jc w:val="both"/>
            </w:pPr>
            <w:r/>
            <w:r>
              <w:rPr>
                <w:sz w:val="19"/>
              </w:rPr>
              <w:t>Tender</w:t>
            </w:r>
          </w:p>
        </w:tc>
        <w:tc>
          <w:tcPr>
            <w:tcW w:type="dxa" w:w="7370"/>
          </w:tcPr>
          <w:p>
            <w:pPr>
              <w:jc w:val="both"/>
            </w:pPr>
            <w:r/>
            <w:r>
              <w:rPr>
                <w:sz w:val="19"/>
              </w:rPr>
              <w:t>Metode pembayaran pada transaksi POS (tunai, EDC, e-wallet) beserta settlement-nya.</w:t>
            </w:r>
          </w:p>
        </w:tc>
      </w:tr>
      <w:tr>
        <w:tc>
          <w:tcPr>
            <w:tcW w:type="dxa" w:w="1814"/>
          </w:tcPr>
          <w:p>
            <w:pPr>
              <w:jc w:val="both"/>
            </w:pPr>
            <w:r/>
            <w:r>
              <w:rPr>
                <w:sz w:val="19"/>
              </w:rPr>
              <w:t>Mirroring</w:t>
            </w:r>
          </w:p>
        </w:tc>
        <w:tc>
          <w:tcPr>
            <w:tcW w:type="dxa" w:w="7370"/>
          </w:tcPr>
          <w:p>
            <w:pPr>
              <w:jc w:val="both"/>
            </w:pPr>
            <w:r/>
            <w:r>
              <w:rPr>
                <w:sz w:val="19"/>
              </w:rPr>
              <w:t>Replikasi data transaksi dari sistem sumber (POS principal) ke Odoo melalui file.</w:t>
            </w:r>
          </w:p>
        </w:tc>
      </w:tr>
      <w:tr>
        <w:tc>
          <w:tcPr>
            <w:tcW w:type="dxa" w:w="1814"/>
          </w:tcPr>
          <w:p>
            <w:pPr>
              <w:jc w:val="both"/>
            </w:pPr>
            <w:r/>
            <w:r>
              <w:rPr>
                <w:sz w:val="19"/>
              </w:rPr>
              <w:t>UAT</w:t>
            </w:r>
          </w:p>
        </w:tc>
        <w:tc>
          <w:tcPr>
            <w:tcW w:type="dxa" w:w="7370"/>
          </w:tcPr>
          <w:p>
            <w:pPr>
              <w:jc w:val="both"/>
            </w:pPr>
            <w:r/>
            <w:r>
              <w:rPr>
                <w:sz w:val="19"/>
              </w:rPr>
              <w:t>User Acceptance Testing — pengujian penerimaan oleh pengguna bisnis.</w:t>
            </w:r>
          </w:p>
        </w:tc>
      </w:tr>
      <w:tr>
        <w:tc>
          <w:tcPr>
            <w:tcW w:type="dxa" w:w="1814"/>
          </w:tcPr>
          <w:p>
            <w:pPr>
              <w:jc w:val="both"/>
            </w:pPr>
            <w:r/>
            <w:r>
              <w:rPr>
                <w:sz w:val="19"/>
              </w:rPr>
              <w:t>FSD / TSD</w:t>
            </w:r>
          </w:p>
        </w:tc>
        <w:tc>
          <w:tcPr>
            <w:tcW w:type="dxa" w:w="7370"/>
          </w:tcPr>
          <w:p>
            <w:pPr>
              <w:jc w:val="both"/>
            </w:pPr>
            <w:r/>
            <w:r>
              <w:rPr>
                <w:sz w:val="19"/>
              </w:rPr>
              <w:t>Functional / Technical Specification Document.</w:t>
            </w:r>
          </w:p>
        </w:tc>
      </w:tr>
    </w:tbl>
    <w:p>
      <w:pPr>
        <w:spacing w:after="40"/>
      </w:pPr>
    </w:p>
    <w:p>
      <w:pPr>
        <w:pStyle w:val="Heading2"/>
      </w:pPr>
      <w:r>
        <w:t>1.5 Referensi</w:t>
      </w:r>
    </w:p>
    <w:p>
      <w:pPr>
        <w:pStyle w:val="ListBullet"/>
        <w:jc w:val="both"/>
      </w:pPr>
      <w:r>
        <w:t>Diagram proses bisnis: docs/levis/business-process-flow.html.</w:t>
      </w:r>
    </w:p>
    <w:p>
      <w:pPr>
        <w:pStyle w:val="ListBullet"/>
        <w:jc w:val="both"/>
      </w:pPr>
      <w:r>
        <w:t>Dokumen pendukung: TSD, Project Charter, Business Workflow Levi's Retail (SES x EBR).</w:t>
      </w:r>
    </w:p>
    <w:p>
      <w:pPr>
        <w:pStyle w:val="ListBullet"/>
        <w:jc w:val="both"/>
      </w:pPr>
      <w:r>
        <w:t>Paket data principal/SES: X101 Material Master, X20 On-hand, X24DN Retail Sales, X31 Discount Journal, X32P Stock Movement, X70D Tender Detail, X70T Tender Settlement, Store Master, CoA EBR.</w:t>
      </w:r>
    </w:p>
    <w:p>
      <w:pPr>
        <w:pStyle w:val="ListBullet"/>
        <w:jc w:val="both"/>
      </w:pPr>
      <w:r>
        <w:t>Source code adapter: addons/ee_gap/custom_retail_import (Odoo 19).</w:t>
      </w:r>
    </w:p>
    <w:p>
      <w:pPr>
        <w:pStyle w:val="ListBullet"/>
        <w:jc w:val="both"/>
      </w:pPr>
      <w:r>
        <w:t>Runbook onboarding data: scripts/tenants/levis/README.md.</w:t>
      </w:r>
    </w:p>
    <w:p>
      <w:r>
        <w:br w:type="page"/>
      </w:r>
    </w:p>
    <w:p>
      <w:pPr>
        <w:pStyle w:val="Heading1"/>
      </w:pPr>
      <w:r>
        <w:t>2. Gambaran Umum Proses Bisnis</w:t>
      </w:r>
    </w:p>
    <w:p>
      <w:pPr>
        <w:spacing w:after="120"/>
        <w:jc w:val="both"/>
      </w:pPr>
      <w:r>
        <w:rPr>
          <w:b w:val="0"/>
          <w:i w:val="0"/>
        </w:rPr>
        <w:t>Rantai proses melibatkan empat aktor dengan tiga sistem berbeda. Levi's Principal memasok produk dan menyediakan sistem POS toko. PT SES menjalankan distribusi dengan SAP sebagai sistem pencatatan. Toko retail beroperasi sepenuhnya pada POS bawaan principal. PT EBR menjalankan pembukuan dan pelaporan keuangan pada Odoo yang menerima mirroring data operasional toko. Terdapat tiga alur utama berikut.</w:t>
      </w:r>
    </w:p>
    <w:p>
      <w:pPr>
        <w:pStyle w:val="Heading2"/>
      </w:pPr>
      <w:r>
        <w:t>2.1 Flow A — Pengadaan SES kepada Levi's Principal (SAP, Konteks)</w:t>
      </w:r>
    </w:p>
    <w:tbl>
      <w:tblPr>
        <w:tblStyle w:val="TableGrid"/>
        <w:tblW w:type="auto" w:w="0"/>
        <w:jc w:val="center"/>
        <w:tblLook w:firstColumn="1" w:firstRow="1" w:lastColumn="0" w:lastRow="0" w:noHBand="0" w:noVBand="1" w:val="04A0"/>
      </w:tblPr>
      <w:tblGrid>
        <w:gridCol w:w="3211"/>
        <w:gridCol w:w="3211"/>
        <w:gridCol w:w="3211"/>
      </w:tblGrid>
      <w:tr>
        <w:tc>
          <w:tcPr>
            <w:tcW w:type="dxa" w:w="1134"/>
            <w:shd w:val="clear" w:fill="1A2332"/>
          </w:tcPr>
          <w:p>
            <w:r/>
            <w:r>
              <w:rPr>
                <w:b/>
                <w:color w:val="FFFFFF"/>
                <w:sz w:val="19"/>
              </w:rPr>
              <w:t>Langkah</w:t>
            </w:r>
          </w:p>
        </w:tc>
        <w:tc>
          <w:tcPr>
            <w:tcW w:type="dxa" w:w="6066"/>
            <w:shd w:val="clear" w:fill="1A2332"/>
          </w:tcPr>
          <w:p>
            <w:r/>
            <w:r>
              <w:rPr>
                <w:b/>
                <w:color w:val="FFFFFF"/>
                <w:sz w:val="19"/>
              </w:rPr>
              <w:t>Aktivitas</w:t>
            </w:r>
          </w:p>
        </w:tc>
        <w:tc>
          <w:tcPr>
            <w:tcW w:type="dxa" w:w="1984"/>
            <w:shd w:val="clear" w:fill="1A2332"/>
          </w:tcPr>
          <w:p>
            <w:r/>
            <w:r>
              <w:rPr>
                <w:b/>
                <w:color w:val="FFFFFF"/>
                <w:sz w:val="19"/>
              </w:rPr>
              <w:t>Sistem</w:t>
            </w:r>
          </w:p>
        </w:tc>
      </w:tr>
      <w:tr>
        <w:tc>
          <w:tcPr>
            <w:tcW w:type="dxa" w:w="1134"/>
          </w:tcPr>
          <w:p>
            <w:pPr>
              <w:jc w:val="both"/>
            </w:pPr>
            <w:r/>
            <w:r>
              <w:rPr>
                <w:sz w:val="19"/>
              </w:rPr>
              <w:t>A1</w:t>
            </w:r>
          </w:p>
        </w:tc>
        <w:tc>
          <w:tcPr>
            <w:tcW w:type="dxa" w:w="6066"/>
          </w:tcPr>
          <w:p>
            <w:pPr>
              <w:jc w:val="both"/>
            </w:pPr>
            <w:r/>
            <w:r>
              <w:rPr>
                <w:sz w:val="19"/>
              </w:rPr>
              <w:t>SES membuat PO produk Levi's dan mengirimkannya kepada principal.</w:t>
            </w:r>
          </w:p>
        </w:tc>
        <w:tc>
          <w:tcPr>
            <w:tcW w:type="dxa" w:w="1984"/>
          </w:tcPr>
          <w:p>
            <w:pPr>
              <w:jc w:val="both"/>
            </w:pPr>
            <w:r/>
            <w:r>
              <w:rPr>
                <w:sz w:val="19"/>
              </w:rPr>
              <w:t>SAP — SES</w:t>
            </w:r>
          </w:p>
        </w:tc>
      </w:tr>
      <w:tr>
        <w:tc>
          <w:tcPr>
            <w:tcW w:type="dxa" w:w="1134"/>
          </w:tcPr>
          <w:p>
            <w:pPr>
              <w:jc w:val="both"/>
            </w:pPr>
            <w:r/>
            <w:r>
              <w:rPr>
                <w:sz w:val="19"/>
              </w:rPr>
              <w:t>A2</w:t>
            </w:r>
          </w:p>
        </w:tc>
        <w:tc>
          <w:tcPr>
            <w:tcW w:type="dxa" w:w="6066"/>
          </w:tcPr>
          <w:p>
            <w:pPr>
              <w:jc w:val="both"/>
            </w:pPr>
            <w:r/>
            <w:r>
              <w:rPr>
                <w:sz w:val="19"/>
              </w:rPr>
              <w:t>Principal mengonfirmasi pesanan dan mengirim barang beserta dokumen.</w:t>
            </w:r>
          </w:p>
        </w:tc>
        <w:tc>
          <w:tcPr>
            <w:tcW w:type="dxa" w:w="1984"/>
          </w:tcPr>
          <w:p>
            <w:pPr>
              <w:jc w:val="both"/>
            </w:pPr>
            <w:r/>
            <w:r>
              <w:rPr>
                <w:sz w:val="19"/>
              </w:rPr>
              <w:t>Principal</w:t>
            </w:r>
          </w:p>
        </w:tc>
      </w:tr>
      <w:tr>
        <w:tc>
          <w:tcPr>
            <w:tcW w:type="dxa" w:w="1134"/>
          </w:tcPr>
          <w:p>
            <w:pPr>
              <w:jc w:val="both"/>
            </w:pPr>
            <w:r/>
            <w:r>
              <w:rPr>
                <w:sz w:val="19"/>
              </w:rPr>
              <w:t>A3</w:t>
            </w:r>
          </w:p>
        </w:tc>
        <w:tc>
          <w:tcPr>
            <w:tcW w:type="dxa" w:w="6066"/>
          </w:tcPr>
          <w:p>
            <w:pPr>
              <w:jc w:val="both"/>
            </w:pPr>
            <w:r/>
            <w:r>
              <w:rPr>
                <w:sz w:val="19"/>
              </w:rPr>
              <w:t>Goods Receipt atas kiriman principal; stok bertambah di DC SES.</w:t>
            </w:r>
          </w:p>
        </w:tc>
        <w:tc>
          <w:tcPr>
            <w:tcW w:type="dxa" w:w="1984"/>
          </w:tcPr>
          <w:p>
            <w:pPr>
              <w:jc w:val="both"/>
            </w:pPr>
            <w:r/>
            <w:r>
              <w:rPr>
                <w:sz w:val="19"/>
              </w:rPr>
              <w:t>SAP — SES</w:t>
            </w:r>
          </w:p>
        </w:tc>
      </w:tr>
      <w:tr>
        <w:tc>
          <w:tcPr>
            <w:tcW w:type="dxa" w:w="1134"/>
          </w:tcPr>
          <w:p>
            <w:pPr>
              <w:jc w:val="both"/>
            </w:pPr>
            <w:r/>
            <w:r>
              <w:rPr>
                <w:sz w:val="19"/>
              </w:rPr>
              <w:t>A4</w:t>
            </w:r>
          </w:p>
        </w:tc>
        <w:tc>
          <w:tcPr>
            <w:tcW w:type="dxa" w:w="6066"/>
          </w:tcPr>
          <w:p>
            <w:pPr>
              <w:jc w:val="both"/>
            </w:pPr>
            <w:r/>
            <w:r>
              <w:rPr>
                <w:sz w:val="19"/>
              </w:rPr>
              <w:t>Verifikasi invoice (three-way match) dan pembayaran kepada principal.</w:t>
            </w:r>
          </w:p>
        </w:tc>
        <w:tc>
          <w:tcPr>
            <w:tcW w:type="dxa" w:w="1984"/>
          </w:tcPr>
          <w:p>
            <w:pPr>
              <w:jc w:val="both"/>
            </w:pPr>
            <w:r/>
            <w:r>
              <w:rPr>
                <w:sz w:val="19"/>
              </w:rPr>
              <w:t>SAP — SES</w:t>
            </w:r>
          </w:p>
        </w:tc>
      </w:tr>
    </w:tbl>
    <w:p>
      <w:pPr>
        <w:spacing w:after="40"/>
      </w:pPr>
    </w:p>
    <w:p>
      <w:pPr>
        <w:pStyle w:val="Heading2"/>
      </w:pPr>
      <w:r>
        <w:t>2.2 Flow B — Pembelian EBR kepada SES dan GR di Toko</w:t>
      </w:r>
    </w:p>
    <w:tbl>
      <w:tblPr>
        <w:tblStyle w:val="TableGrid"/>
        <w:tblW w:type="auto" w:w="0"/>
        <w:jc w:val="center"/>
        <w:tblLook w:firstColumn="1" w:firstRow="1" w:lastColumn="0" w:lastRow="0" w:noHBand="0" w:noVBand="1" w:val="04A0"/>
      </w:tblPr>
      <w:tblGrid>
        <w:gridCol w:w="3211"/>
        <w:gridCol w:w="3211"/>
        <w:gridCol w:w="3211"/>
      </w:tblGrid>
      <w:tr>
        <w:tc>
          <w:tcPr>
            <w:tcW w:type="dxa" w:w="1134"/>
            <w:shd w:val="clear" w:fill="1A2332"/>
          </w:tcPr>
          <w:p>
            <w:r/>
            <w:r>
              <w:rPr>
                <w:b/>
                <w:color w:val="FFFFFF"/>
                <w:sz w:val="19"/>
              </w:rPr>
              <w:t>Langkah</w:t>
            </w:r>
          </w:p>
        </w:tc>
        <w:tc>
          <w:tcPr>
            <w:tcW w:type="dxa" w:w="6066"/>
            <w:shd w:val="clear" w:fill="1A2332"/>
          </w:tcPr>
          <w:p>
            <w:r/>
            <w:r>
              <w:rPr>
                <w:b/>
                <w:color w:val="FFFFFF"/>
                <w:sz w:val="19"/>
              </w:rPr>
              <w:t>Aktivitas</w:t>
            </w:r>
          </w:p>
        </w:tc>
        <w:tc>
          <w:tcPr>
            <w:tcW w:type="dxa" w:w="1984"/>
            <w:shd w:val="clear" w:fill="1A2332"/>
          </w:tcPr>
          <w:p>
            <w:r/>
            <w:r>
              <w:rPr>
                <w:b/>
                <w:color w:val="FFFFFF"/>
                <w:sz w:val="19"/>
              </w:rPr>
              <w:t>Sistem</w:t>
            </w:r>
          </w:p>
        </w:tc>
      </w:tr>
      <w:tr>
        <w:tc>
          <w:tcPr>
            <w:tcW w:type="dxa" w:w="1134"/>
          </w:tcPr>
          <w:p>
            <w:pPr>
              <w:jc w:val="both"/>
            </w:pPr>
            <w:r/>
            <w:r>
              <w:rPr>
                <w:sz w:val="19"/>
              </w:rPr>
              <w:t>B1</w:t>
            </w:r>
          </w:p>
        </w:tc>
        <w:tc>
          <w:tcPr>
            <w:tcW w:type="dxa" w:w="6066"/>
          </w:tcPr>
          <w:p>
            <w:pPr>
              <w:jc w:val="both"/>
            </w:pPr>
            <w:r/>
            <w:r>
              <w:rPr>
                <w:sz w:val="19"/>
              </w:rPr>
              <w:t>EBR membuat PO pembelian produk Levi's kepada SES (intercompany B2B).</w:t>
            </w:r>
          </w:p>
        </w:tc>
        <w:tc>
          <w:tcPr>
            <w:tcW w:type="dxa" w:w="1984"/>
          </w:tcPr>
          <w:p>
            <w:pPr>
              <w:jc w:val="both"/>
            </w:pPr>
            <w:r/>
            <w:r>
              <w:rPr>
                <w:sz w:val="19"/>
              </w:rPr>
              <w:t>Odoo — EBR</w:t>
            </w:r>
          </w:p>
        </w:tc>
      </w:tr>
      <w:tr>
        <w:tc>
          <w:tcPr>
            <w:tcW w:type="dxa" w:w="1134"/>
          </w:tcPr>
          <w:p>
            <w:pPr>
              <w:jc w:val="both"/>
            </w:pPr>
            <w:r/>
            <w:r>
              <w:rPr>
                <w:sz w:val="19"/>
              </w:rPr>
              <w:t>B2</w:t>
            </w:r>
          </w:p>
        </w:tc>
        <w:tc>
          <w:tcPr>
            <w:tcW w:type="dxa" w:w="6066"/>
          </w:tcPr>
          <w:p>
            <w:pPr>
              <w:jc w:val="both"/>
            </w:pPr>
            <w:r/>
            <w:r>
              <w:rPr>
                <w:sz w:val="19"/>
              </w:rPr>
              <w:t>SES menerima PO, membuat SO dan Delivery, mengirim barang ke toko.</w:t>
            </w:r>
          </w:p>
        </w:tc>
        <w:tc>
          <w:tcPr>
            <w:tcW w:type="dxa" w:w="1984"/>
          </w:tcPr>
          <w:p>
            <w:pPr>
              <w:jc w:val="both"/>
            </w:pPr>
            <w:r/>
            <w:r>
              <w:rPr>
                <w:sz w:val="19"/>
              </w:rPr>
              <w:t>SAP — SES</w:t>
            </w:r>
          </w:p>
        </w:tc>
      </w:tr>
      <w:tr>
        <w:tc>
          <w:tcPr>
            <w:tcW w:type="dxa" w:w="1134"/>
          </w:tcPr>
          <w:p>
            <w:pPr>
              <w:jc w:val="both"/>
            </w:pPr>
            <w:r/>
            <w:r>
              <w:rPr>
                <w:sz w:val="19"/>
              </w:rPr>
              <w:t>B3</w:t>
            </w:r>
          </w:p>
        </w:tc>
        <w:tc>
          <w:tcPr>
            <w:tcW w:type="dxa" w:w="6066"/>
          </w:tcPr>
          <w:p>
            <w:pPr>
              <w:jc w:val="both"/>
            </w:pPr>
            <w:r/>
            <w:r>
              <w:rPr>
                <w:sz w:val="19"/>
              </w:rPr>
              <w:t>Toko menerima barang; Goods Receipt dilakukan pada POS principal.</w:t>
            </w:r>
          </w:p>
        </w:tc>
        <w:tc>
          <w:tcPr>
            <w:tcW w:type="dxa" w:w="1984"/>
          </w:tcPr>
          <w:p>
            <w:pPr>
              <w:jc w:val="both"/>
            </w:pPr>
            <w:r/>
            <w:r>
              <w:rPr>
                <w:sz w:val="19"/>
              </w:rPr>
              <w:t>POS Principal</w:t>
            </w:r>
          </w:p>
        </w:tc>
      </w:tr>
      <w:tr>
        <w:tc>
          <w:tcPr>
            <w:tcW w:type="dxa" w:w="1134"/>
          </w:tcPr>
          <w:p>
            <w:pPr>
              <w:jc w:val="both"/>
            </w:pPr>
            <w:r/>
            <w:r>
              <w:rPr>
                <w:sz w:val="19"/>
              </w:rPr>
              <w:t>B4</w:t>
            </w:r>
          </w:p>
        </w:tc>
        <w:tc>
          <w:tcPr>
            <w:tcW w:type="dxa" w:w="6066"/>
          </w:tcPr>
          <w:p>
            <w:pPr>
              <w:jc w:val="both"/>
            </w:pPr>
            <w:r/>
            <w:r>
              <w:rPr>
                <w:sz w:val="19"/>
              </w:rPr>
              <w:t>Data GR toko dimirror ke Odoo untuk validasi receipt atas PO EBR.</w:t>
            </w:r>
          </w:p>
        </w:tc>
        <w:tc>
          <w:tcPr>
            <w:tcW w:type="dxa" w:w="1984"/>
          </w:tcPr>
          <w:p>
            <w:pPr>
              <w:jc w:val="both"/>
            </w:pPr>
            <w:r/>
            <w:r>
              <w:rPr>
                <w:sz w:val="19"/>
              </w:rPr>
              <w:t>Mirroring</w:t>
            </w:r>
          </w:p>
        </w:tc>
      </w:tr>
      <w:tr>
        <w:tc>
          <w:tcPr>
            <w:tcW w:type="dxa" w:w="1134"/>
          </w:tcPr>
          <w:p>
            <w:pPr>
              <w:jc w:val="both"/>
            </w:pPr>
            <w:r/>
            <w:r>
              <w:rPr>
                <w:sz w:val="19"/>
              </w:rPr>
              <w:t>B5</w:t>
            </w:r>
          </w:p>
        </w:tc>
        <w:tc>
          <w:tcPr>
            <w:tcW w:type="dxa" w:w="6066"/>
          </w:tcPr>
          <w:p>
            <w:pPr>
              <w:jc w:val="both"/>
            </w:pPr>
            <w:r/>
            <w:r>
              <w:rPr>
                <w:sz w:val="19"/>
              </w:rPr>
              <w:t>Vendor bill SES dicatat, dicocokkan dengan PO dan GR, lalu dibayar.</w:t>
            </w:r>
          </w:p>
        </w:tc>
        <w:tc>
          <w:tcPr>
            <w:tcW w:type="dxa" w:w="1984"/>
          </w:tcPr>
          <w:p>
            <w:pPr>
              <w:jc w:val="both"/>
            </w:pPr>
            <w:r/>
            <w:r>
              <w:rPr>
                <w:sz w:val="19"/>
              </w:rPr>
              <w:t>Odoo — EBR</w:t>
            </w:r>
          </w:p>
        </w:tc>
      </w:tr>
    </w:tbl>
    <w:p>
      <w:pPr>
        <w:spacing w:after="40"/>
      </w:pPr>
    </w:p>
    <w:p>
      <w:pPr>
        <w:pStyle w:val="Heading2"/>
      </w:pPr>
      <w:r>
        <w:t>2.3 Flow C — Operasional Toko dan Mirroring ke Odoo</w:t>
      </w:r>
    </w:p>
    <w:tbl>
      <w:tblPr>
        <w:tblStyle w:val="TableGrid"/>
        <w:tblW w:type="auto" w:w="0"/>
        <w:jc w:val="center"/>
        <w:tblLook w:firstColumn="1" w:firstRow="1" w:lastColumn="0" w:lastRow="0" w:noHBand="0" w:noVBand="1" w:val="04A0"/>
      </w:tblPr>
      <w:tblGrid>
        <w:gridCol w:w="3211"/>
        <w:gridCol w:w="3211"/>
        <w:gridCol w:w="3211"/>
      </w:tblGrid>
      <w:tr>
        <w:tc>
          <w:tcPr>
            <w:tcW w:type="dxa" w:w="1134"/>
            <w:shd w:val="clear" w:fill="1A2332"/>
          </w:tcPr>
          <w:p>
            <w:r/>
            <w:r>
              <w:rPr>
                <w:b/>
                <w:color w:val="FFFFFF"/>
                <w:sz w:val="19"/>
              </w:rPr>
              <w:t>Langkah</w:t>
            </w:r>
          </w:p>
        </w:tc>
        <w:tc>
          <w:tcPr>
            <w:tcW w:type="dxa" w:w="6066"/>
            <w:shd w:val="clear" w:fill="1A2332"/>
          </w:tcPr>
          <w:p>
            <w:r/>
            <w:r>
              <w:rPr>
                <w:b/>
                <w:color w:val="FFFFFF"/>
                <w:sz w:val="19"/>
              </w:rPr>
              <w:t>Aktivitas</w:t>
            </w:r>
          </w:p>
        </w:tc>
        <w:tc>
          <w:tcPr>
            <w:tcW w:type="dxa" w:w="1984"/>
            <w:shd w:val="clear" w:fill="1A2332"/>
          </w:tcPr>
          <w:p>
            <w:r/>
            <w:r>
              <w:rPr>
                <w:b/>
                <w:color w:val="FFFFFF"/>
                <w:sz w:val="19"/>
              </w:rPr>
              <w:t>Sistem</w:t>
            </w:r>
          </w:p>
        </w:tc>
      </w:tr>
      <w:tr>
        <w:tc>
          <w:tcPr>
            <w:tcW w:type="dxa" w:w="1134"/>
          </w:tcPr>
          <w:p>
            <w:pPr>
              <w:jc w:val="both"/>
            </w:pPr>
            <w:r/>
            <w:r>
              <w:rPr>
                <w:sz w:val="19"/>
              </w:rPr>
              <w:t>C1</w:t>
            </w:r>
          </w:p>
        </w:tc>
        <w:tc>
          <w:tcPr>
            <w:tcW w:type="dxa" w:w="6066"/>
          </w:tcPr>
          <w:p>
            <w:pPr>
              <w:jc w:val="both"/>
            </w:pPr>
            <w:r/>
            <w:r>
              <w:rPr>
                <w:sz w:val="19"/>
              </w:rPr>
              <w:t>Transaksi di POS: GR toko, penjualan &amp; tender, mutasi stok, on-hand.</w:t>
            </w:r>
          </w:p>
        </w:tc>
        <w:tc>
          <w:tcPr>
            <w:tcW w:type="dxa" w:w="1984"/>
          </w:tcPr>
          <w:p>
            <w:pPr>
              <w:jc w:val="both"/>
            </w:pPr>
            <w:r/>
            <w:r>
              <w:rPr>
                <w:sz w:val="19"/>
              </w:rPr>
              <w:t>POS Principal</w:t>
            </w:r>
          </w:p>
        </w:tc>
      </w:tr>
      <w:tr>
        <w:tc>
          <w:tcPr>
            <w:tcW w:type="dxa" w:w="1134"/>
          </w:tcPr>
          <w:p>
            <w:pPr>
              <w:jc w:val="both"/>
            </w:pPr>
            <w:r/>
            <w:r>
              <w:rPr>
                <w:sz w:val="19"/>
              </w:rPr>
              <w:t>C2</w:t>
            </w:r>
          </w:p>
        </w:tc>
        <w:tc>
          <w:tcPr>
            <w:tcW w:type="dxa" w:w="6066"/>
          </w:tcPr>
          <w:p>
            <w:pPr>
              <w:jc w:val="both"/>
            </w:pPr>
            <w:r/>
            <w:r>
              <w:rPr>
                <w:sz w:val="19"/>
              </w:rPr>
              <w:t>Ekspor report standar principal per periode (Excel/CSV).</w:t>
            </w:r>
          </w:p>
        </w:tc>
        <w:tc>
          <w:tcPr>
            <w:tcW w:type="dxa" w:w="1984"/>
          </w:tcPr>
          <w:p>
            <w:pPr>
              <w:jc w:val="both"/>
            </w:pPr>
            <w:r/>
            <w:r>
              <w:rPr>
                <w:sz w:val="19"/>
              </w:rPr>
              <w:t>Export</w:t>
            </w:r>
          </w:p>
        </w:tc>
      </w:tr>
      <w:tr>
        <w:tc>
          <w:tcPr>
            <w:tcW w:type="dxa" w:w="1134"/>
          </w:tcPr>
          <w:p>
            <w:pPr>
              <w:jc w:val="both"/>
            </w:pPr>
            <w:r/>
            <w:r>
              <w:rPr>
                <w:sz w:val="19"/>
              </w:rPr>
              <w:t>C3</w:t>
            </w:r>
          </w:p>
        </w:tc>
        <w:tc>
          <w:tcPr>
            <w:tcW w:type="dxa" w:w="6066"/>
          </w:tcPr>
          <w:p>
            <w:pPr>
              <w:jc w:val="both"/>
            </w:pPr>
            <w:r/>
            <w:r>
              <w:rPr>
                <w:sz w:val="19"/>
              </w:rPr>
              <w:t>Transfer file: Phase 1 unggah manual; Phase 2 FTP/SFTP Erajaya.</w:t>
            </w:r>
          </w:p>
        </w:tc>
        <w:tc>
          <w:tcPr>
            <w:tcW w:type="dxa" w:w="1984"/>
          </w:tcPr>
          <w:p>
            <w:pPr>
              <w:jc w:val="both"/>
            </w:pPr>
            <w:r/>
            <w:r>
              <w:rPr>
                <w:sz w:val="19"/>
              </w:rPr>
              <w:t>File / SFTP</w:t>
            </w:r>
          </w:p>
        </w:tc>
      </w:tr>
      <w:tr>
        <w:tc>
          <w:tcPr>
            <w:tcW w:type="dxa" w:w="1134"/>
          </w:tcPr>
          <w:p>
            <w:pPr>
              <w:jc w:val="both"/>
            </w:pPr>
            <w:r/>
            <w:r>
              <w:rPr>
                <w:sz w:val="19"/>
              </w:rPr>
              <w:t>C4</w:t>
            </w:r>
          </w:p>
        </w:tc>
        <w:tc>
          <w:tcPr>
            <w:tcW w:type="dxa" w:w="6066"/>
          </w:tcPr>
          <w:p>
            <w:pPr>
              <w:jc w:val="both"/>
            </w:pPr>
            <w:r/>
            <w:r>
              <w:rPr>
                <w:sz w:val="19"/>
              </w:rPr>
              <w:t>Adapter import memetakan report ke dokumen Odoo.</w:t>
            </w:r>
          </w:p>
        </w:tc>
        <w:tc>
          <w:tcPr>
            <w:tcW w:type="dxa" w:w="1984"/>
          </w:tcPr>
          <w:p>
            <w:pPr>
              <w:jc w:val="both"/>
            </w:pPr>
            <w:r/>
            <w:r>
              <w:rPr>
                <w:sz w:val="19"/>
              </w:rPr>
              <w:t>Odoo — EBR</w:t>
            </w:r>
          </w:p>
        </w:tc>
      </w:tr>
      <w:tr>
        <w:tc>
          <w:tcPr>
            <w:tcW w:type="dxa" w:w="1134"/>
          </w:tcPr>
          <w:p>
            <w:pPr>
              <w:jc w:val="both"/>
            </w:pPr>
            <w:r/>
            <w:r>
              <w:rPr>
                <w:sz w:val="19"/>
              </w:rPr>
              <w:t>C5</w:t>
            </w:r>
          </w:p>
        </w:tc>
        <w:tc>
          <w:tcPr>
            <w:tcW w:type="dxa" w:w="6066"/>
          </w:tcPr>
          <w:p>
            <w:pPr>
              <w:jc w:val="both"/>
            </w:pPr>
            <w:r/>
            <w:r>
              <w:rPr>
                <w:sz w:val="19"/>
              </w:rPr>
              <w:t>Posting jurnal otomatis dan rekonsiliasi tender vs bank.</w:t>
            </w:r>
          </w:p>
        </w:tc>
        <w:tc>
          <w:tcPr>
            <w:tcW w:type="dxa" w:w="1984"/>
          </w:tcPr>
          <w:p>
            <w:pPr>
              <w:jc w:val="both"/>
            </w:pPr>
            <w:r/>
            <w:r>
              <w:rPr>
                <w:sz w:val="19"/>
              </w:rPr>
              <w:t>Odoo — EBR</w:t>
            </w:r>
          </w:p>
        </w:tc>
      </w:tr>
    </w:tbl>
    <w:p>
      <w:pPr>
        <w:spacing w:after="40"/>
      </w:pPr>
    </w:p>
    <w:p>
      <w:r>
        <w:br w:type="page"/>
      </w:r>
    </w:p>
    <w:p>
      <w:pPr>
        <w:pStyle w:val="Heading1"/>
      </w:pPr>
      <w:r>
        <w:t>3. Kebutuhan Fungsional</w:t>
      </w:r>
    </w:p>
    <w:p>
      <w:pPr>
        <w:spacing w:after="120"/>
        <w:jc w:val="both"/>
      </w:pPr>
      <w:r>
        <w:rPr>
          <w:b w:val="0"/>
          <w:i w:val="0"/>
        </w:rPr>
        <w:t>Kebutuhan fungsional berikut menjadi dasar konfigurasi, pengembangan, dan penyusunan skenario UAT. Prioritas dinyatakan sebagai M (Mandatory — wajib pada go-live) atau P2 (Phase 2 / menunggu keputusan). Kolom ID dipakai sebagai kunci traceability pada dokumen UAT.</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907"/>
            <w:shd w:val="clear" w:fill="1A2332"/>
          </w:tcPr>
          <w:p>
            <w:r/>
            <w:r>
              <w:rPr>
                <w:b/>
                <w:color w:val="FFFFFF"/>
                <w:sz w:val="19"/>
              </w:rPr>
              <w:t>ID</w:t>
            </w:r>
          </w:p>
        </w:tc>
        <w:tc>
          <w:tcPr>
            <w:tcW w:type="dxa" w:w="2268"/>
            <w:shd w:val="clear" w:fill="1A2332"/>
          </w:tcPr>
          <w:p>
            <w:r/>
            <w:r>
              <w:rPr>
                <w:b/>
                <w:color w:val="FFFFFF"/>
                <w:sz w:val="19"/>
              </w:rPr>
              <w:t>Kebutuhan Fungsional</w:t>
            </w:r>
          </w:p>
        </w:tc>
        <w:tc>
          <w:tcPr>
            <w:tcW w:type="dxa" w:w="4876"/>
            <w:shd w:val="clear" w:fill="1A2332"/>
          </w:tcPr>
          <w:p>
            <w:r/>
            <w:r>
              <w:rPr>
                <w:b/>
                <w:color w:val="FFFFFF"/>
                <w:sz w:val="19"/>
              </w:rPr>
              <w:t>Deskripsi</w:t>
            </w:r>
          </w:p>
        </w:tc>
        <w:tc>
          <w:tcPr>
            <w:tcW w:type="dxa" w:w="1134"/>
            <w:shd w:val="clear" w:fill="1A2332"/>
          </w:tcPr>
          <w:p>
            <w:r/>
            <w:r>
              <w:rPr>
                <w:b/>
                <w:color w:val="FFFFFF"/>
                <w:sz w:val="19"/>
              </w:rPr>
              <w:t>Prioritas</w:t>
            </w:r>
          </w:p>
        </w:tc>
      </w:tr>
      <w:tr>
        <w:tc>
          <w:tcPr>
            <w:tcW w:type="dxa" w:w="907"/>
          </w:tcPr>
          <w:p>
            <w:pPr>
              <w:jc w:val="both"/>
            </w:pPr>
            <w:r/>
            <w:r>
              <w:rPr>
                <w:sz w:val="19"/>
              </w:rPr>
              <w:t>FR-01</w:t>
            </w:r>
          </w:p>
        </w:tc>
        <w:tc>
          <w:tcPr>
            <w:tcW w:type="dxa" w:w="2268"/>
          </w:tcPr>
          <w:p>
            <w:pPr>
              <w:jc w:val="both"/>
            </w:pPr>
            <w:r/>
            <w:r>
              <w:rPr>
                <w:sz w:val="19"/>
              </w:rPr>
              <w:t>Purchase Order EBR → SES</w:t>
            </w:r>
          </w:p>
        </w:tc>
        <w:tc>
          <w:tcPr>
            <w:tcW w:type="dxa" w:w="4876"/>
          </w:tcPr>
          <w:p>
            <w:pPr>
              <w:jc w:val="both"/>
            </w:pPr>
            <w:r/>
            <w:r>
              <w:rPr>
                <w:sz w:val="19"/>
              </w:rPr>
              <w:t>Pengguna EBR membuat, mengubah, dan mengonfirmasi PO kepada SES dengan approval berjenjang sesuai matriks otorisasi (custom_approval_engine).</w:t>
            </w:r>
          </w:p>
        </w:tc>
        <w:tc>
          <w:tcPr>
            <w:tcW w:type="dxa" w:w="1134"/>
          </w:tcPr>
          <w:p>
            <w:pPr>
              <w:jc w:val="both"/>
            </w:pPr>
            <w:r/>
            <w:r>
              <w:rPr>
                <w:sz w:val="19"/>
              </w:rPr>
              <w:t>M</w:t>
            </w:r>
          </w:p>
        </w:tc>
      </w:tr>
      <w:tr>
        <w:tc>
          <w:tcPr>
            <w:tcW w:type="dxa" w:w="907"/>
          </w:tcPr>
          <w:p>
            <w:pPr>
              <w:jc w:val="both"/>
            </w:pPr>
            <w:r/>
            <w:r>
              <w:rPr>
                <w:sz w:val="19"/>
              </w:rPr>
              <w:t>FR-02</w:t>
            </w:r>
          </w:p>
        </w:tc>
        <w:tc>
          <w:tcPr>
            <w:tcW w:type="dxa" w:w="2268"/>
          </w:tcPr>
          <w:p>
            <w:pPr>
              <w:jc w:val="both"/>
            </w:pPr>
            <w:r/>
            <w:r>
              <w:rPr>
                <w:sz w:val="19"/>
              </w:rPr>
              <w:t>Mirror GR toko ke Odoo</w:t>
            </w:r>
          </w:p>
        </w:tc>
        <w:tc>
          <w:tcPr>
            <w:tcW w:type="dxa" w:w="4876"/>
          </w:tcPr>
          <w:p>
            <w:pPr>
              <w:jc w:val="both"/>
            </w:pPr>
            <w:r/>
            <w:r>
              <w:rPr>
                <w:sz w:val="19"/>
              </w:rPr>
              <w:t>GR di POS principal direplikasi ke Odoo sebagai receipt atas PO EBR, menambah stok warehouse toko dan menjadi dasar pencocokan vendor bill.</w:t>
            </w:r>
          </w:p>
        </w:tc>
        <w:tc>
          <w:tcPr>
            <w:tcW w:type="dxa" w:w="1134"/>
          </w:tcPr>
          <w:p>
            <w:pPr>
              <w:jc w:val="both"/>
            </w:pPr>
            <w:r/>
            <w:r>
              <w:rPr>
                <w:sz w:val="19"/>
              </w:rPr>
              <w:t>M</w:t>
            </w:r>
          </w:p>
        </w:tc>
      </w:tr>
      <w:tr>
        <w:tc>
          <w:tcPr>
            <w:tcW w:type="dxa" w:w="907"/>
          </w:tcPr>
          <w:p>
            <w:pPr>
              <w:jc w:val="both"/>
            </w:pPr>
            <w:r/>
            <w:r>
              <w:rPr>
                <w:sz w:val="19"/>
              </w:rPr>
              <w:t>FR-03</w:t>
            </w:r>
          </w:p>
        </w:tc>
        <w:tc>
          <w:tcPr>
            <w:tcW w:type="dxa" w:w="2268"/>
          </w:tcPr>
          <w:p>
            <w:pPr>
              <w:jc w:val="both"/>
            </w:pPr>
            <w:r/>
            <w:r>
              <w:rPr>
                <w:sz w:val="19"/>
              </w:rPr>
              <w:t>Vendor bill &amp; pembayaran SES</w:t>
            </w:r>
          </w:p>
        </w:tc>
        <w:tc>
          <w:tcPr>
            <w:tcW w:type="dxa" w:w="4876"/>
          </w:tcPr>
          <w:p>
            <w:pPr>
              <w:jc w:val="both"/>
            </w:pPr>
            <w:r/>
            <w:r>
              <w:rPr>
                <w:sz w:val="19"/>
              </w:rPr>
              <w:t>Vendor bill SES dicatat dan dicocokkan terhadap PO dan GR (three-way match) sebelum pembayaran diproses.</w:t>
            </w:r>
          </w:p>
        </w:tc>
        <w:tc>
          <w:tcPr>
            <w:tcW w:type="dxa" w:w="1134"/>
          </w:tcPr>
          <w:p>
            <w:pPr>
              <w:jc w:val="both"/>
            </w:pPr>
            <w:r/>
            <w:r>
              <w:rPr>
                <w:sz w:val="19"/>
              </w:rPr>
              <w:t>M</w:t>
            </w:r>
          </w:p>
        </w:tc>
      </w:tr>
      <w:tr>
        <w:tc>
          <w:tcPr>
            <w:tcW w:type="dxa" w:w="907"/>
          </w:tcPr>
          <w:p>
            <w:pPr>
              <w:jc w:val="both"/>
            </w:pPr>
            <w:r/>
            <w:r>
              <w:rPr>
                <w:sz w:val="19"/>
              </w:rPr>
              <w:t>FR-04</w:t>
            </w:r>
          </w:p>
        </w:tc>
        <w:tc>
          <w:tcPr>
            <w:tcW w:type="dxa" w:w="2268"/>
          </w:tcPr>
          <w:p>
            <w:pPr>
              <w:jc w:val="both"/>
            </w:pPr>
            <w:r/>
            <w:r>
              <w:rPr>
                <w:sz w:val="19"/>
              </w:rPr>
              <w:t>Mirror penjualan POS (X24DN)</w:t>
            </w:r>
          </w:p>
        </w:tc>
        <w:tc>
          <w:tcPr>
            <w:tcW w:type="dxa" w:w="4876"/>
          </w:tcPr>
          <w:p>
            <w:pPr>
              <w:jc w:val="both"/>
            </w:pPr>
            <w:r/>
            <w:r>
              <w:rPr>
                <w:sz w:val="19"/>
              </w:rPr>
              <w:t>Detail penjualan harian per toko diimpor membentuk jurnal penjualan dan HPP. Representasi pos.order, kedalaman histori, dan tax mapping menunggu keputusan Phase 5; executor menahan posting hingga diaktifkan.</w:t>
            </w:r>
          </w:p>
        </w:tc>
        <w:tc>
          <w:tcPr>
            <w:tcW w:type="dxa" w:w="1134"/>
          </w:tcPr>
          <w:p>
            <w:pPr>
              <w:jc w:val="both"/>
            </w:pPr>
            <w:r/>
            <w:r>
              <w:rPr>
                <w:sz w:val="19"/>
              </w:rPr>
              <w:t>P2</w:t>
            </w:r>
          </w:p>
        </w:tc>
      </w:tr>
      <w:tr>
        <w:tc>
          <w:tcPr>
            <w:tcW w:type="dxa" w:w="907"/>
          </w:tcPr>
          <w:p>
            <w:pPr>
              <w:jc w:val="both"/>
            </w:pPr>
            <w:r/>
            <w:r>
              <w:rPr>
                <w:sz w:val="19"/>
              </w:rPr>
              <w:t>FR-05</w:t>
            </w:r>
          </w:p>
        </w:tc>
        <w:tc>
          <w:tcPr>
            <w:tcW w:type="dxa" w:w="2268"/>
          </w:tcPr>
          <w:p>
            <w:pPr>
              <w:jc w:val="both"/>
            </w:pPr>
            <w:r/>
            <w:r>
              <w:rPr>
                <w:sz w:val="19"/>
              </w:rPr>
              <w:t>Mirror tender &amp; settlement (X70D/X70T)</w:t>
            </w:r>
          </w:p>
        </w:tc>
        <w:tc>
          <w:tcPr>
            <w:tcW w:type="dxa" w:w="4876"/>
          </w:tcPr>
          <w:p>
            <w:pPr>
              <w:jc w:val="both"/>
            </w:pPr>
            <w:r/>
            <w:r>
              <w:rPr>
                <w:sz w:val="19"/>
              </w:rPr>
              <w:t>Rincian metode pembayaran dan settlement diimpor sebagai payment register untuk rekonsiliasi terhadap penerimaan bank per acquirer.</w:t>
            </w:r>
          </w:p>
        </w:tc>
        <w:tc>
          <w:tcPr>
            <w:tcW w:type="dxa" w:w="1134"/>
          </w:tcPr>
          <w:p>
            <w:pPr>
              <w:jc w:val="both"/>
            </w:pPr>
            <w:r/>
            <w:r>
              <w:rPr>
                <w:sz w:val="19"/>
              </w:rPr>
              <w:t>P2</w:t>
            </w:r>
          </w:p>
        </w:tc>
      </w:tr>
      <w:tr>
        <w:tc>
          <w:tcPr>
            <w:tcW w:type="dxa" w:w="907"/>
          </w:tcPr>
          <w:p>
            <w:pPr>
              <w:jc w:val="both"/>
            </w:pPr>
            <w:r/>
            <w:r>
              <w:rPr>
                <w:sz w:val="19"/>
              </w:rPr>
              <w:t>FR-06</w:t>
            </w:r>
          </w:p>
        </w:tc>
        <w:tc>
          <w:tcPr>
            <w:tcW w:type="dxa" w:w="2268"/>
          </w:tcPr>
          <w:p>
            <w:pPr>
              <w:jc w:val="both"/>
            </w:pPr>
            <w:r/>
            <w:r>
              <w:rPr>
                <w:sz w:val="19"/>
              </w:rPr>
              <w:t>Mirror mutasi &amp; on-hand (X32P/X20)</w:t>
            </w:r>
          </w:p>
        </w:tc>
        <w:tc>
          <w:tcPr>
            <w:tcW w:type="dxa" w:w="4876"/>
          </w:tcPr>
          <w:p>
            <w:pPr>
              <w:jc w:val="both"/>
            </w:pPr>
            <w:r/>
            <w:r>
              <w:rPr>
                <w:sz w:val="19"/>
              </w:rPr>
              <w:t>Mutasi persediaan bernilai direplikasi sebagai stock move; X20 untuk saldo awal (one-shot) dan validasi stok periodik.</w:t>
            </w:r>
          </w:p>
        </w:tc>
        <w:tc>
          <w:tcPr>
            <w:tcW w:type="dxa" w:w="1134"/>
          </w:tcPr>
          <w:p>
            <w:pPr>
              <w:jc w:val="both"/>
            </w:pPr>
            <w:r/>
            <w:r>
              <w:rPr>
                <w:sz w:val="19"/>
              </w:rPr>
              <w:t>M</w:t>
            </w:r>
          </w:p>
        </w:tc>
      </w:tr>
      <w:tr>
        <w:tc>
          <w:tcPr>
            <w:tcW w:type="dxa" w:w="907"/>
          </w:tcPr>
          <w:p>
            <w:pPr>
              <w:jc w:val="both"/>
            </w:pPr>
            <w:r/>
            <w:r>
              <w:rPr>
                <w:sz w:val="19"/>
              </w:rPr>
              <w:t>FR-07</w:t>
            </w:r>
          </w:p>
        </w:tc>
        <w:tc>
          <w:tcPr>
            <w:tcW w:type="dxa" w:w="2268"/>
          </w:tcPr>
          <w:p>
            <w:pPr>
              <w:jc w:val="both"/>
            </w:pPr>
            <w:r/>
            <w:r>
              <w:rPr>
                <w:sz w:val="19"/>
              </w:rPr>
              <w:t>Import master data</w:t>
            </w:r>
          </w:p>
        </w:tc>
        <w:tc>
          <w:tcPr>
            <w:tcW w:type="dxa" w:w="4876"/>
          </w:tcPr>
          <w:p>
            <w:pPr>
              <w:jc w:val="both"/>
            </w:pPr>
            <w:r/>
            <w:r>
              <w:rPr>
                <w:sz w:val="19"/>
              </w:rPr>
              <w:t>Master produk X101 (artikel, varian size/inseam, barcode, kategori, harga), CoA, company detail, dan store master diimpor melalui profil import.</w:t>
            </w:r>
          </w:p>
        </w:tc>
        <w:tc>
          <w:tcPr>
            <w:tcW w:type="dxa" w:w="1134"/>
          </w:tcPr>
          <w:p>
            <w:pPr>
              <w:jc w:val="both"/>
            </w:pPr>
            <w:r/>
            <w:r>
              <w:rPr>
                <w:sz w:val="19"/>
              </w:rPr>
              <w:t>M</w:t>
            </w:r>
          </w:p>
        </w:tc>
      </w:tr>
      <w:tr>
        <w:tc>
          <w:tcPr>
            <w:tcW w:type="dxa" w:w="907"/>
          </w:tcPr>
          <w:p>
            <w:pPr>
              <w:jc w:val="both"/>
            </w:pPr>
            <w:r/>
            <w:r>
              <w:rPr>
                <w:sz w:val="19"/>
              </w:rPr>
              <w:t>FR-08</w:t>
            </w:r>
          </w:p>
        </w:tc>
        <w:tc>
          <w:tcPr>
            <w:tcW w:type="dxa" w:w="2268"/>
          </w:tcPr>
          <w:p>
            <w:pPr>
              <w:jc w:val="both"/>
            </w:pPr>
            <w:r/>
            <w:r>
              <w:rPr>
                <w:sz w:val="19"/>
              </w:rPr>
              <w:t>Wizard import dengan dry-run</w:t>
            </w:r>
          </w:p>
        </w:tc>
        <w:tc>
          <w:tcPr>
            <w:tcW w:type="dxa" w:w="4876"/>
          </w:tcPr>
          <w:p>
            <w:pPr>
              <w:jc w:val="both"/>
            </w:pPr>
            <w:r/>
            <w:r>
              <w:rPr>
                <w:sz w:val="19"/>
              </w:rPr>
              <w:t>Setiap unggah menampilkan pratinjau hasil parsing sebelum commit; file besar diproses asinkron via queue_job.</w:t>
            </w:r>
          </w:p>
        </w:tc>
        <w:tc>
          <w:tcPr>
            <w:tcW w:type="dxa" w:w="1134"/>
          </w:tcPr>
          <w:p>
            <w:pPr>
              <w:jc w:val="both"/>
            </w:pPr>
            <w:r/>
            <w:r>
              <w:rPr>
                <w:sz w:val="19"/>
              </w:rPr>
              <w:t>M</w:t>
            </w:r>
          </w:p>
        </w:tc>
      </w:tr>
      <w:tr>
        <w:tc>
          <w:tcPr>
            <w:tcW w:type="dxa" w:w="907"/>
          </w:tcPr>
          <w:p>
            <w:pPr>
              <w:jc w:val="both"/>
            </w:pPr>
            <w:r/>
            <w:r>
              <w:rPr>
                <w:sz w:val="19"/>
              </w:rPr>
              <w:t>FR-09</w:t>
            </w:r>
          </w:p>
        </w:tc>
        <w:tc>
          <w:tcPr>
            <w:tcW w:type="dxa" w:w="2268"/>
          </w:tcPr>
          <w:p>
            <w:pPr>
              <w:jc w:val="both"/>
            </w:pPr>
            <w:r/>
            <w:r>
              <w:rPr>
                <w:sz w:val="19"/>
              </w:rPr>
              <w:t>Deduplikasi &amp; idempotensi</w:t>
            </w:r>
          </w:p>
        </w:tc>
        <w:tc>
          <w:tcPr>
            <w:tcW w:type="dxa" w:w="4876"/>
          </w:tcPr>
          <w:p>
            <w:pPr>
              <w:jc w:val="both"/>
            </w:pPr>
            <w:r/>
            <w:r>
              <w:rPr>
                <w:sz w:val="19"/>
              </w:rPr>
              <w:t>File identik (SHA256) ditolak saat diimpor ulang; re-import record menghasilkan update via external ID, bukan duplikasi.</w:t>
            </w:r>
          </w:p>
        </w:tc>
        <w:tc>
          <w:tcPr>
            <w:tcW w:type="dxa" w:w="1134"/>
          </w:tcPr>
          <w:p>
            <w:pPr>
              <w:jc w:val="both"/>
            </w:pPr>
            <w:r/>
            <w:r>
              <w:rPr>
                <w:sz w:val="19"/>
              </w:rPr>
              <w:t>M</w:t>
            </w:r>
          </w:p>
        </w:tc>
      </w:tr>
      <w:tr>
        <w:tc>
          <w:tcPr>
            <w:tcW w:type="dxa" w:w="907"/>
          </w:tcPr>
          <w:p>
            <w:pPr>
              <w:jc w:val="both"/>
            </w:pPr>
            <w:r/>
            <w:r>
              <w:rPr>
                <w:sz w:val="19"/>
              </w:rPr>
              <w:t>FR-10</w:t>
            </w:r>
          </w:p>
        </w:tc>
        <w:tc>
          <w:tcPr>
            <w:tcW w:type="dxa" w:w="2268"/>
          </w:tcPr>
          <w:p>
            <w:pPr>
              <w:jc w:val="both"/>
            </w:pPr>
            <w:r/>
            <w:r>
              <w:rPr>
                <w:sz w:val="19"/>
              </w:rPr>
              <w:t>Log audit import</w:t>
            </w:r>
          </w:p>
        </w:tc>
        <w:tc>
          <w:tcPr>
            <w:tcW w:type="dxa" w:w="4876"/>
          </w:tcPr>
          <w:p>
            <w:pPr>
              <w:jc w:val="both"/>
            </w:pPr>
            <w:r/>
            <w:r>
              <w:rPr>
                <w:sz w:val="19"/>
              </w:rPr>
              <w:t>Setiap import tercatat (pengguna, waktu, jumlah baris, error) dan file sumber diarsipkan sebagai attachment untuk audit.</w:t>
            </w:r>
          </w:p>
        </w:tc>
        <w:tc>
          <w:tcPr>
            <w:tcW w:type="dxa" w:w="1134"/>
          </w:tcPr>
          <w:p>
            <w:pPr>
              <w:jc w:val="both"/>
            </w:pPr>
            <w:r/>
            <w:r>
              <w:rPr>
                <w:sz w:val="19"/>
              </w:rPr>
              <w:t>M</w:t>
            </w:r>
          </w:p>
        </w:tc>
      </w:tr>
      <w:tr>
        <w:tc>
          <w:tcPr>
            <w:tcW w:type="dxa" w:w="907"/>
          </w:tcPr>
          <w:p>
            <w:pPr>
              <w:jc w:val="both"/>
            </w:pPr>
            <w:r/>
            <w:r>
              <w:rPr>
                <w:sz w:val="19"/>
              </w:rPr>
              <w:t>FR-11</w:t>
            </w:r>
          </w:p>
        </w:tc>
        <w:tc>
          <w:tcPr>
            <w:tcW w:type="dxa" w:w="2268"/>
          </w:tcPr>
          <w:p>
            <w:pPr>
              <w:jc w:val="both"/>
            </w:pPr>
            <w:r/>
            <w:r>
              <w:rPr>
                <w:sz w:val="19"/>
              </w:rPr>
              <w:t>SFTP feed otomatis</w:t>
            </w:r>
          </w:p>
        </w:tc>
        <w:tc>
          <w:tcPr>
            <w:tcW w:type="dxa" w:w="4876"/>
          </w:tcPr>
          <w:p>
            <w:pPr>
              <w:jc w:val="both"/>
            </w:pPr>
            <w:r/>
            <w:r>
              <w:rPr>
                <w:sz w:val="19"/>
              </w:rPr>
              <w:t>Odoo polling terjadwal ke FTP/SFTP Erajaya per jenis file, memproses file baru melalui executor yang sama dengan unggah manual, dan memberi notifikasi bila parsing gagal.</w:t>
            </w:r>
          </w:p>
        </w:tc>
        <w:tc>
          <w:tcPr>
            <w:tcW w:type="dxa" w:w="1134"/>
          </w:tcPr>
          <w:p>
            <w:pPr>
              <w:jc w:val="both"/>
            </w:pPr>
            <w:r/>
            <w:r>
              <w:rPr>
                <w:sz w:val="19"/>
              </w:rPr>
              <w:t>P2</w:t>
            </w:r>
          </w:p>
        </w:tc>
      </w:tr>
      <w:tr>
        <w:tc>
          <w:tcPr>
            <w:tcW w:type="dxa" w:w="907"/>
          </w:tcPr>
          <w:p>
            <w:pPr>
              <w:jc w:val="both"/>
            </w:pPr>
            <w:r/>
            <w:r>
              <w:rPr>
                <w:sz w:val="19"/>
              </w:rPr>
              <w:t>FR-12</w:t>
            </w:r>
          </w:p>
        </w:tc>
        <w:tc>
          <w:tcPr>
            <w:tcW w:type="dxa" w:w="2268"/>
          </w:tcPr>
          <w:p>
            <w:pPr>
              <w:jc w:val="both"/>
            </w:pPr>
            <w:r/>
            <w:r>
              <w:rPr>
                <w:sz w:val="19"/>
              </w:rPr>
              <w:t>Klaim promosi (X31)</w:t>
            </w:r>
          </w:p>
        </w:tc>
        <w:tc>
          <w:tcPr>
            <w:tcW w:type="dxa" w:w="4876"/>
          </w:tcPr>
          <w:p>
            <w:pPr>
              <w:jc w:val="both"/>
            </w:pPr>
            <w:r/>
            <w:r>
              <w:rPr>
                <w:sz w:val="19"/>
              </w:rPr>
              <w:t>Data diskon/promo diimpor sebagai dasar klaim promosi kepada principal/SES.</w:t>
            </w:r>
          </w:p>
        </w:tc>
        <w:tc>
          <w:tcPr>
            <w:tcW w:type="dxa" w:w="1134"/>
          </w:tcPr>
          <w:p>
            <w:pPr>
              <w:jc w:val="both"/>
            </w:pPr>
            <w:r/>
            <w:r>
              <w:rPr>
                <w:sz w:val="19"/>
              </w:rPr>
              <w:t>P2</w:t>
            </w:r>
          </w:p>
        </w:tc>
      </w:tr>
      <w:tr>
        <w:tc>
          <w:tcPr>
            <w:tcW w:type="dxa" w:w="907"/>
          </w:tcPr>
          <w:p>
            <w:pPr>
              <w:jc w:val="both"/>
            </w:pPr>
            <w:r/>
            <w:r>
              <w:rPr>
                <w:sz w:val="19"/>
              </w:rPr>
              <w:t>FR-13</w:t>
            </w:r>
          </w:p>
        </w:tc>
        <w:tc>
          <w:tcPr>
            <w:tcW w:type="dxa" w:w="2268"/>
          </w:tcPr>
          <w:p>
            <w:pPr>
              <w:jc w:val="both"/>
            </w:pPr>
            <w:r/>
            <w:r>
              <w:rPr>
                <w:sz w:val="19"/>
              </w:rPr>
              <w:t>Pelaporan keuangan</w:t>
            </w:r>
          </w:p>
        </w:tc>
        <w:tc>
          <w:tcPr>
            <w:tcW w:type="dxa" w:w="4876"/>
          </w:tcPr>
          <w:p>
            <w:pPr>
              <w:jc w:val="both"/>
            </w:pPr>
            <w:r/>
            <w:r>
              <w:rPr>
                <w:sz w:val="19"/>
              </w:rPr>
              <w:t>Laporan keuangan lengkap (Excel/PDF) via custom_accounting_full; dokumen transaksi (Invoice, Quotation, PO) ber-branding via custom_report_templates.</w:t>
            </w:r>
          </w:p>
        </w:tc>
        <w:tc>
          <w:tcPr>
            <w:tcW w:type="dxa" w:w="1134"/>
          </w:tcPr>
          <w:p>
            <w:pPr>
              <w:jc w:val="both"/>
            </w:pPr>
            <w:r/>
            <w:r>
              <w:rPr>
                <w:sz w:val="19"/>
              </w:rPr>
              <w:t>M</w:t>
            </w:r>
          </w:p>
        </w:tc>
      </w:tr>
      <w:tr>
        <w:tc>
          <w:tcPr>
            <w:tcW w:type="dxa" w:w="907"/>
          </w:tcPr>
          <w:p>
            <w:pPr>
              <w:jc w:val="both"/>
            </w:pPr>
            <w:r/>
            <w:r>
              <w:rPr>
                <w:sz w:val="19"/>
              </w:rPr>
              <w:t>FR-14</w:t>
            </w:r>
          </w:p>
        </w:tc>
        <w:tc>
          <w:tcPr>
            <w:tcW w:type="dxa" w:w="2268"/>
          </w:tcPr>
          <w:p>
            <w:pPr>
              <w:jc w:val="both"/>
            </w:pPr>
            <w:r/>
            <w:r>
              <w:rPr>
                <w:sz w:val="19"/>
              </w:rPr>
              <w:t>Pajak Indonesia</w:t>
            </w:r>
          </w:p>
        </w:tc>
        <w:tc>
          <w:tcPr>
            <w:tcW w:type="dxa" w:w="4876"/>
          </w:tcPr>
          <w:p>
            <w:pPr>
              <w:jc w:val="both"/>
            </w:pPr>
            <w:r/>
            <w:r>
              <w:rPr>
                <w:sz w:val="19"/>
              </w:rPr>
              <w:t>PPN keluaran/masukan dikonfigurasi sesuai tarif; integrasi Coretax/e-Faktur dan bukti potong via custom_coretax dan custom_coretax_bupot.</w:t>
            </w:r>
          </w:p>
        </w:tc>
        <w:tc>
          <w:tcPr>
            <w:tcW w:type="dxa" w:w="1134"/>
          </w:tcPr>
          <w:p>
            <w:pPr>
              <w:jc w:val="both"/>
            </w:pPr>
            <w:r/>
            <w:r>
              <w:rPr>
                <w:sz w:val="19"/>
              </w:rPr>
              <w:t>M</w:t>
            </w:r>
          </w:p>
        </w:tc>
      </w:tr>
    </w:tbl>
    <w:p>
      <w:pPr>
        <w:spacing w:after="40"/>
      </w:pPr>
    </w:p>
    <w:p>
      <w:r>
        <w:br w:type="page"/>
      </w:r>
    </w:p>
    <w:p>
      <w:pPr>
        <w:pStyle w:val="Heading1"/>
      </w:pPr>
      <w:r>
        <w:t>4. Modul Odoo yang Diinstal dan Kustomisasi</w:t>
      </w:r>
    </w:p>
    <w:p>
      <w:pPr>
        <w:spacing w:after="120"/>
        <w:jc w:val="both"/>
      </w:pPr>
      <w:r>
        <w:rPr>
          <w:b w:val="0"/>
          <w:i w:val="0"/>
        </w:rPr>
        <w:t>Tenant EBR diprovision menggunakan Industry Pack "Retail / POS" pada platform Odoo Erajaya (deployment satu aksi). Pack memasang modul Odoo Community beserta modul custom platform; di atasnya dipasang modul khusus kebutuhan Levi's.</w:t>
      </w:r>
    </w:p>
    <w:p>
      <w:pPr>
        <w:pStyle w:val="Heading2"/>
      </w:pPr>
      <w:r>
        <w:t>4.1 Modul Standar Odoo (Community)</w:t>
      </w:r>
    </w:p>
    <w:tbl>
      <w:tblPr>
        <w:tblStyle w:val="TableGrid"/>
        <w:tblW w:type="auto" w:w="0"/>
        <w:jc w:val="center"/>
        <w:tblLook w:firstColumn="1" w:firstRow="1" w:lastColumn="0" w:lastRow="0" w:noHBand="0" w:noVBand="1" w:val="04A0"/>
      </w:tblPr>
      <w:tblGrid>
        <w:gridCol w:w="4816"/>
        <w:gridCol w:w="4816"/>
      </w:tblGrid>
      <w:tr>
        <w:tc>
          <w:tcPr>
            <w:tcW w:type="dxa" w:w="2551"/>
            <w:shd w:val="clear" w:fill="1A2332"/>
          </w:tcPr>
          <w:p>
            <w:r/>
            <w:r>
              <w:rPr>
                <w:b/>
                <w:color w:val="FFFFFF"/>
                <w:sz w:val="19"/>
              </w:rPr>
              <w:t>Modul</w:t>
            </w:r>
          </w:p>
        </w:tc>
        <w:tc>
          <w:tcPr>
            <w:tcW w:type="dxa" w:w="6633"/>
            <w:shd w:val="clear" w:fill="1A2332"/>
          </w:tcPr>
          <w:p>
            <w:r/>
            <w:r>
              <w:rPr>
                <w:b/>
                <w:color w:val="FFFFFF"/>
                <w:sz w:val="19"/>
              </w:rPr>
              <w:t>Fungsi pada Implementasi Ini</w:t>
            </w:r>
          </w:p>
        </w:tc>
      </w:tr>
      <w:tr>
        <w:tc>
          <w:tcPr>
            <w:tcW w:type="dxa" w:w="2551"/>
          </w:tcPr>
          <w:p>
            <w:pPr>
              <w:jc w:val="both"/>
            </w:pPr>
            <w:r/>
            <w:r>
              <w:rPr>
                <w:sz w:val="19"/>
              </w:rPr>
              <w:t>purchase</w:t>
            </w:r>
          </w:p>
        </w:tc>
        <w:tc>
          <w:tcPr>
            <w:tcW w:type="dxa" w:w="6633"/>
          </w:tcPr>
          <w:p>
            <w:pPr>
              <w:jc w:val="both"/>
            </w:pPr>
            <w:r/>
            <w:r>
              <w:rPr>
                <w:sz w:val="19"/>
              </w:rPr>
              <w:t>Purchase Order EBR → SES; pencocokan vendor bill (PO–GR–Invoice).</w:t>
            </w:r>
          </w:p>
        </w:tc>
      </w:tr>
      <w:tr>
        <w:tc>
          <w:tcPr>
            <w:tcW w:type="dxa" w:w="2551"/>
          </w:tcPr>
          <w:p>
            <w:pPr>
              <w:jc w:val="both"/>
            </w:pPr>
            <w:r/>
            <w:r>
              <w:rPr>
                <w:sz w:val="19"/>
              </w:rPr>
              <w:t>stock (Inventory)</w:t>
            </w:r>
          </w:p>
        </w:tc>
        <w:tc>
          <w:tcPr>
            <w:tcW w:type="dxa" w:w="6633"/>
          </w:tcPr>
          <w:p>
            <w:pPr>
              <w:jc w:val="both"/>
            </w:pPr>
            <w:r/>
            <w:r>
              <w:rPr>
                <w:sz w:val="19"/>
              </w:rPr>
              <w:t>Warehouse per toko, receipt (mirror GR), stock move, valuasi persediaan.</w:t>
            </w:r>
          </w:p>
        </w:tc>
      </w:tr>
      <w:tr>
        <w:tc>
          <w:tcPr>
            <w:tcW w:type="dxa" w:w="2551"/>
          </w:tcPr>
          <w:p>
            <w:pPr>
              <w:jc w:val="both"/>
            </w:pPr>
            <w:r/>
            <w:r>
              <w:rPr>
                <w:sz w:val="19"/>
              </w:rPr>
              <w:t>account (Accounting)</w:t>
            </w:r>
          </w:p>
        </w:tc>
        <w:tc>
          <w:tcPr>
            <w:tcW w:type="dxa" w:w="6633"/>
          </w:tcPr>
          <w:p>
            <w:pPr>
              <w:jc w:val="both"/>
            </w:pPr>
            <w:r/>
            <w:r>
              <w:rPr>
                <w:sz w:val="19"/>
              </w:rPr>
              <w:t>CoA, jurnal, AP/AR, rekonsiliasi bank.</w:t>
            </w:r>
          </w:p>
        </w:tc>
      </w:tr>
      <w:tr>
        <w:tc>
          <w:tcPr>
            <w:tcW w:type="dxa" w:w="2551"/>
          </w:tcPr>
          <w:p>
            <w:pPr>
              <w:jc w:val="both"/>
            </w:pPr>
            <w:r/>
            <w:r>
              <w:rPr>
                <w:sz w:val="19"/>
              </w:rPr>
              <w:t>point_of_sale</w:t>
            </w:r>
          </w:p>
        </w:tc>
        <w:tc>
          <w:tcPr>
            <w:tcW w:type="dxa" w:w="6633"/>
          </w:tcPr>
          <w:p>
            <w:pPr>
              <w:jc w:val="both"/>
            </w:pPr>
            <w:r/>
            <w:r>
              <w:rPr>
                <w:sz w:val="19"/>
              </w:rPr>
              <w:t>Representasi transaksi POS hasil mirroring (bukan POS transaksional toko).</w:t>
            </w:r>
          </w:p>
        </w:tc>
      </w:tr>
      <w:tr>
        <w:tc>
          <w:tcPr>
            <w:tcW w:type="dxa" w:w="2551"/>
          </w:tcPr>
          <w:p>
            <w:pPr>
              <w:jc w:val="both"/>
            </w:pPr>
            <w:r/>
            <w:r>
              <w:rPr>
                <w:sz w:val="19"/>
              </w:rPr>
              <w:t>sale_management</w:t>
            </w:r>
          </w:p>
        </w:tc>
        <w:tc>
          <w:tcPr>
            <w:tcW w:type="dxa" w:w="6633"/>
          </w:tcPr>
          <w:p>
            <w:pPr>
              <w:jc w:val="both"/>
            </w:pPr>
            <w:r/>
            <w:r>
              <w:rPr>
                <w:sz w:val="19"/>
              </w:rPr>
              <w:t>Sales order dan pricelist.</w:t>
            </w:r>
          </w:p>
        </w:tc>
      </w:tr>
    </w:tbl>
    <w:p>
      <w:pPr>
        <w:spacing w:after="40"/>
      </w:pPr>
    </w:p>
    <w:p>
      <w:pPr>
        <w:pStyle w:val="Heading2"/>
      </w:pPr>
      <w:r>
        <w:t>4.2 Modul Custom Platform (Bawaan Pack Retail)</w:t>
      </w:r>
    </w:p>
    <w:tbl>
      <w:tblPr>
        <w:tblStyle w:val="TableGrid"/>
        <w:tblW w:type="auto" w:w="0"/>
        <w:jc w:val="center"/>
        <w:tblLook w:firstColumn="1" w:firstRow="1" w:lastColumn="0" w:lastRow="0" w:noHBand="0" w:noVBand="1" w:val="04A0"/>
      </w:tblPr>
      <w:tblGrid>
        <w:gridCol w:w="4816"/>
        <w:gridCol w:w="4816"/>
      </w:tblGrid>
      <w:tr>
        <w:tc>
          <w:tcPr>
            <w:tcW w:type="dxa" w:w="2948"/>
            <w:shd w:val="clear" w:fill="1A2332"/>
          </w:tcPr>
          <w:p>
            <w:r/>
            <w:r>
              <w:rPr>
                <w:b/>
                <w:color w:val="FFFFFF"/>
                <w:sz w:val="19"/>
              </w:rPr>
              <w:t>Modul</w:t>
            </w:r>
          </w:p>
        </w:tc>
        <w:tc>
          <w:tcPr>
            <w:tcW w:type="dxa" w:w="6236"/>
            <w:shd w:val="clear" w:fill="1A2332"/>
          </w:tcPr>
          <w:p>
            <w:r/>
            <w:r>
              <w:rPr>
                <w:b/>
                <w:color w:val="FFFFFF"/>
                <w:sz w:val="19"/>
              </w:rPr>
              <w:t>Fungsi</w:t>
            </w:r>
          </w:p>
        </w:tc>
      </w:tr>
      <w:tr>
        <w:tc>
          <w:tcPr>
            <w:tcW w:type="dxa" w:w="2948"/>
          </w:tcPr>
          <w:p>
            <w:pPr>
              <w:jc w:val="both"/>
            </w:pPr>
            <w:r/>
            <w:r>
              <w:rPr>
                <w:sz w:val="19"/>
              </w:rPr>
              <w:t>custom_accounting_full</w:t>
            </w:r>
          </w:p>
        </w:tc>
        <w:tc>
          <w:tcPr>
            <w:tcW w:type="dxa" w:w="6236"/>
          </w:tcPr>
          <w:p>
            <w:pPr>
              <w:jc w:val="both"/>
            </w:pPr>
            <w:r/>
            <w:r>
              <w:rPr>
                <w:sz w:val="19"/>
              </w:rPr>
              <w:t>Pelengkap akuntansi CE→EE: laporan keuangan lengkap (Excel/PDF).</w:t>
            </w:r>
          </w:p>
        </w:tc>
      </w:tr>
      <w:tr>
        <w:tc>
          <w:tcPr>
            <w:tcW w:type="dxa" w:w="2948"/>
          </w:tcPr>
          <w:p>
            <w:pPr>
              <w:jc w:val="both"/>
            </w:pPr>
            <w:r/>
            <w:r>
              <w:rPr>
                <w:sz w:val="19"/>
              </w:rPr>
              <w:t>custom_coretax / custom_coretax_bupot</w:t>
            </w:r>
          </w:p>
        </w:tc>
        <w:tc>
          <w:tcPr>
            <w:tcW w:type="dxa" w:w="6236"/>
          </w:tcPr>
          <w:p>
            <w:pPr>
              <w:jc w:val="both"/>
            </w:pPr>
            <w:r/>
            <w:r>
              <w:rPr>
                <w:sz w:val="19"/>
              </w:rPr>
              <w:t>Integrasi pajak Indonesia: e-Faktur/Coretax; bukti potong.</w:t>
            </w:r>
          </w:p>
        </w:tc>
      </w:tr>
      <w:tr>
        <w:tc>
          <w:tcPr>
            <w:tcW w:type="dxa" w:w="2948"/>
          </w:tcPr>
          <w:p>
            <w:pPr>
              <w:jc w:val="both"/>
            </w:pPr>
            <w:r/>
            <w:r>
              <w:rPr>
                <w:sz w:val="19"/>
              </w:rPr>
              <w:t>custom_pos_id</w:t>
            </w:r>
          </w:p>
        </w:tc>
        <w:tc>
          <w:tcPr>
            <w:tcW w:type="dxa" w:w="6236"/>
          </w:tcPr>
          <w:p>
            <w:pPr>
              <w:jc w:val="both"/>
            </w:pPr>
            <w:r/>
            <w:r>
              <w:rPr>
                <w:sz w:val="19"/>
              </w:rPr>
              <w:t>Lokalisasi POS Indonesia (format struk, pembayaran lokal).</w:t>
            </w:r>
          </w:p>
        </w:tc>
      </w:tr>
      <w:tr>
        <w:tc>
          <w:tcPr>
            <w:tcW w:type="dxa" w:w="2948"/>
          </w:tcPr>
          <w:p>
            <w:pPr>
              <w:jc w:val="both"/>
            </w:pPr>
            <w:r/>
            <w:r>
              <w:rPr>
                <w:sz w:val="19"/>
              </w:rPr>
              <w:t>custom_approval_engine</w:t>
            </w:r>
          </w:p>
        </w:tc>
        <w:tc>
          <w:tcPr>
            <w:tcW w:type="dxa" w:w="6236"/>
          </w:tcPr>
          <w:p>
            <w:pPr>
              <w:jc w:val="both"/>
            </w:pPr>
            <w:r/>
            <w:r>
              <w:rPr>
                <w:sz w:val="19"/>
              </w:rPr>
              <w:t>Approval berjenjang untuk PO dan dokumen lainnya.</w:t>
            </w:r>
          </w:p>
        </w:tc>
      </w:tr>
      <w:tr>
        <w:tc>
          <w:tcPr>
            <w:tcW w:type="dxa" w:w="2948"/>
          </w:tcPr>
          <w:p>
            <w:pPr>
              <w:jc w:val="both"/>
            </w:pPr>
            <w:r/>
            <w:r>
              <w:rPr>
                <w:sz w:val="19"/>
              </w:rPr>
              <w:t>custom_report_templates</w:t>
            </w:r>
          </w:p>
        </w:tc>
        <w:tc>
          <w:tcPr>
            <w:tcW w:type="dxa" w:w="6236"/>
          </w:tcPr>
          <w:p>
            <w:pPr>
              <w:jc w:val="both"/>
            </w:pPr>
            <w:r/>
            <w:r>
              <w:rPr>
                <w:sz w:val="19"/>
              </w:rPr>
              <w:t>Template PDF ber-branding per company: Invoice, Quotation, PO.</w:t>
            </w:r>
          </w:p>
        </w:tc>
      </w:tr>
    </w:tbl>
    <w:p>
      <w:pPr>
        <w:spacing w:after="40"/>
      </w:pPr>
    </w:p>
    <w:p>
      <w:pPr>
        <w:pStyle w:val="Heading2"/>
      </w:pPr>
      <w:r>
        <w:t>4.3 Modul Custom Khusus Levi's — custom_retail_import</w:t>
      </w:r>
    </w:p>
    <w:p>
      <w:pPr>
        <w:spacing w:after="120"/>
        <w:jc w:val="both"/>
      </w:pPr>
      <w:r>
        <w:rPr>
          <w:b w:val="0"/>
          <w:i w:val="0"/>
        </w:rPr>
        <w:t>Adapter mirroring Excel/CSV → Odoo dan SFTP feed; komponen inti integrasi Flow C, dirancang reusable untuk tenant retail lain. Kemampuan utamanya:</w:t>
      </w:r>
    </w:p>
    <w:p>
      <w:pPr>
        <w:pStyle w:val="ListBullet"/>
        <w:jc w:val="both"/>
      </w:pPr>
      <w:r>
        <w:rPr>
          <w:b/>
        </w:rPr>
        <w:t xml:space="preserve">Import profile per jenis file. </w:t>
      </w:r>
      <w:r>
        <w:t>Setiap report (X101, X20, X24, X70D, CoA, Company, Store Master) memiliki profil tersendiri: format, baris awal data, mapping kolom (JSON), aturan parsing tanggal/desimal, serta perbaikan karakter rusak (U+FFFD → ®).</w:t>
      </w:r>
    </w:p>
    <w:p>
      <w:pPr>
        <w:pStyle w:val="ListBullet"/>
        <w:jc w:val="both"/>
      </w:pPr>
      <w:r>
        <w:rPr>
          <w:b/>
        </w:rPr>
        <w:t xml:space="preserve">Upload wizard dengan dry-run preview. </w:t>
      </w:r>
      <w:r>
        <w:t>Pengguna mengunggah file lalu melihat pratinjau parsing sebelum commit.</w:t>
      </w:r>
    </w:p>
    <w:p>
      <w:pPr>
        <w:pStyle w:val="ListBullet"/>
        <w:jc w:val="both"/>
      </w:pPr>
      <w:r>
        <w:rPr>
          <w:b/>
        </w:rPr>
        <w:t xml:space="preserve">Deduplikasi dan idempotensi. </w:t>
      </w:r>
      <w:r>
        <w:t>Hash SHA256 per file menolak file identik; external ID per record menjadikan re-import bersifat update, bukan duplikasi.</w:t>
      </w:r>
    </w:p>
    <w:p>
      <w:pPr>
        <w:pStyle w:val="ListBullet"/>
        <w:jc w:val="both"/>
      </w:pPr>
      <w:r>
        <w:rPr>
          <w:b/>
        </w:rPr>
        <w:t xml:space="preserve">Log audit dan arsip file. </w:t>
      </w:r>
      <w:r>
        <w:t>Setiap import tercatat lengkap dan file sumber disimpan sebagai attachment.</w:t>
      </w:r>
    </w:p>
    <w:p>
      <w:pPr>
        <w:pStyle w:val="ListBullet"/>
        <w:jc w:val="both"/>
      </w:pPr>
      <w:r>
        <w:rPr>
          <w:b/>
        </w:rPr>
        <w:t xml:space="preserve">SFTP feed poller dan eksekusi asinkron. </w:t>
      </w:r>
      <w:r>
        <w:t>Cron terjadwal menarik file dari FTP/SFTP Erajaya; file besar (mis. X101 ±159 ribu SKU) diproses di background via queue_job.</w:t>
      </w:r>
    </w:p>
    <w:p>
      <w:pPr>
        <w:pStyle w:val="ListBullet"/>
        <w:jc w:val="both"/>
      </w:pPr>
      <w:r>
        <w:rPr>
          <w:b/>
        </w:rPr>
        <w:t xml:space="preserve">Phase-5 gating. </w:t>
      </w:r>
      <w:r>
        <w:t>Executor X24 (penjualan) dan X70D (tender) mampu memparsing dan mengelompokkan data namun menahan posting hingga keputusan bisnis Phase 5 ditetapkan.</w:t>
      </w:r>
    </w:p>
    <w:p>
      <w:r>
        <w:br w:type="page"/>
      </w:r>
    </w:p>
    <w:p>
      <w:pPr>
        <w:pStyle w:val="Heading1"/>
      </w:pPr>
      <w:r>
        <w:t>5. Spesifikasi File Feed Mirroring</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268"/>
            <w:shd w:val="clear" w:fill="1A2332"/>
          </w:tcPr>
          <w:p>
            <w:r/>
            <w:r>
              <w:rPr>
                <w:b/>
                <w:color w:val="FFFFFF"/>
                <w:sz w:val="19"/>
              </w:rPr>
              <w:t>Report / File</w:t>
            </w:r>
          </w:p>
        </w:tc>
        <w:tc>
          <w:tcPr>
            <w:tcW w:type="dxa" w:w="2835"/>
            <w:shd w:val="clear" w:fill="1A2332"/>
          </w:tcPr>
          <w:p>
            <w:r/>
            <w:r>
              <w:rPr>
                <w:b/>
                <w:color w:val="FFFFFF"/>
                <w:sz w:val="19"/>
              </w:rPr>
              <w:t>Isi Data</w:t>
            </w:r>
          </w:p>
        </w:tc>
        <w:tc>
          <w:tcPr>
            <w:tcW w:type="dxa" w:w="2665"/>
            <w:shd w:val="clear" w:fill="1A2332"/>
          </w:tcPr>
          <w:p>
            <w:r/>
            <w:r>
              <w:rPr>
                <w:b/>
                <w:color w:val="FFFFFF"/>
                <w:sz w:val="19"/>
              </w:rPr>
              <w:t>Tujuan di Odoo</w:t>
            </w:r>
          </w:p>
        </w:tc>
        <w:tc>
          <w:tcPr>
            <w:tcW w:type="dxa" w:w="1417"/>
            <w:shd w:val="clear" w:fill="1A2332"/>
          </w:tcPr>
          <w:p>
            <w:r/>
            <w:r>
              <w:rPr>
                <w:b/>
                <w:color w:val="FFFFFF"/>
                <w:sz w:val="19"/>
              </w:rPr>
              <w:t>Frekuensi</w:t>
            </w:r>
          </w:p>
        </w:tc>
      </w:tr>
      <w:tr>
        <w:tc>
          <w:tcPr>
            <w:tcW w:type="dxa" w:w="2268"/>
          </w:tcPr>
          <w:p>
            <w:pPr>
              <w:jc w:val="both"/>
            </w:pPr>
            <w:r/>
            <w:r>
              <w:rPr>
                <w:sz w:val="19"/>
              </w:rPr>
              <w:t>X101_Material_Master</w:t>
            </w:r>
          </w:p>
        </w:tc>
        <w:tc>
          <w:tcPr>
            <w:tcW w:type="dxa" w:w="2835"/>
          </w:tcPr>
          <w:p>
            <w:pPr>
              <w:jc w:val="both"/>
            </w:pPr>
            <w:r/>
            <w:r>
              <w:rPr>
                <w:sz w:val="19"/>
              </w:rPr>
              <w:t>Master produk Levi's (artikel, SKU, barcode, harga).</w:t>
            </w:r>
          </w:p>
        </w:tc>
        <w:tc>
          <w:tcPr>
            <w:tcW w:type="dxa" w:w="2665"/>
          </w:tcPr>
          <w:p>
            <w:pPr>
              <w:jc w:val="both"/>
            </w:pPr>
            <w:r/>
            <w:r>
              <w:rPr>
                <w:sz w:val="19"/>
              </w:rPr>
              <w:t>Product master (create/update produk).</w:t>
            </w:r>
          </w:p>
        </w:tc>
        <w:tc>
          <w:tcPr>
            <w:tcW w:type="dxa" w:w="1417"/>
          </w:tcPr>
          <w:p>
            <w:pPr>
              <w:jc w:val="both"/>
            </w:pPr>
            <w:r/>
            <w:r>
              <w:rPr>
                <w:sz w:val="19"/>
              </w:rPr>
              <w:t>Saat ada perubahan</w:t>
            </w:r>
          </w:p>
        </w:tc>
      </w:tr>
      <w:tr>
        <w:tc>
          <w:tcPr>
            <w:tcW w:type="dxa" w:w="2268"/>
          </w:tcPr>
          <w:p>
            <w:pPr>
              <w:jc w:val="both"/>
            </w:pPr>
            <w:r/>
            <w:r>
              <w:rPr>
                <w:sz w:val="19"/>
              </w:rPr>
              <w:t>X20_Current_Onhand_Inventory</w:t>
            </w:r>
          </w:p>
        </w:tc>
        <w:tc>
          <w:tcPr>
            <w:tcW w:type="dxa" w:w="2835"/>
          </w:tcPr>
          <w:p>
            <w:pPr>
              <w:jc w:val="both"/>
            </w:pPr>
            <w:r/>
            <w:r>
              <w:rPr>
                <w:sz w:val="19"/>
              </w:rPr>
              <w:t>Posisi stok on-hand per toko.</w:t>
            </w:r>
          </w:p>
        </w:tc>
        <w:tc>
          <w:tcPr>
            <w:tcW w:type="dxa" w:w="2665"/>
          </w:tcPr>
          <w:p>
            <w:pPr>
              <w:jc w:val="both"/>
            </w:pPr>
            <w:r/>
            <w:r>
              <w:rPr>
                <w:sz w:val="19"/>
              </w:rPr>
              <w:t>Saldo awal (one-shot) dan validasi stok.</w:t>
            </w:r>
          </w:p>
        </w:tc>
        <w:tc>
          <w:tcPr>
            <w:tcW w:type="dxa" w:w="1417"/>
          </w:tcPr>
          <w:p>
            <w:pPr>
              <w:jc w:val="both"/>
            </w:pPr>
            <w:r/>
            <w:r>
              <w:rPr>
                <w:sz w:val="19"/>
              </w:rPr>
              <w:t>Harian / periodik</w:t>
            </w:r>
          </w:p>
        </w:tc>
      </w:tr>
      <w:tr>
        <w:tc>
          <w:tcPr>
            <w:tcW w:type="dxa" w:w="2268"/>
          </w:tcPr>
          <w:p>
            <w:pPr>
              <w:jc w:val="both"/>
            </w:pPr>
            <w:r/>
            <w:r>
              <w:rPr>
                <w:sz w:val="19"/>
              </w:rPr>
              <w:t>X24DN_Retail_Sales_Detail</w:t>
            </w:r>
          </w:p>
        </w:tc>
        <w:tc>
          <w:tcPr>
            <w:tcW w:type="dxa" w:w="2835"/>
          </w:tcPr>
          <w:p>
            <w:pPr>
              <w:jc w:val="both"/>
            </w:pPr>
            <w:r/>
            <w:r>
              <w:rPr>
                <w:sz w:val="19"/>
              </w:rPr>
              <w:t>Detail transaksi penjualan POS per toko.</w:t>
            </w:r>
          </w:p>
        </w:tc>
        <w:tc>
          <w:tcPr>
            <w:tcW w:type="dxa" w:w="2665"/>
          </w:tcPr>
          <w:p>
            <w:pPr>
              <w:jc w:val="both"/>
            </w:pPr>
            <w:r/>
            <w:r>
              <w:rPr>
                <w:sz w:val="19"/>
              </w:rPr>
              <w:t>Penjualan (jurnal penjualan + HPP).</w:t>
            </w:r>
          </w:p>
        </w:tc>
        <w:tc>
          <w:tcPr>
            <w:tcW w:type="dxa" w:w="1417"/>
          </w:tcPr>
          <w:p>
            <w:pPr>
              <w:jc w:val="both"/>
            </w:pPr>
            <w:r/>
            <w:r>
              <w:rPr>
                <w:sz w:val="19"/>
              </w:rPr>
              <w:t>Harian (EOD)</w:t>
            </w:r>
          </w:p>
        </w:tc>
      </w:tr>
      <w:tr>
        <w:tc>
          <w:tcPr>
            <w:tcW w:type="dxa" w:w="2268"/>
          </w:tcPr>
          <w:p>
            <w:pPr>
              <w:jc w:val="both"/>
            </w:pPr>
            <w:r/>
            <w:r>
              <w:rPr>
                <w:sz w:val="19"/>
              </w:rPr>
              <w:t>X70D / X70T (Tender)</w:t>
            </w:r>
          </w:p>
        </w:tc>
        <w:tc>
          <w:tcPr>
            <w:tcW w:type="dxa" w:w="2835"/>
          </w:tcPr>
          <w:p>
            <w:pPr>
              <w:jc w:val="both"/>
            </w:pPr>
            <w:r/>
            <w:r>
              <w:rPr>
                <w:sz w:val="19"/>
              </w:rPr>
              <w:t>Metode pembayaran dan settlement.</w:t>
            </w:r>
          </w:p>
        </w:tc>
        <w:tc>
          <w:tcPr>
            <w:tcW w:type="dxa" w:w="2665"/>
          </w:tcPr>
          <w:p>
            <w:pPr>
              <w:jc w:val="both"/>
            </w:pPr>
            <w:r/>
            <w:r>
              <w:rPr>
                <w:sz w:val="19"/>
              </w:rPr>
              <w:t>Payment register &amp; rekonsiliasi bank.</w:t>
            </w:r>
          </w:p>
        </w:tc>
        <w:tc>
          <w:tcPr>
            <w:tcW w:type="dxa" w:w="1417"/>
          </w:tcPr>
          <w:p>
            <w:pPr>
              <w:jc w:val="both"/>
            </w:pPr>
            <w:r/>
            <w:r>
              <w:rPr>
                <w:sz w:val="19"/>
              </w:rPr>
              <w:t>Harian (EOD)</w:t>
            </w:r>
          </w:p>
        </w:tc>
      </w:tr>
      <w:tr>
        <w:tc>
          <w:tcPr>
            <w:tcW w:type="dxa" w:w="2268"/>
          </w:tcPr>
          <w:p>
            <w:pPr>
              <w:jc w:val="both"/>
            </w:pPr>
            <w:r/>
            <w:r>
              <w:rPr>
                <w:sz w:val="19"/>
              </w:rPr>
              <w:t>X32P_Stock_Movement</w:t>
            </w:r>
          </w:p>
        </w:tc>
        <w:tc>
          <w:tcPr>
            <w:tcW w:type="dxa" w:w="2835"/>
          </w:tcPr>
          <w:p>
            <w:pPr>
              <w:jc w:val="both"/>
            </w:pPr>
            <w:r/>
            <w:r>
              <w:rPr>
                <w:sz w:val="19"/>
              </w:rPr>
              <w:t>Mutasi persediaan bernilai (GR, transfer, retur, adjustment).</w:t>
            </w:r>
          </w:p>
        </w:tc>
        <w:tc>
          <w:tcPr>
            <w:tcW w:type="dxa" w:w="2665"/>
          </w:tcPr>
          <w:p>
            <w:pPr>
              <w:jc w:val="both"/>
            </w:pPr>
            <w:r/>
            <w:r>
              <w:rPr>
                <w:sz w:val="19"/>
              </w:rPr>
              <w:t>Stock move dan receipt.</w:t>
            </w:r>
          </w:p>
        </w:tc>
        <w:tc>
          <w:tcPr>
            <w:tcW w:type="dxa" w:w="1417"/>
          </w:tcPr>
          <w:p>
            <w:pPr>
              <w:jc w:val="both"/>
            </w:pPr>
            <w:r/>
            <w:r>
              <w:rPr>
                <w:sz w:val="19"/>
              </w:rPr>
              <w:t>Harian / periodik</w:t>
            </w:r>
          </w:p>
        </w:tc>
      </w:tr>
      <w:tr>
        <w:tc>
          <w:tcPr>
            <w:tcW w:type="dxa" w:w="2268"/>
          </w:tcPr>
          <w:p>
            <w:pPr>
              <w:jc w:val="both"/>
            </w:pPr>
            <w:r/>
            <w:r>
              <w:rPr>
                <w:sz w:val="19"/>
              </w:rPr>
              <w:t>X31_Discount_Journal</w:t>
            </w:r>
          </w:p>
        </w:tc>
        <w:tc>
          <w:tcPr>
            <w:tcW w:type="dxa" w:w="2835"/>
          </w:tcPr>
          <w:p>
            <w:pPr>
              <w:jc w:val="both"/>
            </w:pPr>
            <w:r/>
            <w:r>
              <w:rPr>
                <w:sz w:val="19"/>
              </w:rPr>
              <w:t>Data diskon/promo.</w:t>
            </w:r>
          </w:p>
        </w:tc>
        <w:tc>
          <w:tcPr>
            <w:tcW w:type="dxa" w:w="2665"/>
          </w:tcPr>
          <w:p>
            <w:pPr>
              <w:jc w:val="both"/>
            </w:pPr>
            <w:r/>
            <w:r>
              <w:rPr>
                <w:sz w:val="19"/>
              </w:rPr>
              <w:t>Dasar klaim promosi.</w:t>
            </w:r>
          </w:p>
        </w:tc>
        <w:tc>
          <w:tcPr>
            <w:tcW w:type="dxa" w:w="1417"/>
          </w:tcPr>
          <w:p>
            <w:pPr>
              <w:jc w:val="both"/>
            </w:pPr>
            <w:r/>
            <w:r>
              <w:rPr>
                <w:sz w:val="19"/>
              </w:rPr>
              <w:t>Bulanan / per program</w:t>
            </w:r>
          </w:p>
        </w:tc>
      </w:tr>
      <w:tr>
        <w:tc>
          <w:tcPr>
            <w:tcW w:type="dxa" w:w="2268"/>
          </w:tcPr>
          <w:p>
            <w:pPr>
              <w:jc w:val="both"/>
            </w:pPr>
            <w:r/>
            <w:r>
              <w:rPr>
                <w:sz w:val="19"/>
              </w:rPr>
              <w:t>Store Master</w:t>
            </w:r>
          </w:p>
        </w:tc>
        <w:tc>
          <w:tcPr>
            <w:tcW w:type="dxa" w:w="2835"/>
          </w:tcPr>
          <w:p>
            <w:pPr>
              <w:jc w:val="both"/>
            </w:pPr>
            <w:r/>
            <w:r>
              <w:rPr>
                <w:sz w:val="19"/>
              </w:rPr>
              <w:t>Daftar 24 lokasi (1 DC + 23 toko).</w:t>
            </w:r>
          </w:p>
        </w:tc>
        <w:tc>
          <w:tcPr>
            <w:tcW w:type="dxa" w:w="2665"/>
          </w:tcPr>
          <w:p>
            <w:pPr>
              <w:jc w:val="both"/>
            </w:pPr>
            <w:r/>
            <w:r>
              <w:rPr>
                <w:sz w:val="19"/>
              </w:rPr>
              <w:t>Warehouse per toko + crosswalk kode toko.</w:t>
            </w:r>
          </w:p>
        </w:tc>
        <w:tc>
          <w:tcPr>
            <w:tcW w:type="dxa" w:w="1417"/>
          </w:tcPr>
          <w:p>
            <w:pPr>
              <w:jc w:val="both"/>
            </w:pPr>
            <w:r/>
            <w:r>
              <w:rPr>
                <w:sz w:val="19"/>
              </w:rPr>
              <w:t>Saat ada perubahan</w:t>
            </w:r>
          </w:p>
        </w:tc>
      </w:tr>
      <w:tr>
        <w:tc>
          <w:tcPr>
            <w:tcW w:type="dxa" w:w="2268"/>
          </w:tcPr>
          <w:p>
            <w:pPr>
              <w:jc w:val="both"/>
            </w:pPr>
            <w:r/>
            <w:r>
              <w:rPr>
                <w:sz w:val="19"/>
              </w:rPr>
              <w:t>CoA EBR</w:t>
            </w:r>
          </w:p>
        </w:tc>
        <w:tc>
          <w:tcPr>
            <w:tcW w:type="dxa" w:w="2835"/>
          </w:tcPr>
          <w:p>
            <w:pPr>
              <w:jc w:val="both"/>
            </w:pPr>
            <w:r/>
            <w:r>
              <w:rPr>
                <w:sz w:val="19"/>
              </w:rPr>
              <w:t>Bagan akun (code, name, account_type).</w:t>
            </w:r>
          </w:p>
        </w:tc>
        <w:tc>
          <w:tcPr>
            <w:tcW w:type="dxa" w:w="2665"/>
          </w:tcPr>
          <w:p>
            <w:pPr>
              <w:jc w:val="both"/>
            </w:pPr>
            <w:r/>
            <w:r>
              <w:rPr>
                <w:sz w:val="19"/>
              </w:rPr>
              <w:t>Chart of Accounts PT EBR.</w:t>
            </w:r>
          </w:p>
        </w:tc>
        <w:tc>
          <w:tcPr>
            <w:tcW w:type="dxa" w:w="1417"/>
          </w:tcPr>
          <w:p>
            <w:pPr>
              <w:jc w:val="both"/>
            </w:pPr>
            <w:r/>
            <w:r>
              <w:rPr>
                <w:sz w:val="19"/>
              </w:rPr>
              <w:t>Satu kali</w:t>
            </w:r>
          </w:p>
        </w:tc>
      </w:tr>
    </w:tbl>
    <w:p>
      <w:pPr>
        <w:spacing w:after="40"/>
      </w:pPr>
    </w:p>
    <w:p>
      <w:pPr>
        <w:pStyle w:val="Heading1"/>
      </w:pPr>
      <w:r>
        <w:t>6. Konfigurasi Data dan Urutan Setup</w:t>
      </w:r>
    </w:p>
    <w:p>
      <w:pPr>
        <w:spacing w:after="120"/>
        <w:jc w:val="both"/>
      </w:pPr>
      <w:r>
        <w:rPr>
          <w:b w:val="0"/>
          <w:i w:val="0"/>
        </w:rPr>
        <w:t>Penyiapan data tenant EBR mengikuti urutan: konfigurasi dasar (company, CoA, bank, pajak) → master data → saldo awal → transaksi harian via mirroring. Setiap langkah merupakan prasyarat bagi langkah setelahnya, dan menjadi prakondisi suite UAT terkait.</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567"/>
            <w:shd w:val="clear" w:fill="1A2332"/>
          </w:tcPr>
          <w:p>
            <w:r/>
            <w:r>
              <w:rPr>
                <w:b/>
                <w:color w:val="FFFFFF"/>
                <w:sz w:val="19"/>
              </w:rPr>
              <w:t>No</w:t>
            </w:r>
          </w:p>
        </w:tc>
        <w:tc>
          <w:tcPr>
            <w:tcW w:type="dxa" w:w="1928"/>
            <w:shd w:val="clear" w:fill="1A2332"/>
          </w:tcPr>
          <w:p>
            <w:r/>
            <w:r>
              <w:rPr>
                <w:b/>
                <w:color w:val="FFFFFF"/>
                <w:sz w:val="19"/>
              </w:rPr>
              <w:t>Data</w:t>
            </w:r>
          </w:p>
        </w:tc>
        <w:tc>
          <w:tcPr>
            <w:tcW w:type="dxa" w:w="2835"/>
            <w:shd w:val="clear" w:fill="1A2332"/>
          </w:tcPr>
          <w:p>
            <w:r/>
            <w:r>
              <w:rPr>
                <w:b/>
                <w:color w:val="FFFFFF"/>
                <w:sz w:val="19"/>
              </w:rPr>
              <w:t>Sumber</w:t>
            </w:r>
          </w:p>
        </w:tc>
        <w:tc>
          <w:tcPr>
            <w:tcW w:type="dxa" w:w="3855"/>
            <w:shd w:val="clear" w:fill="1A2332"/>
          </w:tcPr>
          <w:p>
            <w:r/>
            <w:r>
              <w:rPr>
                <w:b/>
                <w:color w:val="FFFFFF"/>
                <w:sz w:val="19"/>
              </w:rPr>
              <w:t>Cara Load</w:t>
            </w:r>
          </w:p>
        </w:tc>
      </w:tr>
      <w:tr>
        <w:tc>
          <w:tcPr>
            <w:tcW w:type="dxa" w:w="567"/>
          </w:tcPr>
          <w:p>
            <w:pPr>
              <w:jc w:val="both"/>
            </w:pPr>
            <w:r/>
            <w:r>
              <w:rPr>
                <w:sz w:val="19"/>
              </w:rPr>
              <w:t>1</w:t>
            </w:r>
          </w:p>
        </w:tc>
        <w:tc>
          <w:tcPr>
            <w:tcW w:type="dxa" w:w="1928"/>
          </w:tcPr>
          <w:p>
            <w:pPr>
              <w:jc w:val="both"/>
            </w:pPr>
            <w:r/>
            <w:r>
              <w:rPr>
                <w:sz w:val="19"/>
              </w:rPr>
              <w:t>Company Detail (EBR)</w:t>
            </w:r>
          </w:p>
        </w:tc>
        <w:tc>
          <w:tcPr>
            <w:tcW w:type="dxa" w:w="2835"/>
          </w:tcPr>
          <w:p>
            <w:pPr>
              <w:jc w:val="both"/>
            </w:pPr>
            <w:r/>
            <w:r>
              <w:rPr>
                <w:sz w:val="19"/>
              </w:rPr>
              <w:t>Sheet legal entity (key/value).</w:t>
            </w:r>
          </w:p>
        </w:tc>
        <w:tc>
          <w:tcPr>
            <w:tcW w:type="dxa" w:w="3855"/>
          </w:tcPr>
          <w:p>
            <w:pPr>
              <w:jc w:val="both"/>
            </w:pPr>
            <w:r/>
            <w:r>
              <w:rPr>
                <w:sz w:val="19"/>
              </w:rPr>
              <w:t>Profil levis_company atau Settings ▸ Companies.</w:t>
            </w:r>
          </w:p>
        </w:tc>
      </w:tr>
      <w:tr>
        <w:tc>
          <w:tcPr>
            <w:tcW w:type="dxa" w:w="567"/>
          </w:tcPr>
          <w:p>
            <w:pPr>
              <w:jc w:val="both"/>
            </w:pPr>
            <w:r/>
            <w:r>
              <w:rPr>
                <w:sz w:val="19"/>
              </w:rPr>
              <w:t>2</w:t>
            </w:r>
          </w:p>
        </w:tc>
        <w:tc>
          <w:tcPr>
            <w:tcW w:type="dxa" w:w="1928"/>
          </w:tcPr>
          <w:p>
            <w:pPr>
              <w:jc w:val="both"/>
            </w:pPr>
            <w:r/>
            <w:r>
              <w:rPr>
                <w:sz w:val="19"/>
              </w:rPr>
              <w:t>Chart of Accounts</w:t>
            </w:r>
          </w:p>
        </w:tc>
        <w:tc>
          <w:tcPr>
            <w:tcW w:type="dxa" w:w="2835"/>
          </w:tcPr>
          <w:p>
            <w:pPr>
              <w:jc w:val="both"/>
            </w:pPr>
            <w:r/>
            <w:r>
              <w:rPr>
                <w:sz w:val="19"/>
              </w:rPr>
              <w:t>CoA EBR.xlsx.</w:t>
            </w:r>
          </w:p>
        </w:tc>
        <w:tc>
          <w:tcPr>
            <w:tcW w:type="dxa" w:w="3855"/>
          </w:tcPr>
          <w:p>
            <w:pPr>
              <w:jc w:val="both"/>
            </w:pPr>
            <w:r/>
            <w:r>
              <w:rPr>
                <w:sz w:val="19"/>
              </w:rPr>
              <w:t>Profil levis_coa atau Accounting ▸ CoA ▸ Import.</w:t>
            </w:r>
          </w:p>
        </w:tc>
      </w:tr>
      <w:tr>
        <w:tc>
          <w:tcPr>
            <w:tcW w:type="dxa" w:w="567"/>
          </w:tcPr>
          <w:p>
            <w:pPr>
              <w:jc w:val="both"/>
            </w:pPr>
            <w:r/>
            <w:r>
              <w:rPr>
                <w:sz w:val="19"/>
              </w:rPr>
              <w:t>3</w:t>
            </w:r>
          </w:p>
        </w:tc>
        <w:tc>
          <w:tcPr>
            <w:tcW w:type="dxa" w:w="1928"/>
          </w:tcPr>
          <w:p>
            <w:pPr>
              <w:jc w:val="both"/>
            </w:pPr>
            <w:r/>
            <w:r>
              <w:rPr>
                <w:sz w:val="19"/>
              </w:rPr>
              <w:t>Bank Account &amp; Journals</w:t>
            </w:r>
          </w:p>
        </w:tc>
        <w:tc>
          <w:tcPr>
            <w:tcW w:type="dxa" w:w="2835"/>
          </w:tcPr>
          <w:p>
            <w:pPr>
              <w:jc w:val="both"/>
            </w:pPr>
            <w:r/>
            <w:r>
              <w:rPr>
                <w:sz w:val="19"/>
              </w:rPr>
              <w:t>Data Finance EBR.</w:t>
            </w:r>
          </w:p>
        </w:tc>
        <w:tc>
          <w:tcPr>
            <w:tcW w:type="dxa" w:w="3855"/>
          </w:tcPr>
          <w:p>
            <w:pPr>
              <w:jc w:val="both"/>
            </w:pPr>
            <w:r/>
            <w:r>
              <w:rPr>
                <w:sz w:val="19"/>
              </w:rPr>
              <w:t>Manual (Accounting ▸ Configuration).</w:t>
            </w:r>
          </w:p>
        </w:tc>
      </w:tr>
      <w:tr>
        <w:tc>
          <w:tcPr>
            <w:tcW w:type="dxa" w:w="567"/>
          </w:tcPr>
          <w:p>
            <w:pPr>
              <w:jc w:val="both"/>
            </w:pPr>
            <w:r/>
            <w:r>
              <w:rPr>
                <w:sz w:val="19"/>
              </w:rPr>
              <w:t>4</w:t>
            </w:r>
          </w:p>
        </w:tc>
        <w:tc>
          <w:tcPr>
            <w:tcW w:type="dxa" w:w="1928"/>
          </w:tcPr>
          <w:p>
            <w:pPr>
              <w:jc w:val="both"/>
            </w:pPr>
            <w:r/>
            <w:r>
              <w:rPr>
                <w:sz w:val="19"/>
              </w:rPr>
              <w:t>Pajak (PPN)</w:t>
            </w:r>
          </w:p>
        </w:tc>
        <w:tc>
          <w:tcPr>
            <w:tcW w:type="dxa" w:w="2835"/>
          </w:tcPr>
          <w:p>
            <w:pPr>
              <w:jc w:val="both"/>
            </w:pPr>
            <w:r/>
            <w:r>
              <w:rPr>
                <w:sz w:val="19"/>
              </w:rPr>
              <w:t>Konfigurasi tax + Coretax.</w:t>
            </w:r>
          </w:p>
        </w:tc>
        <w:tc>
          <w:tcPr>
            <w:tcW w:type="dxa" w:w="3855"/>
          </w:tcPr>
          <w:p>
            <w:pPr>
              <w:jc w:val="both"/>
            </w:pPr>
            <w:r/>
            <w:r>
              <w:rPr>
                <w:sz w:val="19"/>
              </w:rPr>
              <w:t>custom_coretax + konfigurasi tax.</w:t>
            </w:r>
          </w:p>
        </w:tc>
      </w:tr>
      <w:tr>
        <w:tc>
          <w:tcPr>
            <w:tcW w:type="dxa" w:w="567"/>
          </w:tcPr>
          <w:p>
            <w:pPr>
              <w:jc w:val="both"/>
            </w:pPr>
            <w:r/>
            <w:r>
              <w:rPr>
                <w:sz w:val="19"/>
              </w:rPr>
              <w:t>5</w:t>
            </w:r>
          </w:p>
        </w:tc>
        <w:tc>
          <w:tcPr>
            <w:tcW w:type="dxa" w:w="1928"/>
          </w:tcPr>
          <w:p>
            <w:pPr>
              <w:jc w:val="both"/>
            </w:pPr>
            <w:r/>
            <w:r>
              <w:rPr>
                <w:sz w:val="19"/>
              </w:rPr>
              <w:t>Vendor PT SES</w:t>
            </w:r>
          </w:p>
        </w:tc>
        <w:tc>
          <w:tcPr>
            <w:tcW w:type="dxa" w:w="2835"/>
          </w:tcPr>
          <w:p>
            <w:pPr>
              <w:jc w:val="both"/>
            </w:pPr>
            <w:r/>
            <w:r>
              <w:rPr>
                <w:sz w:val="19"/>
              </w:rPr>
              <w:t>Data Procurement.</w:t>
            </w:r>
          </w:p>
        </w:tc>
        <w:tc>
          <w:tcPr>
            <w:tcW w:type="dxa" w:w="3855"/>
          </w:tcPr>
          <w:p>
            <w:pPr>
              <w:jc w:val="both"/>
            </w:pPr>
            <w:r/>
            <w:r>
              <w:rPr>
                <w:sz w:val="19"/>
              </w:rPr>
              <w:t>Manual / import partner.</w:t>
            </w:r>
          </w:p>
        </w:tc>
      </w:tr>
      <w:tr>
        <w:tc>
          <w:tcPr>
            <w:tcW w:type="dxa" w:w="567"/>
          </w:tcPr>
          <w:p>
            <w:pPr>
              <w:jc w:val="both"/>
            </w:pPr>
            <w:r/>
            <w:r>
              <w:rPr>
                <w:sz w:val="19"/>
              </w:rPr>
              <w:t>6</w:t>
            </w:r>
          </w:p>
        </w:tc>
        <w:tc>
          <w:tcPr>
            <w:tcW w:type="dxa" w:w="1928"/>
          </w:tcPr>
          <w:p>
            <w:pPr>
              <w:jc w:val="both"/>
            </w:pPr>
            <w:r/>
            <w:r>
              <w:rPr>
                <w:sz w:val="19"/>
              </w:rPr>
              <w:t>Master Produk</w:t>
            </w:r>
          </w:p>
        </w:tc>
        <w:tc>
          <w:tcPr>
            <w:tcW w:type="dxa" w:w="2835"/>
          </w:tcPr>
          <w:p>
            <w:pPr>
              <w:jc w:val="both"/>
            </w:pPr>
            <w:r/>
            <w:r>
              <w:rPr>
                <w:sz w:val="19"/>
              </w:rPr>
              <w:t>X101 (±14.885 artikel / ±159.658 SKU).</w:t>
            </w:r>
          </w:p>
        </w:tc>
        <w:tc>
          <w:tcPr>
            <w:tcW w:type="dxa" w:w="3855"/>
          </w:tcPr>
          <w:p>
            <w:pPr>
              <w:jc w:val="both"/>
            </w:pPr>
            <w:r/>
            <w:r>
              <w:rPr>
                <w:sz w:val="19"/>
              </w:rPr>
              <w:t>Profil levis_x101 (asinkron ±30 menit).</w:t>
            </w:r>
          </w:p>
        </w:tc>
      </w:tr>
      <w:tr>
        <w:tc>
          <w:tcPr>
            <w:tcW w:type="dxa" w:w="567"/>
          </w:tcPr>
          <w:p>
            <w:pPr>
              <w:jc w:val="both"/>
            </w:pPr>
            <w:r/>
            <w:r>
              <w:rPr>
                <w:sz w:val="19"/>
              </w:rPr>
              <w:t>7</w:t>
            </w:r>
          </w:p>
        </w:tc>
        <w:tc>
          <w:tcPr>
            <w:tcW w:type="dxa" w:w="1928"/>
          </w:tcPr>
          <w:p>
            <w:pPr>
              <w:jc w:val="both"/>
            </w:pPr>
            <w:r/>
            <w:r>
              <w:rPr>
                <w:sz w:val="19"/>
              </w:rPr>
              <w:t>Store Master → Warehouse</w:t>
            </w:r>
          </w:p>
        </w:tc>
        <w:tc>
          <w:tcPr>
            <w:tcW w:type="dxa" w:w="2835"/>
          </w:tcPr>
          <w:p>
            <w:pPr>
              <w:jc w:val="both"/>
            </w:pPr>
            <w:r/>
            <w:r>
              <w:rPr>
                <w:sz w:val="19"/>
              </w:rPr>
              <w:t>Store Master (24 lokasi).</w:t>
            </w:r>
          </w:p>
        </w:tc>
        <w:tc>
          <w:tcPr>
            <w:tcW w:type="dxa" w:w="3855"/>
          </w:tcPr>
          <w:p>
            <w:pPr>
              <w:jc w:val="both"/>
            </w:pPr>
            <w:r/>
            <w:r>
              <w:rPr>
                <w:sz w:val="19"/>
              </w:rPr>
              <w:t>Loader Track A / profil store_master.</w:t>
            </w:r>
          </w:p>
        </w:tc>
      </w:tr>
      <w:tr>
        <w:tc>
          <w:tcPr>
            <w:tcW w:type="dxa" w:w="567"/>
          </w:tcPr>
          <w:p>
            <w:pPr>
              <w:jc w:val="both"/>
            </w:pPr>
            <w:r/>
            <w:r>
              <w:rPr>
                <w:sz w:val="19"/>
              </w:rPr>
              <w:t>8</w:t>
            </w:r>
          </w:p>
        </w:tc>
        <w:tc>
          <w:tcPr>
            <w:tcW w:type="dxa" w:w="1928"/>
          </w:tcPr>
          <w:p>
            <w:pPr>
              <w:jc w:val="both"/>
            </w:pPr>
            <w:r/>
            <w:r>
              <w:rPr>
                <w:sz w:val="19"/>
              </w:rPr>
              <w:t>Saldo Awal Stok</w:t>
            </w:r>
          </w:p>
        </w:tc>
        <w:tc>
          <w:tcPr>
            <w:tcW w:type="dxa" w:w="2835"/>
          </w:tcPr>
          <w:p>
            <w:pPr>
              <w:jc w:val="both"/>
            </w:pPr>
            <w:r/>
            <w:r>
              <w:rPr>
                <w:sz w:val="19"/>
              </w:rPr>
              <w:t>X20 on-hand cut-over.</w:t>
            </w:r>
          </w:p>
        </w:tc>
        <w:tc>
          <w:tcPr>
            <w:tcW w:type="dxa" w:w="3855"/>
          </w:tcPr>
          <w:p>
            <w:pPr>
              <w:jc w:val="both"/>
            </w:pPr>
            <w:r/>
            <w:r>
              <w:rPr>
                <w:sz w:val="19"/>
              </w:rPr>
              <w:t>Profil levis_x20 (one-shot; prasyarat 6 &amp; 7).</w:t>
            </w:r>
          </w:p>
        </w:tc>
      </w:tr>
      <w:tr>
        <w:tc>
          <w:tcPr>
            <w:tcW w:type="dxa" w:w="567"/>
          </w:tcPr>
          <w:p>
            <w:pPr>
              <w:jc w:val="both"/>
            </w:pPr>
            <w:r/>
            <w:r>
              <w:rPr>
                <w:sz w:val="19"/>
              </w:rPr>
              <w:t>9</w:t>
            </w:r>
          </w:p>
        </w:tc>
        <w:tc>
          <w:tcPr>
            <w:tcW w:type="dxa" w:w="1928"/>
          </w:tcPr>
          <w:p>
            <w:pPr>
              <w:jc w:val="both"/>
            </w:pPr>
            <w:r/>
            <w:r>
              <w:rPr>
                <w:sz w:val="19"/>
              </w:rPr>
              <w:t>Transaksi Harian</w:t>
            </w:r>
          </w:p>
        </w:tc>
        <w:tc>
          <w:tcPr>
            <w:tcW w:type="dxa" w:w="2835"/>
          </w:tcPr>
          <w:p>
            <w:pPr>
              <w:jc w:val="both"/>
            </w:pPr>
            <w:r/>
            <w:r>
              <w:rPr>
                <w:sz w:val="19"/>
              </w:rPr>
              <w:t>X24/X70D/X32P/X31.</w:t>
            </w:r>
          </w:p>
        </w:tc>
        <w:tc>
          <w:tcPr>
            <w:tcW w:type="dxa" w:w="3855"/>
          </w:tcPr>
          <w:p>
            <w:pPr>
              <w:jc w:val="both"/>
            </w:pPr>
            <w:r/>
            <w:r>
              <w:rPr>
                <w:sz w:val="19"/>
              </w:rPr>
              <w:t>Wizard (Phase 1) → SFTP feed (Phase 2).</w:t>
            </w:r>
          </w:p>
        </w:tc>
      </w:tr>
    </w:tbl>
    <w:p>
      <w:pPr>
        <w:spacing w:after="40"/>
      </w:pPr>
    </w:p>
    <w:p>
      <w:pPr>
        <w:pStyle w:val="Heading1"/>
      </w:pPr>
      <w:r>
        <w:t>7. Roadmap Integrasi</w:t>
      </w:r>
    </w:p>
    <w:p>
      <w:pPr>
        <w:pStyle w:val="Heading2"/>
      </w:pPr>
      <w:r>
        <w:t>7.1 Phase 1 — Mirroring Manual Excel/CSV</w:t>
      </w:r>
    </w:p>
    <w:p>
      <w:pPr>
        <w:spacing w:after="120"/>
        <w:jc w:val="both"/>
      </w:pPr>
      <w:r>
        <w:rPr>
          <w:b w:val="0"/>
          <w:i w:val="0"/>
        </w:rPr>
        <w:t>Tim ops mengekspor report principal lalu mengunggahnya ke Odoo melalui wizard import dengan mapping kolom pada profil. Validasi (jumlah baris, total nilai, exception report) dilakukan sebelum posting. Sesuai untuk masa awal pembukaan toko dan stabilisasi master data.</w:t>
      </w:r>
    </w:p>
    <w:p>
      <w:pPr>
        <w:pStyle w:val="Heading2"/>
      </w:pPr>
      <w:r>
        <w:t>7.2 Phase 2 — FTP/SFTP Erajaya</w:t>
      </w:r>
    </w:p>
    <w:p>
      <w:pPr>
        <w:spacing w:after="120"/>
        <w:jc w:val="both"/>
      </w:pPr>
      <w:r>
        <w:rPr>
          <w:b w:val="0"/>
          <w:i w:val="0"/>
        </w:rPr>
        <w:t>File report di-drop otomatis ke server FTP/SFTP Erajaya sesuai jadwal. Odoo polling terjadwal — mengambil, parsing, import, lalu mengarsipkan ke folder incoming/processed/error — dan mengirim notifikasi bila file gagal diparse atau ada selisih rekonsiliasi. Menghilangkan proses manual sehingga data toko mutakhir H+0–H+1.</w:t>
      </w:r>
    </w:p>
    <w:p>
      <w:pPr>
        <w:pStyle w:val="Heading1"/>
      </w:pPr>
      <w:r>
        <w:t>8. Asumsi, Dependensi, dan Isu Terbuka</w:t>
      </w:r>
    </w:p>
    <w:p>
      <w:pPr>
        <w:pStyle w:val="Heading2"/>
      </w:pPr>
      <w:r>
        <w:t>8.1 Asumsi</w:t>
      </w:r>
    </w:p>
    <w:p>
      <w:pPr>
        <w:pStyle w:val="ListBullet"/>
        <w:jc w:val="both"/>
      </w:pPr>
      <w:r>
        <w:t>Odoo PT EBR berperan sebagai sistem pembukuan, bukan sistem transaksional toko; sumber transaksi tetap POS principal dan SAP SES.</w:t>
      </w:r>
    </w:p>
    <w:p>
      <w:pPr>
        <w:pStyle w:val="ListBullet"/>
        <w:jc w:val="both"/>
      </w:pPr>
      <w:r>
        <w:t>Struktur report principal stabil; perubahan ditangani melalui penyesuaian profil import.</w:t>
      </w:r>
    </w:p>
    <w:p>
      <w:pPr>
        <w:pStyle w:val="ListBullet"/>
        <w:jc w:val="both"/>
      </w:pPr>
      <w:r>
        <w:t>Kode toko SAP menjadi kunci penghubung seluruh file X terhadap warehouse Odoo.</w:t>
      </w:r>
    </w:p>
    <w:p>
      <w:pPr>
        <w:pStyle w:val="ListBullet"/>
        <w:jc w:val="both"/>
      </w:pPr>
      <w:r>
        <w:t>Akses server FTP/SFTP Erajaya disediakan sebelum Phase 2 dimulai.</w:t>
      </w:r>
    </w:p>
    <w:p>
      <w:pPr>
        <w:pStyle w:val="Heading2"/>
      </w:pPr>
      <w:r>
        <w:t>8.2 Isu Terbuka (Sebelum Go-Live Penuh)</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567"/>
            <w:shd w:val="clear" w:fill="1A2332"/>
          </w:tcPr>
          <w:p>
            <w:r/>
            <w:r>
              <w:rPr>
                <w:b/>
                <w:color w:val="FFFFFF"/>
                <w:sz w:val="19"/>
              </w:rPr>
              <w:t>No</w:t>
            </w:r>
          </w:p>
        </w:tc>
        <w:tc>
          <w:tcPr>
            <w:tcW w:type="dxa" w:w="3061"/>
            <w:shd w:val="clear" w:fill="1A2332"/>
          </w:tcPr>
          <w:p>
            <w:r/>
            <w:r>
              <w:rPr>
                <w:b/>
                <w:color w:val="FFFFFF"/>
                <w:sz w:val="19"/>
              </w:rPr>
              <w:t>Isu</w:t>
            </w:r>
          </w:p>
        </w:tc>
        <w:tc>
          <w:tcPr>
            <w:tcW w:type="dxa" w:w="2608"/>
            <w:shd w:val="clear" w:fill="1A2332"/>
          </w:tcPr>
          <w:p>
            <w:r/>
            <w:r>
              <w:rPr>
                <w:b/>
                <w:color w:val="FFFFFF"/>
                <w:sz w:val="19"/>
              </w:rPr>
              <w:t>Dampak</w:t>
            </w:r>
          </w:p>
        </w:tc>
        <w:tc>
          <w:tcPr>
            <w:tcW w:type="dxa" w:w="2948"/>
            <w:shd w:val="clear" w:fill="1A2332"/>
          </w:tcPr>
          <w:p>
            <w:r/>
            <w:r>
              <w:rPr>
                <w:b/>
                <w:color w:val="FFFFFF"/>
                <w:sz w:val="19"/>
              </w:rPr>
              <w:t>Tindak Lanjut</w:t>
            </w:r>
          </w:p>
        </w:tc>
      </w:tr>
      <w:tr>
        <w:tc>
          <w:tcPr>
            <w:tcW w:type="dxa" w:w="567"/>
          </w:tcPr>
          <w:p>
            <w:pPr>
              <w:jc w:val="both"/>
            </w:pPr>
            <w:r/>
            <w:r>
              <w:rPr>
                <w:sz w:val="19"/>
              </w:rPr>
              <w:t>1</w:t>
            </w:r>
          </w:p>
        </w:tc>
        <w:tc>
          <w:tcPr>
            <w:tcW w:type="dxa" w:w="3061"/>
          </w:tcPr>
          <w:p>
            <w:pPr>
              <w:jc w:val="both"/>
            </w:pPr>
            <w:r/>
            <w:r>
              <w:rPr>
                <w:sz w:val="19"/>
              </w:rPr>
              <w:t>File X20/X24/X70D masih sampel satu toko (store 14694 — Tunjungan Plaza 3).</w:t>
            </w:r>
          </w:p>
        </w:tc>
        <w:tc>
          <w:tcPr>
            <w:tcW w:type="dxa" w:w="2608"/>
          </w:tcPr>
          <w:p>
            <w:pPr>
              <w:jc w:val="both"/>
            </w:pPr>
            <w:r/>
            <w:r>
              <w:rPr>
                <w:sz w:val="19"/>
              </w:rPr>
              <w:t>Saldo awal &amp; penjualan hanya untuk satu toko.</w:t>
            </w:r>
          </w:p>
        </w:tc>
        <w:tc>
          <w:tcPr>
            <w:tcW w:type="dxa" w:w="2948"/>
          </w:tcPr>
          <w:p>
            <w:pPr>
              <w:jc w:val="both"/>
            </w:pPr>
            <w:r/>
            <w:r>
              <w:rPr>
                <w:sz w:val="19"/>
              </w:rPr>
              <w:t>Minta ekstrak lengkap seluruh toko atau aktifkan feed SFTP.</w:t>
            </w:r>
          </w:p>
        </w:tc>
      </w:tr>
      <w:tr>
        <w:tc>
          <w:tcPr>
            <w:tcW w:type="dxa" w:w="567"/>
          </w:tcPr>
          <w:p>
            <w:pPr>
              <w:jc w:val="both"/>
            </w:pPr>
            <w:r/>
            <w:r>
              <w:rPr>
                <w:sz w:val="19"/>
              </w:rPr>
              <w:t>2</w:t>
            </w:r>
          </w:p>
        </w:tc>
        <w:tc>
          <w:tcPr>
            <w:tcW w:type="dxa" w:w="3061"/>
          </w:tcPr>
          <w:p>
            <w:pPr>
              <w:jc w:val="both"/>
            </w:pPr>
            <w:r/>
            <w:r>
              <w:rPr>
                <w:sz w:val="19"/>
              </w:rPr>
              <w:t>Store Master tanpa kode toko untuk 23 dari 24 lokasi.</w:t>
            </w:r>
          </w:p>
        </w:tc>
        <w:tc>
          <w:tcPr>
            <w:tcW w:type="dxa" w:w="2608"/>
          </w:tcPr>
          <w:p>
            <w:pPr>
              <w:jc w:val="both"/>
            </w:pPr>
            <w:r/>
            <w:r>
              <w:rPr>
                <w:sz w:val="19"/>
              </w:rPr>
              <w:t>Crosswalk kode toko → warehouse tidak lengkap.</w:t>
            </w:r>
          </w:p>
        </w:tc>
        <w:tc>
          <w:tcPr>
            <w:tcW w:type="dxa" w:w="2948"/>
          </w:tcPr>
          <w:p>
            <w:pPr>
              <w:jc w:val="both"/>
            </w:pPr>
            <w:r/>
            <w:r>
              <w:rPr>
                <w:sz w:val="19"/>
              </w:rPr>
              <w:t>Minta store master lengkap dengan kode SAP; loader idempoten.</w:t>
            </w:r>
          </w:p>
        </w:tc>
      </w:tr>
      <w:tr>
        <w:tc>
          <w:tcPr>
            <w:tcW w:type="dxa" w:w="567"/>
          </w:tcPr>
          <w:p>
            <w:pPr>
              <w:jc w:val="both"/>
            </w:pPr>
            <w:r/>
            <w:r>
              <w:rPr>
                <w:sz w:val="19"/>
              </w:rPr>
              <w:t>3</w:t>
            </w:r>
          </w:p>
        </w:tc>
        <w:tc>
          <w:tcPr>
            <w:tcW w:type="dxa" w:w="3061"/>
          </w:tcPr>
          <w:p>
            <w:pPr>
              <w:jc w:val="both"/>
            </w:pPr>
            <w:r/>
            <w:r>
              <w:rPr>
                <w:sz w:val="19"/>
              </w:rPr>
              <w:t>Keputusan Phase 5 (representasi POS, histori, tax mapping) belum ditetapkan.</w:t>
            </w:r>
          </w:p>
        </w:tc>
        <w:tc>
          <w:tcPr>
            <w:tcW w:type="dxa" w:w="2608"/>
          </w:tcPr>
          <w:p>
            <w:pPr>
              <w:jc w:val="both"/>
            </w:pPr>
            <w:r/>
            <w:r>
              <w:rPr>
                <w:sz w:val="19"/>
              </w:rPr>
              <w:t>Posting X24/X70D tertahan gating executor.</w:t>
            </w:r>
          </w:p>
        </w:tc>
        <w:tc>
          <w:tcPr>
            <w:tcW w:type="dxa" w:w="2948"/>
          </w:tcPr>
          <w:p>
            <w:pPr>
              <w:jc w:val="both"/>
            </w:pPr>
            <w:r/>
            <w:r>
              <w:rPr>
                <w:sz w:val="19"/>
              </w:rPr>
              <w:t>Workshop keputusan Finance EBR + tim pajak; gating dibuka setelahnya.</w:t>
            </w:r>
          </w:p>
        </w:tc>
      </w:tr>
    </w:tbl>
    <w:p>
      <w:pPr>
        <w:spacing w:after="40"/>
      </w:pPr>
    </w:p>
    <w:p>
      <w:pPr>
        <w:spacing w:after="120"/>
        <w:jc w:val="both"/>
      </w:pPr>
      <w:r>
        <w:rPr>
          <w:b w:val="0"/>
          <w:i w:val="0"/>
        </w:rPr>
        <w:t>Dengan disetujuinya dokumen ini, tim implementasi melanjutkan ke konfigurasi, migrasi data, UAT, dan persiapan go-live sesuai ruang lingkup dan roadmap. Hal di luar ruang lingkup dikelola melalui change request.</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14B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