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40"/>
        <w:jc w:val="center"/>
      </w:pPr>
      <w:r>
        <w:rPr>
          <w:b/>
          <w:i w:val="0"/>
          <w:color w:val="714B67"/>
          <w:sz w:val="44"/>
        </w:rPr>
        <w:t>PROJECT CHARTER</w:t>
      </w:r>
    </w:p>
    <w:p/>
    <w:p>
      <w:pPr>
        <w:spacing w:after="120"/>
        <w:jc w:val="center"/>
      </w:pPr>
      <w:r>
        <w:rPr>
          <w:b/>
          <w:i w:val="0"/>
          <w:sz w:val="32"/>
        </w:rPr>
        <w:t>Finance Portal on Odoo</w:t>
      </w:r>
    </w:p>
    <w:p>
      <w:pPr>
        <w:spacing w:after="120"/>
        <w:jc w:val="center"/>
      </w:pPr>
      <w:r>
        <w:rPr>
          <w:b w:val="0"/>
          <w:i w:val="0"/>
          <w:sz w:val="22"/>
        </w:rPr>
        <w:t>System of Engagement over SAP — Scope Odoo Only (Mandays)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236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Judul Dokumen</w:t>
            </w:r>
          </w:p>
        </w:tc>
        <w:tc>
          <w:tcPr>
            <w:tcW w:type="dxa" w:w="6236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Project Charter — Finance Portal on Odoo</w:t>
            </w:r>
          </w:p>
        </w:tc>
      </w:tr>
      <w:tr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Versi</w:t>
            </w:r>
          </w:p>
        </w:tc>
        <w:tc>
          <w:tcPr>
            <w:tcW w:type="dxa" w:w="6236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1.0</w:t>
            </w:r>
          </w:p>
        </w:tc>
      </w:tr>
      <w:tr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Tanggal</w:t>
            </w:r>
          </w:p>
        </w:tc>
        <w:tc>
          <w:tcPr>
            <w:tcW w:type="dxa" w:w="6236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2026-06-23</w:t>
            </w:r>
          </w:p>
        </w:tc>
      </w:tr>
      <w:tr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Disusun oleh</w:t>
            </w:r>
          </w:p>
        </w:tc>
        <w:tc>
          <w:tcPr>
            <w:tcW w:type="dxa" w:w="6236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Delivery Team (Custom Platform)</w:t>
            </w:r>
          </w:p>
        </w:tc>
      </w:tr>
      <w:tr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6236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Draft for Approval</w:t>
            </w:r>
          </w:p>
        </w:tc>
      </w:tr>
      <w:tr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Scope Effort</w:t>
            </w:r>
          </w:p>
        </w:tc>
        <w:tc>
          <w:tcPr>
            <w:tcW w:type="dxa" w:w="6236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Odoo only — effort SAP &amp; HC/HRIS dikeluarkan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Versi</w:t>
            </w:r>
          </w:p>
        </w:tc>
        <w:tc>
          <w:tcPr>
            <w:tcW w:type="dxa" w:w="1701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Tanggal</w:t>
            </w:r>
          </w:p>
        </w:tc>
        <w:tc>
          <w:tcPr>
            <w:tcW w:type="dxa" w:w="2268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Penulis</w:t>
            </w:r>
          </w:p>
        </w:tc>
        <w:tc>
          <w:tcPr>
            <w:tcW w:type="dxa" w:w="3969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Catatan</w:t>
            </w:r>
          </w:p>
        </w:tc>
      </w:tr>
      <w:tr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1.0</w:t>
            </w:r>
          </w:p>
        </w:tc>
        <w:tc>
          <w:tcPr>
            <w:tcW w:type="dxa" w:w="1701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2026-06-23</w:t>
            </w:r>
          </w:p>
        </w:tc>
        <w:tc>
          <w:tcPr>
            <w:tcW w:type="dxa" w:w="2268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Delivery Team</w:t>
            </w:r>
          </w:p>
        </w:tc>
        <w:tc>
          <w:tcPr>
            <w:tcW w:type="dxa" w:w="3969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Initial charter</w:t>
            </w:r>
          </w:p>
        </w:tc>
      </w:tr>
    </w:tbl>
    <w:p>
      <w:pPr>
        <w:spacing w:after="40"/>
      </w:pPr>
    </w:p>
    <w:p>
      <w:pPr>
        <w:pStyle w:val="Heading1"/>
      </w:pPr>
      <w:r>
        <w:t>1. Latar Belakang &amp; Justifikasi</w:t>
      </w:r>
    </w:p>
    <w:p>
      <w:pPr>
        <w:spacing w:after="120"/>
        <w:jc w:val="both"/>
      </w:pPr>
      <w:r>
        <w:rPr>
          <w:b w:val="0"/>
          <w:i w:val="0"/>
        </w:rPr>
        <w:t>Proses keuangan (Cash Advance, Reimbursement &amp; Expenses, Vendor Invoice Non-Trade, Perjalanan Dinas) belum memiliki portal pengajuan terpadu di sisi pengguna, sementara SAP S/4HANA tetap menjadi system of record (posting GL, MIRO, pembayaran, master data). Dibutuhkan Finance Portal sebagai system of engagement yang menyediakan form pengajuan, approval Tax -&gt; Finance, validasi budget/PR, lalu mendorong dokumen yang disetujui ke SAP dan menampilkan kembali status pembayaran.</w:t>
      </w:r>
    </w:p>
    <w:p>
      <w:pPr>
        <w:spacing w:after="120"/>
        <w:jc w:val="both"/>
      </w:pPr>
      <w:r>
        <w:rPr>
          <w:b w:val="0"/>
          <w:i w:val="0"/>
        </w:rPr>
        <w:t>Solusi dibangun di atas Odoo 19 dengan memanfaatkan komponen platform yang sudah ada (approval engine, adapter framework, queue/async, audit PDP, reporting) sehingga lebih cepat dan hemat dibanding aplikasi bespoke. Integrasi ke SAP/HRIS dilakukan melalui Kafka + REST dengan pendekatan contract-first.</w:t>
      </w:r>
    </w:p>
    <w:p>
      <w:pPr>
        <w:pStyle w:val="Heading1"/>
      </w:pPr>
      <w:r>
        <w:t>2. Tujuan Proyek (Objectives)</w:t>
      </w:r>
    </w:p>
    <w:p>
      <w:pPr>
        <w:pStyle w:val="ListBullet"/>
        <w:jc w:val="both"/>
      </w:pPr>
      <w:r>
        <w:t>Menyediakan portal terpadu: Cash Advance (+Realization), Reimbursement &amp; Expenses, Vendor Invoice (PO/Non-PO Non-Trade), dan settlement Perjalanan Dinas.</w:t>
      </w:r>
    </w:p>
    <w:p>
      <w:pPr>
        <w:pStyle w:val="ListBullet"/>
        <w:jc w:val="both"/>
      </w:pPr>
      <w:r>
        <w:t>Menjalankan approval dua tahap Tax Review -&gt; Finance Review dengan matrix konfigurable.</w:t>
      </w:r>
    </w:p>
    <w:p>
      <w:pPr>
        <w:pStyle w:val="ListBullet"/>
        <w:jc w:val="both"/>
      </w:pPr>
      <w:r>
        <w:t>Validasi budget per divisi dan aturan PR wajib untuk pengajuan &gt; Rp 1.000.000.</w:t>
      </w:r>
    </w:p>
    <w:p>
      <w:pPr>
        <w:pStyle w:val="ListBullet"/>
        <w:jc w:val="both"/>
      </w:pPr>
      <w:r>
        <w:t>Integrasi dengan SAP (push GL/journal/MIRO, terima payment plan &amp; status) dan HRIS (read travel) melalui kontrak yang disepakati.</w:t>
      </w:r>
    </w:p>
    <w:p>
      <w:pPr>
        <w:pStyle w:val="ListBullet"/>
        <w:jc w:val="both"/>
      </w:pPr>
      <w:r>
        <w:t>Menyediakan SSO (Keycloak) untuk login karyawan &amp; vendor.</w:t>
      </w:r>
    </w:p>
    <w:p>
      <w:pPr>
        <w:pStyle w:val="ListBullet"/>
        <w:jc w:val="both"/>
      </w:pPr>
      <w:r>
        <w:t>Odoo tidak melakukan posting GL — pembukuan tetap di SAP.</w:t>
      </w:r>
    </w:p>
    <w:p>
      <w:pPr>
        <w:pStyle w:val="Heading1"/>
      </w:pPr>
      <w:r>
        <w:t>3. Kriteria Sukses (Success Criteria / KPI)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236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type="dxa" w:w="2835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6236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Modul Odoo terinstal &amp; lulus uji (unit + SIT)</w:t>
            </w:r>
          </w:p>
        </w:tc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100% modul in-scope</w:t>
            </w:r>
          </w:p>
        </w:tc>
      </w:tr>
      <w:tr>
        <w:tc>
          <w:tcPr>
            <w:tcW w:type="dxa" w:w="6236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End-to-end happy path (submit -&gt; Tax -&gt; Finance -&gt; push SAP -&gt; status mirror)</w:t>
            </w:r>
          </w:p>
        </w:tc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Lulus di SIT &amp; UAT</w:t>
            </w:r>
          </w:p>
        </w:tc>
      </w:tr>
      <w:tr>
        <w:tc>
          <w:tcPr>
            <w:tcW w:type="dxa" w:w="6236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UAT sign-off oleh user Finance/Tax</w:t>
            </w:r>
          </w:p>
        </w:tc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Tercapai sebelum Go-Live</w:t>
            </w:r>
          </w:p>
        </w:tc>
      </w:tr>
      <w:tr>
        <w:tc>
          <w:tcPr>
            <w:tcW w:type="dxa" w:w="6236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Login SSO (karyawan &amp; vendor) + role mapping benar</w:t>
            </w:r>
          </w:p>
        </w:tc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100% skenario</w:t>
            </w:r>
          </w:p>
        </w:tc>
      </w:tr>
      <w:tr>
        <w:tc>
          <w:tcPr>
            <w:tcW w:type="dxa" w:w="6236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Defect Sev-1/Sev-2 saat Go-Live</w:t>
            </w:r>
          </w:p>
        </w:tc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0 open</w:t>
            </w:r>
          </w:p>
        </w:tc>
      </w:tr>
      <w:tr>
        <w:tc>
          <w:tcPr>
            <w:tcW w:type="dxa" w:w="6236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Go-Live sesuai timeline</w:t>
            </w:r>
          </w:p>
        </w:tc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±W21</w:t>
            </w:r>
          </w:p>
        </w:tc>
      </w:tr>
    </w:tbl>
    <w:p>
      <w:pPr>
        <w:spacing w:after="40"/>
      </w:pPr>
    </w:p>
    <w:p>
      <w:pPr>
        <w:pStyle w:val="Heading1"/>
      </w:pPr>
      <w:r>
        <w:t>4. Ruang Lingkup (Scope)</w:t>
      </w:r>
    </w:p>
    <w:p>
      <w:pPr>
        <w:pStyle w:val="Heading2"/>
      </w:pPr>
      <w:r>
        <w:t>4.1 In-Scope (Odoo)</w:t>
      </w:r>
    </w:p>
    <w:p>
      <w:pPr>
        <w:pStyle w:val="ListBullet"/>
        <w:jc w:val="both"/>
      </w:pPr>
      <w:r>
        <w:t>Modul: custom_finance_portal, custom_finance_budget, custom_finance_portal_sap (adapter sisi Odoo), custom_finance_portal_sso.</w:t>
      </w:r>
    </w:p>
    <w:p>
      <w:pPr>
        <w:pStyle w:val="ListBullet"/>
        <w:jc w:val="both"/>
      </w:pPr>
      <w:r>
        <w:t>Dokumen + workflow approval Tax-&gt;Finance, budget control, aturan PR &gt; Rp 1jt.</w:t>
      </w:r>
    </w:p>
    <w:p>
      <w:pPr>
        <w:pStyle w:val="ListBullet"/>
        <w:jc w:val="both"/>
      </w:pPr>
      <w:r>
        <w:t>Adapter Odoo ke kontrak REST integrasi, upsert master idempoten, webhook status (HMAC), push job async, sync log + menu.</w:t>
      </w:r>
    </w:p>
    <w:p>
      <w:pPr>
        <w:pStyle w:val="ListBullet"/>
        <w:jc w:val="both"/>
      </w:pPr>
      <w:r>
        <w:t>Vendor Portal (login SSO, submit invoice, tracking), SSO Keycloak (config sisi Odoo).</w:t>
      </w:r>
    </w:p>
    <w:p>
      <w:pPr>
        <w:pStyle w:val="ListBullet"/>
        <w:jc w:val="both"/>
      </w:pPr>
      <w:r>
        <w:t>Reporting (login/transaction/sync log), dashboard, konfigurasi, security/PDP audit, hardening.</w:t>
      </w:r>
    </w:p>
    <w:p>
      <w:pPr>
        <w:pStyle w:val="Heading2"/>
      </w:pPr>
      <w:r>
        <w:t>4.2 Out-of-Scope (DIKELUARKAN)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5102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Penjelasan</w:t>
            </w:r>
          </w:p>
        </w:tc>
        <w:tc>
          <w:tcPr>
            <w:tcW w:type="dxa" w:w="1984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Pemilik</w:t>
            </w:r>
          </w:p>
        </w:tc>
      </w:tr>
      <w:tr>
        <w:tc>
          <w:tcPr>
            <w:tcW w:type="dxa" w:w="198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SAP development</w:t>
            </w:r>
          </w:p>
        </w:tc>
        <w:tc>
          <w:tcPr>
            <w:tcW w:type="dxa" w:w="5102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ABAP/CPI/OData, posting GL/journal/MIRO, expose PR/PO/GR non-trade + nilai/status, payment list, attachment SAP Basis, approval status PO</w:t>
            </w:r>
          </w:p>
        </w:tc>
        <w:tc>
          <w:tcPr>
            <w:tcW w:type="dxa" w:w="198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Tim SAP klien</w:t>
            </w:r>
          </w:p>
        </w:tc>
      </w:tr>
      <w:tr>
        <w:tc>
          <w:tcPr>
            <w:tcW w:type="dxa" w:w="198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HC / HRIS development</w:t>
            </w:r>
          </w:p>
        </w:tc>
        <w:tc>
          <w:tcPr>
            <w:tcW w:type="dxa" w:w="5102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Konektor HRIS-&gt;Kafka, perubahan modul travel, ekstraksi employee master</w:t>
            </w:r>
          </w:p>
        </w:tc>
        <w:tc>
          <w:tcPr>
            <w:tcW w:type="dxa" w:w="198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Tim HC/HRIS klien</w:t>
            </w:r>
          </w:p>
        </w:tc>
      </w:tr>
      <w:tr>
        <w:tc>
          <w:tcPr>
            <w:tcW w:type="dxa" w:w="198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Kafka &amp; konektor</w:t>
            </w:r>
          </w:p>
        </w:tc>
        <w:tc>
          <w:tcPr>
            <w:tcW w:type="dxa" w:w="5102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Cluster Kafka, topik, konektor SAP&lt;-&gt;Kafka &amp; Kafka&lt;-&gt;Portal</w:t>
            </w:r>
          </w:p>
        </w:tc>
        <w:tc>
          <w:tcPr>
            <w:tcW w:type="dxa" w:w="198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Tim integrasi/Kafka klien</w:t>
            </w:r>
          </w:p>
        </w:tc>
      </w:tr>
      <w:tr>
        <w:tc>
          <w:tcPr>
            <w:tcW w:type="dxa" w:w="198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Infrastruktur non-Odoo</w:t>
            </w:r>
          </w:p>
        </w:tc>
        <w:tc>
          <w:tcPr>
            <w:tcW w:type="dxa" w:w="5102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Provisioning Keycloak server, jaringan, sertifikat</w:t>
            </w:r>
          </w:p>
        </w:tc>
        <w:tc>
          <w:tcPr>
            <w:tcW w:type="dxa" w:w="198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Tim infra klien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b w:val="0"/>
          <w:i/>
        </w:rPr>
        <w:t>Sisi Odoo build terhadap kontrak (JSON + topik) sehingga dapat dikerjakan paralel.</w:t>
      </w:r>
    </w:p>
    <w:p>
      <w:pPr>
        <w:pStyle w:val="Heading1"/>
      </w:pPr>
      <w:r>
        <w:t>5. Deliverables Utama</w:t>
      </w:r>
    </w:p>
    <w:p>
      <w:pPr>
        <w:pStyle w:val="ListBullet"/>
        <w:jc w:val="both"/>
      </w:pPr>
      <w:r>
        <w:t>4 modul Odoo terinstal &amp; teruji.</w:t>
      </w:r>
    </w:p>
    <w:p>
      <w:pPr>
        <w:pStyle w:val="ListBullet"/>
        <w:jc w:val="both"/>
      </w:pPr>
      <w:r>
        <w:t>Konfigurasi SSO Keycloak (sisi Odoo) + role mapping.</w:t>
      </w:r>
    </w:p>
    <w:p>
      <w:pPr>
        <w:pStyle w:val="ListBullet"/>
        <w:jc w:val="both"/>
      </w:pPr>
      <w:r>
        <w:t>Dokumentasi: FSD, TSD, kontrak integrasi (JSON + topik), runbook deploy, user guide.</w:t>
      </w:r>
    </w:p>
    <w:p>
      <w:pPr>
        <w:pStyle w:val="ListBullet"/>
        <w:jc w:val="both"/>
      </w:pPr>
      <w:r>
        <w:t>Laporan UAT &amp; sign-off, rencana cutover, laporan hypercare.</w:t>
      </w:r>
    </w:p>
    <w:p>
      <w:pPr>
        <w:pStyle w:val="Heading1"/>
      </w:pPr>
      <w:r>
        <w:t>6. Milestone &amp; Timeline (±24 minggu / ±6 bulan)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6236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1984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Target Minggu</w:t>
            </w:r>
          </w:p>
        </w:tc>
      </w:tr>
      <w:tr>
        <w:tc>
          <w:tcPr>
            <w:tcW w:type="dxa" w:w="85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M1</w:t>
            </w:r>
          </w:p>
        </w:tc>
        <w:tc>
          <w:tcPr>
            <w:tcW w:type="dxa" w:w="6236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Requirement &amp; kontrak integrasi final</w:t>
            </w:r>
          </w:p>
        </w:tc>
        <w:tc>
          <w:tcPr>
            <w:tcW w:type="dxa" w:w="198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W3</w:t>
            </w:r>
          </w:p>
        </w:tc>
      </w:tr>
      <w:tr>
        <w:tc>
          <w:tcPr>
            <w:tcW w:type="dxa" w:w="85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M2</w:t>
            </w:r>
          </w:p>
        </w:tc>
        <w:tc>
          <w:tcPr>
            <w:tcW w:type="dxa" w:w="6236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Design (FSD/TSD) sign-off</w:t>
            </w:r>
          </w:p>
        </w:tc>
        <w:tc>
          <w:tcPr>
            <w:tcW w:type="dxa" w:w="198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W5</w:t>
            </w:r>
          </w:p>
        </w:tc>
      </w:tr>
      <w:tr>
        <w:tc>
          <w:tcPr>
            <w:tcW w:type="dxa" w:w="85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M3</w:t>
            </w:r>
          </w:p>
        </w:tc>
        <w:tc>
          <w:tcPr>
            <w:tcW w:type="dxa" w:w="6236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Feature complete (Build)</w:t>
            </w:r>
          </w:p>
        </w:tc>
        <w:tc>
          <w:tcPr>
            <w:tcW w:type="dxa" w:w="198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W15</w:t>
            </w:r>
          </w:p>
        </w:tc>
      </w:tr>
      <w:tr>
        <w:tc>
          <w:tcPr>
            <w:tcW w:type="dxa" w:w="85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M4</w:t>
            </w:r>
          </w:p>
        </w:tc>
        <w:tc>
          <w:tcPr>
            <w:tcW w:type="dxa" w:w="6236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SIT pass (gated: konektor SAP/Kafka/HRIS ready)</w:t>
            </w:r>
          </w:p>
        </w:tc>
        <w:tc>
          <w:tcPr>
            <w:tcW w:type="dxa" w:w="198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W17</w:t>
            </w:r>
          </w:p>
        </w:tc>
      </w:tr>
      <w:tr>
        <w:tc>
          <w:tcPr>
            <w:tcW w:type="dxa" w:w="85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M5</w:t>
            </w:r>
          </w:p>
        </w:tc>
        <w:tc>
          <w:tcPr>
            <w:tcW w:type="dxa" w:w="6236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UAT sign-off</w:t>
            </w:r>
          </w:p>
        </w:tc>
        <w:tc>
          <w:tcPr>
            <w:tcW w:type="dxa" w:w="198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W20</w:t>
            </w:r>
          </w:p>
        </w:tc>
      </w:tr>
      <w:tr>
        <w:tc>
          <w:tcPr>
            <w:tcW w:type="dxa" w:w="85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M6</w:t>
            </w:r>
          </w:p>
        </w:tc>
        <w:tc>
          <w:tcPr>
            <w:tcW w:type="dxa" w:w="6236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Go-Live</w:t>
            </w:r>
          </w:p>
        </w:tc>
        <w:tc>
          <w:tcPr>
            <w:tcW w:type="dxa" w:w="198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W21</w:t>
            </w:r>
          </w:p>
        </w:tc>
      </w:tr>
      <w:tr>
        <w:tc>
          <w:tcPr>
            <w:tcW w:type="dxa" w:w="85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M7</w:t>
            </w:r>
          </w:p>
        </w:tc>
        <w:tc>
          <w:tcPr>
            <w:tcW w:type="dxa" w:w="6236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Hypercare selesai &amp; handover</w:t>
            </w:r>
          </w:p>
        </w:tc>
        <w:tc>
          <w:tcPr>
            <w:tcW w:type="dxa" w:w="198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W24</w:t>
            </w:r>
          </w:p>
        </w:tc>
      </w:tr>
    </w:tbl>
    <w:p>
      <w:pPr>
        <w:spacing w:after="40"/>
      </w:pPr>
    </w:p>
    <w:p>
      <w:pPr>
        <w:pStyle w:val="Heading1"/>
      </w:pPr>
      <w:r>
        <w:t>7. Estimasi Effort &amp; Resource (Mandays — Odoo Only)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3969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1020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PMO</w:t>
            </w:r>
          </w:p>
        </w:tc>
        <w:tc>
          <w:tcPr>
            <w:tcW w:type="dxa" w:w="1020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BA</w:t>
            </w:r>
          </w:p>
        </w:tc>
        <w:tc>
          <w:tcPr>
            <w:tcW w:type="dxa" w:w="1020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Dev</w:t>
            </w:r>
          </w:p>
        </w:tc>
        <w:tc>
          <w:tcPr>
            <w:tcW w:type="dxa" w:w="1020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QA</w:t>
            </w:r>
          </w:p>
        </w:tc>
        <w:tc>
          <w:tcPr>
            <w:tcW w:type="dxa" w:w="1134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Total</w:t>
            </w:r>
          </w:p>
        </w:tc>
      </w:tr>
      <w:tr>
        <w:tc>
          <w:tcPr>
            <w:tcW w:type="dxa" w:w="3969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1. Requirement Gathering &amp; Analysis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37</w:t>
            </w:r>
          </w:p>
        </w:tc>
      </w:tr>
      <w:tr>
        <w:tc>
          <w:tcPr>
            <w:tcW w:type="dxa" w:w="3969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2. Design (FSD/TSD)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27</w:t>
            </w:r>
          </w:p>
        </w:tc>
      </w:tr>
      <w:tr>
        <w:tc>
          <w:tcPr>
            <w:tcW w:type="dxa" w:w="3969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3. Build / Development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35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123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44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220</w:t>
            </w:r>
          </w:p>
        </w:tc>
      </w:tr>
      <w:tr>
        <w:tc>
          <w:tcPr>
            <w:tcW w:type="dxa" w:w="3969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4. SIT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39</w:t>
            </w:r>
          </w:p>
        </w:tc>
      </w:tr>
      <w:tr>
        <w:tc>
          <w:tcPr>
            <w:tcW w:type="dxa" w:w="3969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5. UAT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37</w:t>
            </w:r>
          </w:p>
        </w:tc>
      </w:tr>
      <w:tr>
        <w:tc>
          <w:tcPr>
            <w:tcW w:type="dxa" w:w="3969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6. Cutover &amp; Go-Live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20</w:t>
            </w:r>
          </w:p>
        </w:tc>
      </w:tr>
      <w:tr>
        <w:tc>
          <w:tcPr>
            <w:tcW w:type="dxa" w:w="3969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7. Post Go-Live / Hypercare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21</w:t>
            </w:r>
          </w:p>
        </w:tc>
      </w:tr>
      <w:tr>
        <w:tc>
          <w:tcPr>
            <w:tcW w:type="dxa" w:w="3969"/>
            <w:shd w:val="clear" w:fill="EDE7EC"/>
          </w:tcPr>
          <w:p>
            <w:pPr>
              <w:jc w:val="both"/>
            </w:pPr>
            <w:r/>
            <w:r>
              <w:rPr>
                <w:b/>
                <w:sz w:val="19"/>
              </w:rPr>
              <w:t>Subtotal</w:t>
            </w:r>
          </w:p>
        </w:tc>
        <w:tc>
          <w:tcPr>
            <w:tcW w:type="dxa" w:w="1020"/>
            <w:shd w:val="clear" w:fill="EDE7EC"/>
          </w:tcPr>
          <w:p>
            <w:pPr>
              <w:jc w:val="both"/>
            </w:pPr>
            <w:r/>
            <w:r>
              <w:rPr>
                <w:b/>
                <w:sz w:val="19"/>
              </w:rPr>
              <w:t>47</w:t>
            </w:r>
          </w:p>
        </w:tc>
        <w:tc>
          <w:tcPr>
            <w:tcW w:type="dxa" w:w="1020"/>
            <w:shd w:val="clear" w:fill="EDE7EC"/>
          </w:tcPr>
          <w:p>
            <w:pPr>
              <w:jc w:val="both"/>
            </w:pPr>
            <w:r/>
            <w:r>
              <w:rPr>
                <w:b/>
                <w:sz w:val="19"/>
              </w:rPr>
              <w:t>93</w:t>
            </w:r>
          </w:p>
        </w:tc>
        <w:tc>
          <w:tcPr>
            <w:tcW w:type="dxa" w:w="1020"/>
            <w:shd w:val="clear" w:fill="EDE7EC"/>
          </w:tcPr>
          <w:p>
            <w:pPr>
              <w:jc w:val="both"/>
            </w:pPr>
            <w:r/>
            <w:r>
              <w:rPr>
                <w:b/>
                <w:sz w:val="19"/>
              </w:rPr>
              <w:t>177</w:t>
            </w:r>
          </w:p>
        </w:tc>
        <w:tc>
          <w:tcPr>
            <w:tcW w:type="dxa" w:w="1020"/>
            <w:shd w:val="clear" w:fill="EDE7EC"/>
          </w:tcPr>
          <w:p>
            <w:pPr>
              <w:jc w:val="both"/>
            </w:pPr>
            <w:r/>
            <w:r>
              <w:rPr>
                <w:b/>
                <w:sz w:val="19"/>
              </w:rPr>
              <w:t>84</w:t>
            </w:r>
          </w:p>
        </w:tc>
        <w:tc>
          <w:tcPr>
            <w:tcW w:type="dxa" w:w="1134"/>
            <w:shd w:val="clear" w:fill="EDE7EC"/>
          </w:tcPr>
          <w:p>
            <w:pPr>
              <w:jc w:val="both"/>
            </w:pPr>
            <w:r/>
            <w:r>
              <w:rPr>
                <w:b/>
                <w:sz w:val="19"/>
              </w:rPr>
              <w:t>401</w:t>
            </w:r>
          </w:p>
        </w:tc>
      </w:tr>
      <w:tr>
        <w:tc>
          <w:tcPr>
            <w:tcW w:type="dxa" w:w="3969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Kontingensi 15%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1020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61</w:t>
            </w:r>
          </w:p>
        </w:tc>
      </w:tr>
      <w:tr>
        <w:tc>
          <w:tcPr>
            <w:tcW w:type="dxa" w:w="3969"/>
            <w:shd w:val="clear" w:fill="EDE7EC"/>
          </w:tcPr>
          <w:p>
            <w:pPr>
              <w:jc w:val="both"/>
            </w:pPr>
            <w:r/>
            <w:r>
              <w:rPr>
                <w:b/>
                <w:sz w:val="19"/>
              </w:rPr>
              <w:t>TOTAL</w:t>
            </w:r>
          </w:p>
        </w:tc>
        <w:tc>
          <w:tcPr>
            <w:tcW w:type="dxa" w:w="1020"/>
            <w:shd w:val="clear" w:fill="EDE7EC"/>
          </w:tcPr>
          <w:p>
            <w:pPr>
              <w:jc w:val="both"/>
            </w:pPr>
            <w:r/>
            <w:r>
              <w:rPr>
                <w:b/>
                <w:sz w:val="19"/>
              </w:rPr>
              <w:t>54</w:t>
            </w:r>
          </w:p>
        </w:tc>
        <w:tc>
          <w:tcPr>
            <w:tcW w:type="dxa" w:w="1020"/>
            <w:shd w:val="clear" w:fill="EDE7EC"/>
          </w:tcPr>
          <w:p>
            <w:pPr>
              <w:jc w:val="both"/>
            </w:pPr>
            <w:r/>
            <w:r>
              <w:rPr>
                <w:b/>
                <w:sz w:val="19"/>
              </w:rPr>
              <w:t>107</w:t>
            </w:r>
          </w:p>
        </w:tc>
        <w:tc>
          <w:tcPr>
            <w:tcW w:type="dxa" w:w="1020"/>
            <w:shd w:val="clear" w:fill="EDE7EC"/>
          </w:tcPr>
          <w:p>
            <w:pPr>
              <w:jc w:val="both"/>
            </w:pPr>
            <w:r/>
            <w:r>
              <w:rPr>
                <w:b/>
                <w:sz w:val="19"/>
              </w:rPr>
              <w:t>204</w:t>
            </w:r>
          </w:p>
        </w:tc>
        <w:tc>
          <w:tcPr>
            <w:tcW w:type="dxa" w:w="1020"/>
            <w:shd w:val="clear" w:fill="EDE7EC"/>
          </w:tcPr>
          <w:p>
            <w:pPr>
              <w:jc w:val="both"/>
            </w:pPr>
            <w:r/>
            <w:r>
              <w:rPr>
                <w:b/>
                <w:sz w:val="19"/>
              </w:rPr>
              <w:t>97</w:t>
            </w:r>
          </w:p>
        </w:tc>
        <w:tc>
          <w:tcPr>
            <w:tcW w:type="dxa" w:w="1134"/>
            <w:shd w:val="clear" w:fill="EDE7EC"/>
          </w:tcPr>
          <w:p>
            <w:pPr>
              <w:jc w:val="both"/>
            </w:pPr>
            <w:r/>
            <w:r>
              <w:rPr>
                <w:b/>
                <w:sz w:val="19"/>
              </w:rPr>
              <w:t>≈462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b w:val="0"/>
          <w:i w:val="0"/>
        </w:rPr>
        <w:t>Komposisi tim: 1 PMO (part-time), 1–2 BA, 2–3 Developer, 1–2 QA.</w:t>
      </w:r>
    </w:p>
    <w:p>
      <w:pPr>
        <w:pStyle w:val="Heading2"/>
      </w:pPr>
      <w:r>
        <w:t>7.1 Detail Build per Modul (Dev / BA / QA)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69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Workstream (Odoo)</w:t>
            </w:r>
          </w:p>
        </w:tc>
        <w:tc>
          <w:tcPr>
            <w:tcW w:type="dxa" w:w="1134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Dev</w:t>
            </w:r>
          </w:p>
        </w:tc>
        <w:tc>
          <w:tcPr>
            <w:tcW w:type="dxa" w:w="1134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BA</w:t>
            </w:r>
          </w:p>
        </w:tc>
        <w:tc>
          <w:tcPr>
            <w:tcW w:type="dxa" w:w="1134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QA</w:t>
            </w:r>
          </w:p>
        </w:tc>
      </w:tr>
      <w:tr>
        <w:tc>
          <w:tcPr>
            <w:tcW w:type="dxa" w:w="5669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Foundation (SSO Odoo-side, base module, security, CI/CD)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5669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Master data + sync upsert (Odoo-side) + cron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5669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Cash Advance + Realization (+ approval Tax-&gt;Finance)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5669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Reimbursement &amp; Expenses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5669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Vendor Invoice (PO/Non-PO Non-Trade) + Vendor Portal SSO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6</w:t>
            </w:r>
          </w:p>
        </w:tc>
      </w:tr>
      <w:tr>
        <w:tc>
          <w:tcPr>
            <w:tcW w:type="dxa" w:w="5669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Perjalanan Dinas (read HRIS via kontrak + settlement)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5669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Budget control + aturan PR &gt; Rp 1jt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5669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Integration Odoo-side (adapter + push job + webhook + sync log)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6</w:t>
            </w:r>
          </w:p>
        </w:tc>
      </w:tr>
      <w:tr>
        <w:tc>
          <w:tcPr>
            <w:tcW w:type="dxa" w:w="5669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Reporting (login/transaction/sync log) + Dashboards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5669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Configuration + Limitation master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5669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Non-functional (PDP audit, security, perf, resilience)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5669"/>
            <w:shd w:val="clear" w:fill="EDE7EC"/>
          </w:tcPr>
          <w:p>
            <w:pPr>
              <w:jc w:val="both"/>
            </w:pPr>
            <w:r/>
            <w:r>
              <w:rPr>
                <w:b/>
                <w:sz w:val="19"/>
              </w:rPr>
              <w:t>Subtotal Build</w:t>
            </w:r>
          </w:p>
        </w:tc>
        <w:tc>
          <w:tcPr>
            <w:tcW w:type="dxa" w:w="1134"/>
            <w:shd w:val="clear" w:fill="EDE7EC"/>
          </w:tcPr>
          <w:p>
            <w:pPr>
              <w:jc w:val="both"/>
            </w:pPr>
            <w:r/>
            <w:r>
              <w:rPr>
                <w:b/>
                <w:sz w:val="19"/>
              </w:rPr>
              <w:t>123</w:t>
            </w:r>
          </w:p>
        </w:tc>
        <w:tc>
          <w:tcPr>
            <w:tcW w:type="dxa" w:w="1134"/>
            <w:shd w:val="clear" w:fill="EDE7EC"/>
          </w:tcPr>
          <w:p>
            <w:pPr>
              <w:jc w:val="both"/>
            </w:pPr>
            <w:r/>
            <w:r>
              <w:rPr>
                <w:b/>
                <w:sz w:val="19"/>
              </w:rPr>
              <w:t>35</w:t>
            </w:r>
          </w:p>
        </w:tc>
        <w:tc>
          <w:tcPr>
            <w:tcW w:type="dxa" w:w="1134"/>
            <w:shd w:val="clear" w:fill="EDE7EC"/>
          </w:tcPr>
          <w:p>
            <w:pPr>
              <w:jc w:val="both"/>
            </w:pPr>
            <w:r/>
            <w:r>
              <w:rPr>
                <w:b/>
                <w:sz w:val="19"/>
              </w:rPr>
              <w:t>44</w:t>
            </w:r>
          </w:p>
        </w:tc>
      </w:tr>
    </w:tbl>
    <w:p>
      <w:pPr>
        <w:spacing w:after="40"/>
      </w:pPr>
    </w:p>
    <w:p>
      <w:pPr>
        <w:pStyle w:val="Heading1"/>
      </w:pPr>
      <w:r>
        <w:t>8. Organisasi Proyek &amp; Governance</w:t>
      </w:r>
    </w:p>
    <w:p>
      <w:pPr>
        <w:pStyle w:val="Heading2"/>
      </w:pPr>
      <w:r>
        <w:t>8.1 Stakeholder &amp; Peran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Peran</w:t>
            </w:r>
          </w:p>
        </w:tc>
        <w:tc>
          <w:tcPr>
            <w:tcW w:type="dxa" w:w="6236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Tanggung Jawab</w:t>
            </w:r>
          </w:p>
        </w:tc>
      </w:tr>
      <w:tr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Project Sponsor (klien)</w:t>
            </w:r>
          </w:p>
        </w:tc>
        <w:tc>
          <w:tcPr>
            <w:tcW w:type="dxa" w:w="6236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Mandat, keputusan strategis, sign-off</w:t>
            </w:r>
          </w:p>
        </w:tc>
      </w:tr>
      <w:tr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Steering Committee</w:t>
            </w:r>
          </w:p>
        </w:tc>
        <w:tc>
          <w:tcPr>
            <w:tcW w:type="dxa" w:w="6236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Arahan, eskalasi, keputusan scope mayor</w:t>
            </w:r>
          </w:p>
        </w:tc>
      </w:tr>
      <w:tr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PMO</w:t>
            </w:r>
          </w:p>
        </w:tc>
        <w:tc>
          <w:tcPr>
            <w:tcW w:type="dxa" w:w="6236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Perencanaan, monitoring, reporting, change control, koordinasi lintas tim</w:t>
            </w:r>
          </w:p>
        </w:tc>
      </w:tr>
      <w:tr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Business Analyst (BA)</w:t>
            </w:r>
          </w:p>
        </w:tc>
        <w:tc>
          <w:tcPr>
            <w:tcW w:type="dxa" w:w="6236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Requirement, FSD, mapping master/approval, fasilitasi UAT</w:t>
            </w:r>
          </w:p>
        </w:tc>
      </w:tr>
      <w:tr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Developer</w:t>
            </w:r>
          </w:p>
        </w:tc>
        <w:tc>
          <w:tcPr>
            <w:tcW w:type="dxa" w:w="6236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Pengembangan modul Odoo + adapter integrasi sisi Odoo</w:t>
            </w:r>
          </w:p>
        </w:tc>
      </w:tr>
      <w:tr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QA</w:t>
            </w:r>
          </w:p>
        </w:tc>
        <w:tc>
          <w:tcPr>
            <w:tcW w:type="dxa" w:w="6236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Test design, SIT, regression, otomasi</w:t>
            </w:r>
          </w:p>
        </w:tc>
      </w:tr>
      <w:tr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Product Owner (klien)</w:t>
            </w:r>
          </w:p>
        </w:tc>
        <w:tc>
          <w:tcPr>
            <w:tcW w:type="dxa" w:w="6236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Prioritas backlog, validasi fungsional, UAT</w:t>
            </w:r>
          </w:p>
        </w:tc>
      </w:tr>
      <w:tr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Tim SAP/Kafka/HC (klien)</w:t>
            </w:r>
          </w:p>
        </w:tc>
        <w:tc>
          <w:tcPr>
            <w:tcW w:type="dxa" w:w="6236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Konektor &amp; perubahan SAP/Kafka/HRIS (di luar scope)</w:t>
            </w:r>
          </w:p>
        </w:tc>
      </w:tr>
    </w:tbl>
    <w:p>
      <w:pPr>
        <w:spacing w:after="40"/>
      </w:pPr>
    </w:p>
    <w:p>
      <w:pPr>
        <w:pStyle w:val="Heading2"/>
      </w:pPr>
      <w:r>
        <w:t>8.2 RACI (ringkas)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3118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Aktivitas</w:t>
            </w:r>
          </w:p>
        </w:tc>
        <w:tc>
          <w:tcPr>
            <w:tcW w:type="dxa" w:w="1134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PMO</w:t>
            </w:r>
          </w:p>
        </w:tc>
        <w:tc>
          <w:tcPr>
            <w:tcW w:type="dxa" w:w="1134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BA</w:t>
            </w:r>
          </w:p>
        </w:tc>
        <w:tc>
          <w:tcPr>
            <w:tcW w:type="dxa" w:w="1134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Dev</w:t>
            </w:r>
          </w:p>
        </w:tc>
        <w:tc>
          <w:tcPr>
            <w:tcW w:type="dxa" w:w="1134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QA</w:t>
            </w:r>
          </w:p>
        </w:tc>
        <w:tc>
          <w:tcPr>
            <w:tcW w:type="dxa" w:w="1417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Sponsor/PO</w:t>
            </w:r>
          </w:p>
        </w:tc>
      </w:tr>
      <w:tr>
        <w:tc>
          <w:tcPr>
            <w:tcW w:type="dxa" w:w="3118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Requirement &amp; FSD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R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1417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C/A</w:t>
            </w:r>
          </w:p>
        </w:tc>
      </w:tr>
      <w:tr>
        <w:tc>
          <w:tcPr>
            <w:tcW w:type="dxa" w:w="3118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Design / TSD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R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1417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A</w:t>
            </w:r>
          </w:p>
        </w:tc>
      </w:tr>
      <w:tr>
        <w:tc>
          <w:tcPr>
            <w:tcW w:type="dxa" w:w="3118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Build modul Odoo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R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1417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I</w:t>
            </w:r>
          </w:p>
        </w:tc>
      </w:tr>
      <w:tr>
        <w:tc>
          <w:tcPr>
            <w:tcW w:type="dxa" w:w="3118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Kontrak integrasi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R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I</w:t>
            </w:r>
          </w:p>
        </w:tc>
        <w:tc>
          <w:tcPr>
            <w:tcW w:type="dxa" w:w="1417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C</w:t>
            </w:r>
          </w:p>
        </w:tc>
      </w:tr>
      <w:tr>
        <w:tc>
          <w:tcPr>
            <w:tcW w:type="dxa" w:w="3118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SIT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R</w:t>
            </w:r>
          </w:p>
        </w:tc>
        <w:tc>
          <w:tcPr>
            <w:tcW w:type="dxa" w:w="1417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I</w:t>
            </w:r>
          </w:p>
        </w:tc>
      </w:tr>
      <w:tr>
        <w:tc>
          <w:tcPr>
            <w:tcW w:type="dxa" w:w="3118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UAT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1417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R</w:t>
            </w:r>
          </w:p>
        </w:tc>
      </w:tr>
      <w:tr>
        <w:tc>
          <w:tcPr>
            <w:tcW w:type="dxa" w:w="3118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Go-Live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R</w:t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1417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A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b w:val="0"/>
          <w:i/>
          <w:sz w:val="18"/>
        </w:rPr>
        <w:t>R = Responsible, A = Accountable, C = Consulted, I = Informed.</w:t>
      </w:r>
    </w:p>
    <w:p>
      <w:pPr>
        <w:pStyle w:val="Heading2"/>
      </w:pPr>
      <w:r>
        <w:t>8.3 Cadence &amp; Change Control</w:t>
      </w:r>
    </w:p>
    <w:p>
      <w:pPr>
        <w:pStyle w:val="ListBullet"/>
        <w:jc w:val="both"/>
      </w:pPr>
      <w:r>
        <w:t>Sprint 2-mingguan; demo akhir sprint; stand-up harian tim delivery.</w:t>
      </w:r>
    </w:p>
    <w:p>
      <w:pPr>
        <w:pStyle w:val="ListBullet"/>
        <w:jc w:val="both"/>
      </w:pPr>
      <w:r>
        <w:t>Steering Committee bulanan; status report mingguan oleh PMO.</w:t>
      </w:r>
    </w:p>
    <w:p>
      <w:pPr>
        <w:pStyle w:val="ListBullet"/>
        <w:jc w:val="both"/>
      </w:pPr>
      <w:r>
        <w:t>Change control: setiap perubahan scope/kontrak via formulir CR, disetujui PMO + Sponsor.</w:t>
      </w:r>
    </w:p>
    <w:p>
      <w:pPr>
        <w:pStyle w:val="ListBullet"/>
        <w:jc w:val="both"/>
      </w:pPr>
      <w:r>
        <w:t>Eskalasi: blocker &gt; 2 hari kerja dieskalasi ke Steering.</w:t>
      </w:r>
    </w:p>
    <w:p>
      <w:pPr>
        <w:pStyle w:val="Heading1"/>
      </w:pPr>
      <w:r>
        <w:t>9. Asumsi</w:t>
      </w:r>
    </w:p>
    <w:p>
      <w:pPr>
        <w:pStyle w:val="ListBullet"/>
        <w:jc w:val="both"/>
      </w:pPr>
      <w:r>
        <w:t>1 manday = 1 orang-hari (±20 hari/bulan); mandays ≠ durasi kalender.</w:t>
      </w:r>
    </w:p>
    <w:p>
      <w:pPr>
        <w:pStyle w:val="ListBullet"/>
        <w:jc w:val="both"/>
      </w:pPr>
      <w:r>
        <w:t>Reuse komponen Odoo (approval engine, adapter framework, queue_job, PDP audit, reporting).</w:t>
      </w:r>
    </w:p>
    <w:p>
      <w:pPr>
        <w:pStyle w:val="ListBullet"/>
        <w:jc w:val="both"/>
      </w:pPr>
      <w:r>
        <w:t>Kontrak integrasi (JSON + topik) final di fase Requirement; tim SAP/Kafka/HC menyediakannya.</w:t>
      </w:r>
    </w:p>
    <w:p>
      <w:pPr>
        <w:pStyle w:val="ListBullet"/>
        <w:jc w:val="both"/>
      </w:pPr>
      <w:r>
        <w:t>Konektor SAP/Kafka/HRIS siap sebelum SIT (±W13).</w:t>
      </w:r>
    </w:p>
    <w:p>
      <w:pPr>
        <w:pStyle w:val="ListBullet"/>
        <w:jc w:val="both"/>
      </w:pPr>
      <w:r>
        <w:t>Lingkungan dev/staging/prod Odoo + Keycloak disediakan klien tepat waktu.</w:t>
      </w:r>
    </w:p>
    <w:p>
      <w:pPr>
        <w:pStyle w:val="ListBullet"/>
        <w:jc w:val="both"/>
      </w:pPr>
      <w:r>
        <w:t>Master data SAP berkualitas memadai.</w:t>
      </w:r>
    </w:p>
    <w:p>
      <w:pPr>
        <w:pStyle w:val="Heading1"/>
      </w:pPr>
      <w:r>
        <w:t>10. Batasan (Constraints)</w:t>
      </w:r>
    </w:p>
    <w:p>
      <w:pPr>
        <w:pStyle w:val="ListBullet"/>
        <w:jc w:val="both"/>
      </w:pPr>
      <w:r>
        <w:t>Odoo tidak memposting GL — pembukuan tetap di SAP.</w:t>
      </w:r>
    </w:p>
    <w:p>
      <w:pPr>
        <w:pStyle w:val="ListBullet"/>
        <w:jc w:val="both"/>
      </w:pPr>
      <w:r>
        <w:t>Integrasi hanya via kontrak REST/Kafka yang disepakati (tidak akses langsung DB SAP).</w:t>
      </w:r>
    </w:p>
    <w:p>
      <w:pPr>
        <w:pStyle w:val="ListBullet"/>
        <w:jc w:val="both"/>
      </w:pPr>
      <w:r>
        <w:t>Kepatuhan UU PDP (audit trail, masking data sensitif: NIK, rekening).</w:t>
      </w:r>
    </w:p>
    <w:p>
      <w:pPr>
        <w:pStyle w:val="ListBullet"/>
        <w:jc w:val="both"/>
      </w:pPr>
      <w:r>
        <w:t>Timeline bergantung pada kesiapan dependency eksternal.</w:t>
      </w:r>
    </w:p>
    <w:p>
      <w:pPr>
        <w:pStyle w:val="Heading1"/>
      </w:pPr>
      <w:r>
        <w:t>11. Dependensi</w:t>
      </w:r>
    </w:p>
    <w:p>
      <w:pPr>
        <w:pStyle w:val="ListBullet"/>
        <w:jc w:val="both"/>
      </w:pPr>
      <w:r>
        <w:t>Konektor &amp; endpoint SAP/Kafka/HRIS (eksternal).</w:t>
      </w:r>
    </w:p>
    <w:p>
      <w:pPr>
        <w:pStyle w:val="ListBullet"/>
        <w:jc w:val="both"/>
      </w:pPr>
      <w:r>
        <w:t>Keycloak realm/client + role mapper (infra klien).</w:t>
      </w:r>
    </w:p>
    <w:p>
      <w:pPr>
        <w:pStyle w:val="ListBullet"/>
        <w:jc w:val="both"/>
      </w:pPr>
      <w:r>
        <w:t>Akses &amp; approval data master dari SAP/HRIS.</w:t>
      </w:r>
    </w:p>
    <w:p>
      <w:pPr>
        <w:pStyle w:val="Heading1"/>
      </w:pPr>
      <w:r>
        <w:t>12. Risiko Tingkat Tinggi (RAID)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18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Risiko</w:t>
            </w:r>
          </w:p>
        </w:tc>
        <w:tc>
          <w:tcPr>
            <w:tcW w:type="dxa" w:w="2268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Dampak</w:t>
            </w:r>
          </w:p>
        </w:tc>
        <w:tc>
          <w:tcPr>
            <w:tcW w:type="dxa" w:w="3118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Mitigasi</w:t>
            </w:r>
          </w:p>
        </w:tc>
      </w:tr>
      <w:tr>
        <w:tc>
          <w:tcPr>
            <w:tcW w:type="dxa" w:w="567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118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Konektor SAP/Kafka/HRIS belum siap saat SIT</w:t>
            </w:r>
          </w:p>
        </w:tc>
        <w:tc>
          <w:tcPr>
            <w:tcW w:type="dxa" w:w="2268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Geser SIT-&gt;Go-Live</w:t>
            </w:r>
          </w:p>
        </w:tc>
        <w:tc>
          <w:tcPr>
            <w:tcW w:type="dxa" w:w="3118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Contract-first + stub/mock; SIT gated milestone</w:t>
            </w:r>
          </w:p>
        </w:tc>
      </w:tr>
      <w:tr>
        <w:tc>
          <w:tcPr>
            <w:tcW w:type="dxa" w:w="567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118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Kualitas master data SAP</w:t>
            </w:r>
          </w:p>
        </w:tc>
        <w:tc>
          <w:tcPr>
            <w:tcW w:type="dxa" w:w="2268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Rework mapping</w:t>
            </w:r>
          </w:p>
        </w:tc>
        <w:tc>
          <w:tcPr>
            <w:tcW w:type="dxa" w:w="3118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Cleansing dini di Build</w:t>
            </w:r>
          </w:p>
        </w:tc>
      </w:tr>
      <w:tr>
        <w:tc>
          <w:tcPr>
            <w:tcW w:type="dxa" w:w="567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118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Attachment SAP Basis &amp; approval status PO belum ada</w:t>
            </w:r>
          </w:p>
        </w:tc>
        <w:tc>
          <w:tcPr>
            <w:tcW w:type="dxa" w:w="2268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Potensi CR</w:t>
            </w:r>
          </w:p>
        </w:tc>
        <w:tc>
          <w:tcPr>
            <w:tcW w:type="dxa" w:w="3118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Tandai sebagai opsi/CR di awal</w:t>
            </w:r>
          </w:p>
        </w:tc>
      </w:tr>
      <w:tr>
        <w:tc>
          <w:tcPr>
            <w:tcW w:type="dxa" w:w="567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118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Ketersediaan user UAT</w:t>
            </w:r>
          </w:p>
        </w:tc>
        <w:tc>
          <w:tcPr>
            <w:tcW w:type="dxa" w:w="2268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UAT molor</w:t>
            </w:r>
          </w:p>
        </w:tc>
        <w:tc>
          <w:tcPr>
            <w:tcW w:type="dxa" w:w="3118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Jadwalkan slot UAT sejak Design</w:t>
            </w:r>
          </w:p>
        </w:tc>
      </w:tr>
      <w:tr>
        <w:tc>
          <w:tcPr>
            <w:tcW w:type="dxa" w:w="567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118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Perubahan kontrak integrasi</w:t>
            </w:r>
          </w:p>
        </w:tc>
        <w:tc>
          <w:tcPr>
            <w:tcW w:type="dxa" w:w="2268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Effort bertambah</w:t>
            </w:r>
          </w:p>
        </w:tc>
        <w:tc>
          <w:tcPr>
            <w:tcW w:type="dxa" w:w="3118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Change control via PMO</w:t>
            </w:r>
          </w:p>
        </w:tc>
      </w:tr>
    </w:tbl>
    <w:p>
      <w:pPr>
        <w:spacing w:after="40"/>
      </w:pPr>
    </w:p>
    <w:p>
      <w:pPr>
        <w:pStyle w:val="Heading1"/>
      </w:pPr>
      <w:r>
        <w:t>13. Kriteria Penerimaan (Acceptance)</w:t>
      </w:r>
    </w:p>
    <w:p>
      <w:pPr>
        <w:pStyle w:val="ListBullet"/>
        <w:jc w:val="both"/>
      </w:pPr>
      <w:r>
        <w:t>Seluruh deliverable in-scope diterima &amp; sign-off.</w:t>
      </w:r>
    </w:p>
    <w:p>
      <w:pPr>
        <w:pStyle w:val="ListBullet"/>
        <w:jc w:val="both"/>
      </w:pPr>
      <w:r>
        <w:t>KPI Bab 3 tercapai; 0 defect Sev-1/Sev-2 terbuka saat Go-Live.</w:t>
      </w:r>
    </w:p>
    <w:p>
      <w:pPr>
        <w:pStyle w:val="ListBullet"/>
        <w:jc w:val="both"/>
      </w:pPr>
      <w:r>
        <w:t>UAT sign-off oleh Product Owner &amp; user Finance/Tax.</w:t>
      </w:r>
    </w:p>
    <w:p>
      <w:pPr>
        <w:pStyle w:val="ListBullet"/>
        <w:jc w:val="both"/>
      </w:pPr>
      <w:r>
        <w:t>Handover dokumentasi &amp; runbook ke tim support.</w:t>
      </w:r>
    </w:p>
    <w:p>
      <w:pPr>
        <w:pStyle w:val="Heading1"/>
      </w:pPr>
      <w:r>
        <w:t>14. Persetujuan (Sign-off)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Peran</w:t>
            </w:r>
          </w:p>
        </w:tc>
        <w:tc>
          <w:tcPr>
            <w:tcW w:type="dxa" w:w="2835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Nama</w:t>
            </w:r>
          </w:p>
        </w:tc>
        <w:tc>
          <w:tcPr>
            <w:tcW w:type="dxa" w:w="2268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Tanda Tangan</w:t>
            </w:r>
          </w:p>
        </w:tc>
        <w:tc>
          <w:tcPr>
            <w:tcW w:type="dxa" w:w="1417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Tanggal</w:t>
            </w:r>
          </w:p>
        </w:tc>
      </w:tr>
      <w:tr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Project Sponsor</w:t>
            </w:r>
          </w:p>
        </w:tc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268"/>
          </w:tcPr>
          <w:p>
            <w:pPr>
              <w:jc w:val="both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417"/>
          </w:tcPr>
          <w:p>
            <w:pPr>
              <w:jc w:val="both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Steering Committee</w:t>
            </w:r>
          </w:p>
        </w:tc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268"/>
          </w:tcPr>
          <w:p>
            <w:pPr>
              <w:jc w:val="both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417"/>
          </w:tcPr>
          <w:p>
            <w:pPr>
              <w:jc w:val="both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Project Manager / PMO</w:t>
            </w:r>
          </w:p>
        </w:tc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268"/>
          </w:tcPr>
          <w:p>
            <w:pPr>
              <w:jc w:val="both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417"/>
          </w:tcPr>
          <w:p>
            <w:pPr>
              <w:jc w:val="both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Product Owner (klien)</w:t>
            </w:r>
          </w:p>
        </w:tc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268"/>
          </w:tcPr>
          <w:p>
            <w:pPr>
              <w:jc w:val="both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417"/>
          </w:tcPr>
          <w:p>
            <w:pPr>
              <w:jc w:val="both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  <w:t>Delivery Lead</w:t>
            </w:r>
          </w:p>
        </w:tc>
        <w:tc>
          <w:tcPr>
            <w:tcW w:type="dxa" w:w="2835"/>
          </w:tcPr>
          <w:p>
            <w:pPr>
              <w:jc w:val="both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268"/>
          </w:tcPr>
          <w:p>
            <w:pPr>
              <w:jc w:val="both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417"/>
          </w:tcPr>
          <w:p>
            <w:pPr>
              <w:jc w:val="both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714B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3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3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