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color w:val="714B67"/>
          <w:sz w:val="44"/>
        </w:rPr>
        <w:t>PROJECT CHARTER</w:t>
      </w:r>
    </w:p>
    <w:p/>
    <w:p>
      <w:pPr>
        <w:spacing w:after="120"/>
        <w:jc w:val="center"/>
      </w:pPr>
      <w:r>
        <w:rPr>
          <w:b/>
          <w:i w:val="0"/>
          <w:sz w:val="32"/>
        </w:rPr>
        <w:t>Project Charter — Implementasi Odoo untuk Bisnis Retail Levi's Indonesia</w:t>
      </w:r>
    </w:p>
    <w:p>
      <w:pPr>
        <w:spacing w:after="120"/>
        <w:jc w:val="center"/>
      </w:pPr>
      <w:r>
        <w:rPr>
          <w:b w:val="0"/>
          <w:i w:val="0"/>
          <w:sz w:val="22"/>
        </w:rPr>
        <w:t>PT Sinar Eka Selaras (SES — SAP)  ×  PT EBR (Retail Levi's — Odoo)  ×  POS Principal</w:t>
      </w:r>
    </w:p>
    <w:p/>
    <w:p/>
    <w:p/>
    <w:tbl>
      <w:tblPr>
        <w:tblStyle w:val="TableGrid"/>
        <w:tblW w:type="auto" w:w="0"/>
        <w:jc w:val="center"/>
        <w:tblLook w:firstColumn="1" w:firstRow="1" w:lastColumn="0" w:lastRow="0" w:noHBand="0" w:noVBand="1" w:val="04A0"/>
      </w:tblPr>
      <w:tblGrid>
        <w:gridCol w:w="4703"/>
        <w:gridCol w:w="4703"/>
      </w:tblGrid>
      <w:tr>
        <w:tc>
          <w:tcPr>
            <w:tcW w:type="dxa" w:w="2835"/>
            <w:shd w:val="clear" w:fill="1A2332"/>
          </w:tcPr>
          <w:p>
            <w:r/>
            <w:r>
              <w:rPr>
                <w:b/>
                <w:color w:val="FFFFFF"/>
                <w:sz w:val="19"/>
              </w:rPr>
              <w:t>Atribut</w:t>
            </w:r>
          </w:p>
        </w:tc>
        <w:tc>
          <w:tcPr>
            <w:tcW w:type="dxa" w:w="6236"/>
            <w:shd w:val="clear" w:fill="1A2332"/>
          </w:tcPr>
          <w:p>
            <w:r/>
            <w:r>
              <w:rPr>
                <w:b/>
                <w:color w:val="FFFFFF"/>
                <w:sz w:val="19"/>
              </w:rPr>
              <w:t>Keterangan</w:t>
            </w:r>
          </w:p>
        </w:tc>
      </w:tr>
      <w:tr>
        <w:tc>
          <w:tcPr>
            <w:tcW w:type="dxa" w:w="2835"/>
          </w:tcPr>
          <w:p>
            <w:pPr>
              <w:jc w:val="both"/>
            </w:pPr>
            <w:r/>
            <w:r>
              <w:rPr>
                <w:sz w:val="19"/>
              </w:rPr>
              <w:t>Judul Dokumen</w:t>
            </w:r>
          </w:p>
        </w:tc>
        <w:tc>
          <w:tcPr>
            <w:tcW w:type="dxa" w:w="6236"/>
          </w:tcPr>
          <w:p>
            <w:pPr>
              <w:jc w:val="both"/>
            </w:pPr>
            <w:r/>
            <w:r>
              <w:rPr>
                <w:sz w:val="19"/>
              </w:rPr>
              <w:t>Project Charter — Implementasi Odoo untuk Bisnis Retail Levi's Indonesia</w:t>
            </w:r>
          </w:p>
        </w:tc>
      </w:tr>
      <w:tr>
        <w:tc>
          <w:tcPr>
            <w:tcW w:type="dxa" w:w="2835"/>
          </w:tcPr>
          <w:p>
            <w:pPr>
              <w:jc w:val="both"/>
            </w:pPr>
            <w:r/>
            <w:r>
              <w:rPr>
                <w:sz w:val="19"/>
              </w:rPr>
              <w:t>Nomor Dokumen</w:t>
            </w:r>
          </w:p>
        </w:tc>
        <w:tc>
          <w:tcPr>
            <w:tcW w:type="dxa" w:w="6236"/>
          </w:tcPr>
          <w:p>
            <w:pPr>
              <w:jc w:val="both"/>
            </w:pPr>
            <w:r/>
            <w:r>
              <w:rPr>
                <w:sz w:val="19"/>
              </w:rPr>
              <w:t>PC/ERAJAYA/LEVIS-ODOO/2026/003</w:t>
            </w:r>
          </w:p>
        </w:tc>
      </w:tr>
      <w:tr>
        <w:tc>
          <w:tcPr>
            <w:tcW w:type="dxa" w:w="2835"/>
          </w:tcPr>
          <w:p>
            <w:pPr>
              <w:jc w:val="both"/>
            </w:pPr>
            <w:r/>
            <w:r>
              <w:rPr>
                <w:sz w:val="19"/>
              </w:rPr>
              <w:t>Versi</w:t>
            </w:r>
          </w:p>
        </w:tc>
        <w:tc>
          <w:tcPr>
            <w:tcW w:type="dxa" w:w="6236"/>
          </w:tcPr>
          <w:p>
            <w:pPr>
              <w:jc w:val="both"/>
            </w:pPr>
            <w:r/>
            <w:r>
              <w:rPr>
                <w:sz w:val="19"/>
              </w:rPr>
              <w:t>1.0</w:t>
            </w:r>
          </w:p>
        </w:tc>
      </w:tr>
      <w:tr>
        <w:tc>
          <w:tcPr>
            <w:tcW w:type="dxa" w:w="2835"/>
          </w:tcPr>
          <w:p>
            <w:pPr>
              <w:jc w:val="both"/>
            </w:pPr>
            <w:r/>
            <w:r>
              <w:rPr>
                <w:sz w:val="19"/>
              </w:rPr>
              <w:t>Tanggal</w:t>
            </w:r>
          </w:p>
        </w:tc>
        <w:tc>
          <w:tcPr>
            <w:tcW w:type="dxa" w:w="6236"/>
          </w:tcPr>
          <w:p>
            <w:pPr>
              <w:jc w:val="both"/>
            </w:pPr>
            <w:r/>
            <w:r>
              <w:rPr>
                <w:sz w:val="19"/>
              </w:rPr>
              <w:t>12 Juni 2026</w:t>
            </w:r>
          </w:p>
        </w:tc>
      </w:tr>
      <w:tr>
        <w:tc>
          <w:tcPr>
            <w:tcW w:type="dxa" w:w="2835"/>
          </w:tcPr>
          <w:p>
            <w:pPr>
              <w:jc w:val="both"/>
            </w:pPr>
            <w:r/>
            <w:r>
              <w:rPr>
                <w:sz w:val="19"/>
              </w:rPr>
              <w:t>Klasifikasi</w:t>
            </w:r>
          </w:p>
        </w:tc>
        <w:tc>
          <w:tcPr>
            <w:tcW w:type="dxa" w:w="6236"/>
          </w:tcPr>
          <w:p>
            <w:pPr>
              <w:jc w:val="both"/>
            </w:pPr>
            <w:r/>
            <w:r>
              <w:rPr>
                <w:sz w:val="19"/>
              </w:rPr>
              <w:t>Internal — Erajaya Group</w:t>
            </w:r>
          </w:p>
        </w:tc>
      </w:tr>
      <w:tr>
        <w:tc>
          <w:tcPr>
            <w:tcW w:type="dxa" w:w="2835"/>
          </w:tcPr>
          <w:p>
            <w:pPr>
              <w:jc w:val="both"/>
            </w:pPr>
            <w:r/>
            <w:r>
              <w:rPr>
                <w:sz w:val="19"/>
              </w:rPr>
              <w:t>Status</w:t>
            </w:r>
          </w:p>
        </w:tc>
        <w:tc>
          <w:tcPr>
            <w:tcW w:type="dxa" w:w="6236"/>
          </w:tcPr>
          <w:p>
            <w:pPr>
              <w:jc w:val="both"/>
            </w:pPr>
            <w:r/>
            <w:r>
              <w:rPr>
                <w:sz w:val="19"/>
              </w:rPr>
              <w:t>Draft — Diajukan untuk Persetujuan (Approval Request)</w:t>
            </w:r>
          </w:p>
        </w:tc>
      </w:tr>
      <w:tr>
        <w:tc>
          <w:tcPr>
            <w:tcW w:type="dxa" w:w="2835"/>
          </w:tcPr>
          <w:p>
            <w:pPr>
              <w:jc w:val="both"/>
            </w:pPr>
            <w:r/>
            <w:r>
              <w:rPr>
                <w:sz w:val="19"/>
              </w:rPr>
              <w:t>Dokumen Induk</w:t>
            </w:r>
          </w:p>
        </w:tc>
        <w:tc>
          <w:tcPr>
            <w:tcW w:type="dxa" w:w="6236"/>
          </w:tcPr>
          <w:p>
            <w:pPr>
              <w:jc w:val="both"/>
            </w:pPr>
            <w:r/>
            <w:r>
              <w:rPr>
                <w:sz w:val="19"/>
              </w:rPr>
              <w:t>FSD/ERAJAYA/LEVIS-ODOO/2026/001 v1.0</w:t>
            </w:r>
          </w:p>
        </w:tc>
      </w:tr>
    </w:tbl>
    <w:p>
      <w:pPr>
        <w:spacing w:after="40"/>
      </w:pPr>
    </w:p>
    <w:p>
      <w:r>
        <w:br w:type="page"/>
      </w:r>
    </w:p>
    <w:p>
      <w:pPr>
        <w:pStyle w:val="Heading1"/>
      </w:pPr>
      <w:r>
        <w:t>Lembar Persetujuan (Approval Sheet)</w:t>
      </w:r>
    </w:p>
    <w:p>
      <w:pPr>
        <w:spacing w:after="120"/>
        <w:jc w:val="both"/>
      </w:pPr>
      <w:r>
        <w:rPr>
          <w:b w:val="0"/>
          <w:i w:val="0"/>
        </w:rPr>
        <w:t>Dokumen ini diajukan untuk mendapatkan persetujuan. Dengan menandatangani lembar ini, para pihak menyatakan telah membaca, memahami, dan menyetujui isi dokumen. Perubahan setelah persetujuan dikelola melalui mekanisme change request.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494"/>
            <w:shd w:val="clear" w:fill="1A2332"/>
          </w:tcPr>
          <w:p>
            <w:r/>
            <w:r>
              <w:rPr>
                <w:b/>
                <w:color w:val="FFFFFF"/>
                <w:sz w:val="19"/>
              </w:rPr>
              <w:t>Peran</w:t>
            </w:r>
          </w:p>
        </w:tc>
        <w:tc>
          <w:tcPr>
            <w:tcW w:type="dxa" w:w="1814"/>
            <w:shd w:val="clear" w:fill="1A2332"/>
          </w:tcPr>
          <w:p>
            <w:r/>
            <w:r>
              <w:rPr>
                <w:b/>
                <w:color w:val="FFFFFF"/>
                <w:sz w:val="19"/>
              </w:rPr>
              <w:t>Nama</w:t>
            </w:r>
          </w:p>
        </w:tc>
        <w:tc>
          <w:tcPr>
            <w:tcW w:type="dxa" w:w="2608"/>
            <w:shd w:val="clear" w:fill="1A2332"/>
          </w:tcPr>
          <w:p>
            <w:r/>
            <w:r>
              <w:rPr>
                <w:b/>
                <w:color w:val="FFFFFF"/>
                <w:sz w:val="19"/>
              </w:rPr>
              <w:t>Jabatan / Fungsi</w:t>
            </w:r>
          </w:p>
        </w:tc>
        <w:tc>
          <w:tcPr>
            <w:tcW w:type="dxa" w:w="1417"/>
            <w:shd w:val="clear" w:fill="1A2332"/>
          </w:tcPr>
          <w:p>
            <w:r/>
            <w:r>
              <w:rPr>
                <w:b/>
                <w:color w:val="FFFFFF"/>
                <w:sz w:val="19"/>
              </w:rPr>
              <w:t>Tanda Tangan</w:t>
            </w:r>
          </w:p>
        </w:tc>
        <w:tc>
          <w:tcPr>
            <w:tcW w:type="dxa" w:w="1134"/>
            <w:shd w:val="clear" w:fill="1A2332"/>
          </w:tcPr>
          <w:p>
            <w:r/>
            <w:r>
              <w:rPr>
                <w:b/>
                <w:color w:val="FFFFFF"/>
                <w:sz w:val="19"/>
              </w:rPr>
              <w:t>Tanggal</w:t>
            </w:r>
          </w:p>
        </w:tc>
      </w:tr>
      <w:tr>
        <w:tc>
          <w:tcPr>
            <w:tcW w:type="dxa" w:w="2494"/>
          </w:tcPr>
          <w:p>
            <w:pPr>
              <w:jc w:val="both"/>
            </w:pPr>
            <w:r/>
            <w:r>
              <w:rPr>
                <w:sz w:val="19"/>
              </w:rPr>
              <w:t>Disusun oleh (Prepared by)</w:t>
            </w:r>
          </w:p>
        </w:tc>
        <w:tc>
          <w:tcPr>
            <w:tcW w:type="dxa" w:w="1814"/>
          </w:tcPr>
          <w:p>
            <w:pPr>
              <w:jc w:val="both"/>
            </w:pPr>
            <w:r/>
            <w:r>
              <w:rPr>
                <w:sz w:val="19"/>
              </w:rPr>
            </w:r>
          </w:p>
        </w:tc>
        <w:tc>
          <w:tcPr>
            <w:tcW w:type="dxa" w:w="2608"/>
          </w:tcPr>
          <w:p>
            <w:pPr>
              <w:jc w:val="both"/>
            </w:pPr>
            <w:r/>
            <w:r>
              <w:rPr>
                <w:sz w:val="19"/>
              </w:rPr>
              <w:t>Project Manager — Erajaya</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Diperiksa oleh (Reviewed by)</w:t>
            </w:r>
          </w:p>
        </w:tc>
        <w:tc>
          <w:tcPr>
            <w:tcW w:type="dxa" w:w="1814"/>
          </w:tcPr>
          <w:p>
            <w:pPr>
              <w:jc w:val="both"/>
            </w:pPr>
            <w:r/>
            <w:r>
              <w:rPr>
                <w:sz w:val="19"/>
              </w:rPr>
            </w:r>
          </w:p>
        </w:tc>
        <w:tc>
          <w:tcPr>
            <w:tcW w:type="dxa" w:w="2608"/>
          </w:tcPr>
          <w:p>
            <w:pPr>
              <w:jc w:val="both"/>
            </w:pPr>
            <w:r/>
            <w:r>
              <w:rPr>
                <w:sz w:val="19"/>
              </w:rPr>
              <w:t>IT / ERP Lead — Erajaya</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Diperiksa oleh (Reviewed by)</w:t>
            </w:r>
          </w:p>
        </w:tc>
        <w:tc>
          <w:tcPr>
            <w:tcW w:type="dxa" w:w="1814"/>
          </w:tcPr>
          <w:p>
            <w:pPr>
              <w:jc w:val="both"/>
            </w:pPr>
            <w:r/>
            <w:r>
              <w:rPr>
                <w:sz w:val="19"/>
              </w:rPr>
            </w:r>
          </w:p>
        </w:tc>
        <w:tc>
          <w:tcPr>
            <w:tcW w:type="dxa" w:w="2608"/>
          </w:tcPr>
          <w:p>
            <w:pPr>
              <w:jc w:val="both"/>
            </w:pPr>
            <w:r/>
            <w:r>
              <w:rPr>
                <w:sz w:val="19"/>
              </w:rPr>
              <w:t>Finance &amp; Accounting — PT EBR</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Disetujui oleh (Project Sponsor)</w:t>
            </w:r>
          </w:p>
        </w:tc>
        <w:tc>
          <w:tcPr>
            <w:tcW w:type="dxa" w:w="1814"/>
          </w:tcPr>
          <w:p>
            <w:pPr>
              <w:jc w:val="both"/>
            </w:pPr>
            <w:r/>
            <w:r>
              <w:rPr>
                <w:sz w:val="19"/>
              </w:rPr>
            </w:r>
          </w:p>
        </w:tc>
        <w:tc>
          <w:tcPr>
            <w:tcW w:type="dxa" w:w="2608"/>
          </w:tcPr>
          <w:p>
            <w:pPr>
              <w:jc w:val="both"/>
            </w:pPr>
            <w:r/>
            <w:r>
              <w:rPr>
                <w:sz w:val="19"/>
              </w:rPr>
              <w:t>Business Owner — Levi's Retail</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Disetujui oleh (Approved by)</w:t>
            </w:r>
          </w:p>
        </w:tc>
        <w:tc>
          <w:tcPr>
            <w:tcW w:type="dxa" w:w="1814"/>
          </w:tcPr>
          <w:p>
            <w:pPr>
              <w:jc w:val="both"/>
            </w:pPr>
            <w:r/>
            <w:r>
              <w:rPr>
                <w:sz w:val="19"/>
              </w:rPr>
            </w:r>
          </w:p>
        </w:tc>
        <w:tc>
          <w:tcPr>
            <w:tcW w:type="dxa" w:w="2608"/>
          </w:tcPr>
          <w:p>
            <w:pPr>
              <w:jc w:val="both"/>
            </w:pPr>
            <w:r/>
            <w:r>
              <w:rPr>
                <w:sz w:val="19"/>
              </w:rPr>
              <w:t>Manajemen PT SES</w:t>
            </w:r>
          </w:p>
        </w:tc>
        <w:tc>
          <w:tcPr>
            <w:tcW w:type="dxa" w:w="1417"/>
          </w:tcPr>
          <w:p>
            <w:pPr>
              <w:jc w:val="both"/>
            </w:pPr>
            <w:r/>
            <w:r>
              <w:rPr>
                <w:sz w:val="19"/>
              </w:rPr>
            </w:r>
          </w:p>
        </w:tc>
        <w:tc>
          <w:tcPr>
            <w:tcW w:type="dxa" w:w="1134"/>
          </w:tcPr>
          <w:p>
            <w:pPr>
              <w:jc w:val="both"/>
            </w:pPr>
            <w:r/>
            <w:r>
              <w:rPr>
                <w:sz w:val="19"/>
              </w:rPr>
            </w:r>
          </w:p>
        </w:tc>
      </w:tr>
    </w:tbl>
    <w:p>
      <w:pPr>
        <w:spacing w:after="40"/>
      </w:pPr>
    </w:p>
    <w:p>
      <w:pPr>
        <w:pStyle w:val="Heading2"/>
      </w:pPr>
      <w:r>
        <w:t>Riwayat Revisi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val="clear" w:fill="1A2332"/>
          </w:tcPr>
          <w:p>
            <w:r/>
            <w:r>
              <w:rPr>
                <w:b/>
                <w:color w:val="FFFFFF"/>
                <w:sz w:val="19"/>
              </w:rPr>
              <w:t>Versi</w:t>
            </w:r>
          </w:p>
        </w:tc>
        <w:tc>
          <w:tcPr>
            <w:tcW w:type="dxa" w:w="1701"/>
            <w:shd w:val="clear" w:fill="1A2332"/>
          </w:tcPr>
          <w:p>
            <w:r/>
            <w:r>
              <w:rPr>
                <w:b/>
                <w:color w:val="FFFFFF"/>
                <w:sz w:val="19"/>
              </w:rPr>
              <w:t>Tanggal</w:t>
            </w:r>
          </w:p>
        </w:tc>
        <w:tc>
          <w:tcPr>
            <w:tcW w:type="dxa" w:w="2268"/>
            <w:shd w:val="clear" w:fill="1A2332"/>
          </w:tcPr>
          <w:p>
            <w:r/>
            <w:r>
              <w:rPr>
                <w:b/>
                <w:color w:val="FFFFFF"/>
                <w:sz w:val="19"/>
              </w:rPr>
              <w:t>Penyusun</w:t>
            </w:r>
          </w:p>
        </w:tc>
        <w:tc>
          <w:tcPr>
            <w:tcW w:type="dxa" w:w="4082"/>
            <w:shd w:val="clear" w:fill="1A2332"/>
          </w:tcPr>
          <w:p>
            <w:r/>
            <w:r>
              <w:rPr>
                <w:b/>
                <w:color w:val="FFFFFF"/>
                <w:sz w:val="19"/>
              </w:rPr>
              <w:t>Deskripsi Perubahan</w:t>
            </w:r>
          </w:p>
        </w:tc>
      </w:tr>
      <w:tr>
        <w:tc>
          <w:tcPr>
            <w:tcW w:type="dxa" w:w="1134"/>
          </w:tcPr>
          <w:p>
            <w:pPr>
              <w:jc w:val="both"/>
            </w:pPr>
            <w:r/>
            <w:r>
              <w:rPr>
                <w:sz w:val="19"/>
              </w:rPr>
              <w:t>1.0</w:t>
            </w:r>
          </w:p>
        </w:tc>
        <w:tc>
          <w:tcPr>
            <w:tcW w:type="dxa" w:w="1701"/>
          </w:tcPr>
          <w:p>
            <w:pPr>
              <w:jc w:val="both"/>
            </w:pPr>
            <w:r/>
            <w:r>
              <w:rPr>
                <w:sz w:val="19"/>
              </w:rPr>
              <w:t>12 Juni 2026</w:t>
            </w:r>
          </w:p>
        </w:tc>
        <w:tc>
          <w:tcPr>
            <w:tcW w:type="dxa" w:w="2268"/>
          </w:tcPr>
          <w:p>
            <w:pPr>
              <w:jc w:val="both"/>
            </w:pPr>
            <w:r/>
            <w:r>
              <w:rPr>
                <w:sz w:val="19"/>
              </w:rPr>
              <w:t>Tim Erajaya</w:t>
            </w:r>
          </w:p>
        </w:tc>
        <w:tc>
          <w:tcPr>
            <w:tcW w:type="dxa" w:w="4082"/>
          </w:tcPr>
          <w:p>
            <w:pPr>
              <w:jc w:val="both"/>
            </w:pPr>
            <w:r/>
            <w:r>
              <w:rPr>
                <w:sz w:val="19"/>
              </w:rPr>
              <w:t>Penerbitan awal untuk pengajuan persetujuan.</w:t>
            </w:r>
          </w:p>
        </w:tc>
      </w:tr>
    </w:tbl>
    <w:p>
      <w:pPr>
        <w:spacing w:after="40"/>
      </w:pPr>
    </w:p>
    <w:p>
      <w:r>
        <w:br w:type="page"/>
      </w:r>
    </w:p>
    <w:p>
      <w:pPr>
        <w:pStyle w:val="Heading1"/>
      </w:pPr>
      <w:r>
        <w:t>1. Latar Belakang dan Justifikasi Bisnis</w:t>
      </w:r>
    </w:p>
    <w:p>
      <w:pPr>
        <w:spacing w:after="120"/>
        <w:jc w:val="both"/>
      </w:pPr>
      <w:r>
        <w:rPr>
          <w:b w:val="0"/>
          <w:i w:val="0"/>
        </w:rPr>
        <w:t>PT EBR sebagai entitas retail Levi's membutuhkan sistem pembukuan dan pelaporan keuangan yang terpisah dari sistem transaksional toko (POS bawaan principal) dan dari sistem distribusi PT SES (SAP). Tanpa sistem pencatatan tersendiri, pembukuan EBR bergantung pada rekap manual yang lambat, rawan salah, dan sulit diaudit. Implementasi Odoo memberikan: (1) pencatatan pembelian EBR kepada SES yang tertib dengan approval berjenjang; (2) replikasi otomatis data operasional toko — GR, penjualan dan tender, mutasi persediaan — ke dalam pembukuan; (3) laporan keuangan dan rekonsiliasi yang tepat waktu; serta (4) fondasi yang reusable bagi tenant retail Erajaya berikutnya melalui modul adapter yang dikonfigurasi sebagai data, bukan kode.</w:t>
      </w:r>
    </w:p>
    <w:p>
      <w:pPr>
        <w:pStyle w:val="Heading1"/>
      </w:pPr>
      <w:r>
        <w:t>2. Tujuan dan Kriteria Keberhasilan</w:t>
      </w:r>
    </w:p>
    <w:tbl>
      <w:tblPr>
        <w:tblStyle w:val="TableGrid"/>
        <w:tblW w:type="auto" w:w="0"/>
        <w:jc w:val="center"/>
        <w:tblLook w:firstColumn="1" w:firstRow="1" w:lastColumn="0" w:lastRow="0" w:noHBand="0" w:noVBand="1" w:val="04A0"/>
      </w:tblPr>
      <w:tblGrid>
        <w:gridCol w:w="3135"/>
        <w:gridCol w:w="3135"/>
        <w:gridCol w:w="3135"/>
      </w:tblGrid>
      <w:tr>
        <w:tc>
          <w:tcPr>
            <w:tcW w:type="dxa" w:w="567"/>
            <w:shd w:val="clear" w:fill="1A2332"/>
          </w:tcPr>
          <w:p>
            <w:r/>
            <w:r>
              <w:rPr>
                <w:b/>
                <w:color w:val="FFFFFF"/>
                <w:sz w:val="19"/>
              </w:rPr>
              <w:t>No</w:t>
            </w:r>
          </w:p>
        </w:tc>
        <w:tc>
          <w:tcPr>
            <w:tcW w:type="dxa" w:w="2608"/>
            <w:shd w:val="clear" w:fill="1A2332"/>
          </w:tcPr>
          <w:p>
            <w:r/>
            <w:r>
              <w:rPr>
                <w:b/>
                <w:color w:val="FFFFFF"/>
                <w:sz w:val="19"/>
              </w:rPr>
              <w:t>Tujuan</w:t>
            </w:r>
          </w:p>
        </w:tc>
        <w:tc>
          <w:tcPr>
            <w:tcW w:type="dxa" w:w="6009"/>
            <w:shd w:val="clear" w:fill="1A2332"/>
          </w:tcPr>
          <w:p>
            <w:r/>
            <w:r>
              <w:rPr>
                <w:b/>
                <w:color w:val="FFFFFF"/>
                <w:sz w:val="19"/>
              </w:rPr>
              <w:t>Kriteria Keberhasilan (Terukur)</w:t>
            </w:r>
          </w:p>
        </w:tc>
      </w:tr>
      <w:tr>
        <w:tc>
          <w:tcPr>
            <w:tcW w:type="dxa" w:w="567"/>
          </w:tcPr>
          <w:p>
            <w:pPr>
              <w:jc w:val="both"/>
            </w:pPr>
            <w:r/>
            <w:r>
              <w:rPr>
                <w:sz w:val="19"/>
              </w:rPr>
              <w:t>1</w:t>
            </w:r>
          </w:p>
        </w:tc>
        <w:tc>
          <w:tcPr>
            <w:tcW w:type="dxa" w:w="2608"/>
          </w:tcPr>
          <w:p>
            <w:pPr>
              <w:jc w:val="both"/>
            </w:pPr>
            <w:r/>
            <w:r>
              <w:rPr>
                <w:sz w:val="19"/>
              </w:rPr>
              <w:t>Pembukuan EBR berjalan di Odoo</w:t>
            </w:r>
          </w:p>
        </w:tc>
        <w:tc>
          <w:tcPr>
            <w:tcW w:type="dxa" w:w="6009"/>
          </w:tcPr>
          <w:p>
            <w:pPr>
              <w:jc w:val="both"/>
            </w:pPr>
            <w:r/>
            <w:r>
              <w:rPr>
                <w:sz w:val="19"/>
              </w:rPr>
              <w:t>PO EBR→SES, vendor bill, dan pembayaran tercatat di Odoo; tutup buku bulanan dapat dihasilkan dari Odoo.</w:t>
            </w:r>
          </w:p>
        </w:tc>
      </w:tr>
      <w:tr>
        <w:tc>
          <w:tcPr>
            <w:tcW w:type="dxa" w:w="567"/>
          </w:tcPr>
          <w:p>
            <w:pPr>
              <w:jc w:val="both"/>
            </w:pPr>
            <w:r/>
            <w:r>
              <w:rPr>
                <w:sz w:val="19"/>
              </w:rPr>
              <w:t>2</w:t>
            </w:r>
          </w:p>
        </w:tc>
        <w:tc>
          <w:tcPr>
            <w:tcW w:type="dxa" w:w="2608"/>
          </w:tcPr>
          <w:p>
            <w:pPr>
              <w:jc w:val="both"/>
            </w:pPr>
            <w:r/>
            <w:r>
              <w:rPr>
                <w:sz w:val="19"/>
              </w:rPr>
              <w:t>Master data lengkap dan valid</w:t>
            </w:r>
          </w:p>
        </w:tc>
        <w:tc>
          <w:tcPr>
            <w:tcW w:type="dxa" w:w="6009"/>
          </w:tcPr>
          <w:p>
            <w:pPr>
              <w:jc w:val="both"/>
            </w:pPr>
            <w:r/>
            <w:r>
              <w:rPr>
                <w:sz w:val="19"/>
              </w:rPr>
              <w:t>±14.885 artikel / ±159.658 SKU termuat; CoA sesuai file EBR; 24 warehouse terbentuk; verifikasi count lolos.</w:t>
            </w:r>
          </w:p>
        </w:tc>
      </w:tr>
      <w:tr>
        <w:tc>
          <w:tcPr>
            <w:tcW w:type="dxa" w:w="567"/>
          </w:tcPr>
          <w:p>
            <w:pPr>
              <w:jc w:val="both"/>
            </w:pPr>
            <w:r/>
            <w:r>
              <w:rPr>
                <w:sz w:val="19"/>
              </w:rPr>
              <w:t>3</w:t>
            </w:r>
          </w:p>
        </w:tc>
        <w:tc>
          <w:tcPr>
            <w:tcW w:type="dxa" w:w="2608"/>
          </w:tcPr>
          <w:p>
            <w:pPr>
              <w:jc w:val="both"/>
            </w:pPr>
            <w:r/>
            <w:r>
              <w:rPr>
                <w:sz w:val="19"/>
              </w:rPr>
              <w:t>Mirroring operasional toko berjalan</w:t>
            </w:r>
          </w:p>
        </w:tc>
        <w:tc>
          <w:tcPr>
            <w:tcW w:type="dxa" w:w="6009"/>
          </w:tcPr>
          <w:p>
            <w:pPr>
              <w:jc w:val="both"/>
            </w:pPr>
            <w:r/>
            <w:r>
              <w:rPr>
                <w:sz w:val="19"/>
              </w:rPr>
              <w:t>GR, penjualan, tender, dan mutasi stok harian termuat H+1 dengan log audit lengkap dan nol duplikasi (dedup SHA256 aktif).</w:t>
            </w:r>
          </w:p>
        </w:tc>
      </w:tr>
      <w:tr>
        <w:tc>
          <w:tcPr>
            <w:tcW w:type="dxa" w:w="567"/>
          </w:tcPr>
          <w:p>
            <w:pPr>
              <w:jc w:val="both"/>
            </w:pPr>
            <w:r/>
            <w:r>
              <w:rPr>
                <w:sz w:val="19"/>
              </w:rPr>
              <w:t>4</w:t>
            </w:r>
          </w:p>
        </w:tc>
        <w:tc>
          <w:tcPr>
            <w:tcW w:type="dxa" w:w="2608"/>
          </w:tcPr>
          <w:p>
            <w:pPr>
              <w:jc w:val="both"/>
            </w:pPr>
            <w:r/>
            <w:r>
              <w:rPr>
                <w:sz w:val="19"/>
              </w:rPr>
              <w:t>Otomasi Phase 2</w:t>
            </w:r>
          </w:p>
        </w:tc>
        <w:tc>
          <w:tcPr>
            <w:tcW w:type="dxa" w:w="6009"/>
          </w:tcPr>
          <w:p>
            <w:pPr>
              <w:jc w:val="both"/>
            </w:pPr>
            <w:r/>
            <w:r>
              <w:rPr>
                <w:sz w:val="19"/>
              </w:rPr>
              <w:t>Feed SFTP aktif untuk seluruh jenis file rutin; tanpa unggah manual pada steady state.</w:t>
            </w:r>
          </w:p>
        </w:tc>
      </w:tr>
      <w:tr>
        <w:tc>
          <w:tcPr>
            <w:tcW w:type="dxa" w:w="567"/>
          </w:tcPr>
          <w:p>
            <w:pPr>
              <w:jc w:val="both"/>
            </w:pPr>
            <w:r/>
            <w:r>
              <w:rPr>
                <w:sz w:val="19"/>
              </w:rPr>
              <w:t>5</w:t>
            </w:r>
          </w:p>
        </w:tc>
        <w:tc>
          <w:tcPr>
            <w:tcW w:type="dxa" w:w="2608"/>
          </w:tcPr>
          <w:p>
            <w:pPr>
              <w:jc w:val="both"/>
            </w:pPr>
            <w:r/>
            <w:r>
              <w:rPr>
                <w:sz w:val="19"/>
              </w:rPr>
              <w:t>Rekonsiliasi tender</w:t>
            </w:r>
          </w:p>
        </w:tc>
        <w:tc>
          <w:tcPr>
            <w:tcW w:type="dxa" w:w="6009"/>
          </w:tcPr>
          <w:p>
            <w:pPr>
              <w:jc w:val="both"/>
            </w:pPr>
            <w:r/>
            <w:r>
              <w:rPr>
                <w:sz w:val="19"/>
              </w:rPr>
              <w:t>Settlement tender (X70T) terekonsiliasi terhadap penerimaan bank per acquirer setiap periode.</w:t>
            </w:r>
          </w:p>
        </w:tc>
      </w:tr>
    </w:tbl>
    <w:p>
      <w:pPr>
        <w:spacing w:after="40"/>
      </w:pPr>
    </w:p>
    <w:p>
      <w:pPr>
        <w:pStyle w:val="Heading1"/>
      </w:pPr>
      <w:r>
        <w:t>3. Ruang Lingkup</w:t>
      </w:r>
    </w:p>
    <w:p>
      <w:pPr>
        <w:spacing w:after="120"/>
        <w:jc w:val="both"/>
      </w:pPr>
      <w:r>
        <w:rPr>
          <w:b w:val="0"/>
          <w:i w:val="0"/>
        </w:rPr>
        <w:t>In-scope: implementasi Odoo PT EBR (procurement ke SES, akuntansi, persediaan, pelaporan); modul custom_retail_import beserta profil Levi's; penyiapan master data dan saldo awal; integrasi file Phase 1 dan SFTP Phase 2. Out-of-scope: penggantian POS toko, perubahan proses SAP SES, integrasi API real-time, dan perubahan proses pada Levi's Principal. Rincian lengkap mengacu pada FSD Bab 1.3.</w:t>
      </w:r>
    </w:p>
    <w:p>
      <w:pPr>
        <w:pStyle w:val="Heading1"/>
      </w:pPr>
      <w:r>
        <w:t>4. Deliverables</w:t>
      </w:r>
    </w:p>
    <w:p>
      <w:pPr>
        <w:pStyle w:val="ListBullet"/>
        <w:jc w:val="both"/>
      </w:pPr>
      <w:r>
        <w:t>Tenant Odoo levis terprovision dengan Industry Pack Retail / POS.</w:t>
      </w:r>
    </w:p>
    <w:p>
      <w:pPr>
        <w:pStyle w:val="ListBullet"/>
        <w:jc w:val="both"/>
      </w:pPr>
      <w:r>
        <w:t>Modul custom_retail_import terpasang dengan 6 profil Levi's ter-seed.</w:t>
      </w:r>
    </w:p>
    <w:p>
      <w:pPr>
        <w:pStyle w:val="ListBullet"/>
        <w:jc w:val="both"/>
      </w:pPr>
      <w:r>
        <w:t>Master data termuat: company, CoA, produk X101, 24 warehouse, saldo awal X20.</w:t>
      </w:r>
    </w:p>
    <w:p>
      <w:pPr>
        <w:pStyle w:val="ListBullet"/>
        <w:jc w:val="both"/>
      </w:pPr>
      <w:r>
        <w:t>Konfigurasi keuangan: bank account dan journals, pajak/Coretax, vendor SES.</w:t>
      </w:r>
    </w:p>
    <w:p>
      <w:pPr>
        <w:pStyle w:val="ListBullet"/>
        <w:jc w:val="both"/>
      </w:pPr>
      <w:r>
        <w:t>Feed SFTP terkonfigurasi dan teruji (Phase 2).</w:t>
      </w:r>
    </w:p>
    <w:p>
      <w:pPr>
        <w:pStyle w:val="ListBullet"/>
        <w:jc w:val="both"/>
      </w:pPr>
      <w:r>
        <w:t>Dokumen: FSD, TSD, Project Charter, Business Workflow, runbook onboarding, materi pelatihan pengguna.</w:t>
      </w:r>
    </w:p>
    <w:p>
      <w:pPr>
        <w:pStyle w:val="Heading1"/>
      </w:pPr>
      <w:r>
        <w:t>5. Milestone dan Tahapan</w:t>
      </w:r>
    </w:p>
    <w:p>
      <w:pPr>
        <w:spacing w:after="120"/>
        <w:jc w:val="both"/>
      </w:pPr>
      <w:r>
        <w:rPr>
          <w:b w:val="0"/>
          <w:i w:val="0"/>
        </w:rPr>
        <w:t>Tanggal target diisi saat penjadwalan bersama; urutan tahapan dan dependensinya adalah sebagai berikut.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907"/>
            <w:shd w:val="clear" w:fill="1A2332"/>
          </w:tcPr>
          <w:p>
            <w:r/>
            <w:r>
              <w:rPr>
                <w:b/>
                <w:color w:val="FFFFFF"/>
                <w:sz w:val="19"/>
              </w:rPr>
              <w:t>Milestone</w:t>
            </w:r>
          </w:p>
        </w:tc>
        <w:tc>
          <w:tcPr>
            <w:tcW w:type="dxa" w:w="2608"/>
            <w:shd w:val="clear" w:fill="1A2332"/>
          </w:tcPr>
          <w:p>
            <w:r/>
            <w:r>
              <w:rPr>
                <w:b/>
                <w:color w:val="FFFFFF"/>
                <w:sz w:val="19"/>
              </w:rPr>
              <w:t>Tahapan</w:t>
            </w:r>
          </w:p>
        </w:tc>
        <w:tc>
          <w:tcPr>
            <w:tcW w:type="dxa" w:w="3402"/>
            <w:shd w:val="clear" w:fill="1A2332"/>
          </w:tcPr>
          <w:p>
            <w:r/>
            <w:r>
              <w:rPr>
                <w:b/>
                <w:color w:val="FFFFFF"/>
                <w:sz w:val="19"/>
              </w:rPr>
              <w:t>Keluaran Utama</w:t>
            </w:r>
          </w:p>
        </w:tc>
        <w:tc>
          <w:tcPr>
            <w:tcW w:type="dxa" w:w="2268"/>
            <w:shd w:val="clear" w:fill="1A2332"/>
          </w:tcPr>
          <w:p>
            <w:r/>
            <w:r>
              <w:rPr>
                <w:b/>
                <w:color w:val="FFFFFF"/>
                <w:sz w:val="19"/>
              </w:rPr>
              <w:t>Dependensi</w:t>
            </w:r>
          </w:p>
        </w:tc>
      </w:tr>
      <w:tr>
        <w:tc>
          <w:tcPr>
            <w:tcW w:type="dxa" w:w="907"/>
          </w:tcPr>
          <w:p>
            <w:pPr>
              <w:jc w:val="both"/>
            </w:pPr>
            <w:r/>
            <w:r>
              <w:rPr>
                <w:sz w:val="19"/>
              </w:rPr>
              <w:t>M0</w:t>
            </w:r>
          </w:p>
        </w:tc>
        <w:tc>
          <w:tcPr>
            <w:tcW w:type="dxa" w:w="2608"/>
          </w:tcPr>
          <w:p>
            <w:pPr>
              <w:jc w:val="both"/>
            </w:pPr>
            <w:r/>
            <w:r>
              <w:rPr>
                <w:sz w:val="19"/>
              </w:rPr>
              <w:t>Provisioning tenant (Phase 0)</w:t>
            </w:r>
          </w:p>
        </w:tc>
        <w:tc>
          <w:tcPr>
            <w:tcW w:type="dxa" w:w="3402"/>
          </w:tcPr>
          <w:p>
            <w:pPr>
              <w:jc w:val="both"/>
            </w:pPr>
            <w:r/>
            <w:r>
              <w:rPr>
                <w:sz w:val="19"/>
              </w:rPr>
              <w:t>Database levis + pack retail terpasang.</w:t>
            </w:r>
          </w:p>
        </w:tc>
        <w:tc>
          <w:tcPr>
            <w:tcW w:type="dxa" w:w="2268"/>
          </w:tcPr>
          <w:p>
            <w:pPr>
              <w:jc w:val="both"/>
            </w:pPr>
            <w:r/>
            <w:r>
              <w:rPr>
                <w:sz w:val="19"/>
              </w:rPr>
              <w:t>—</w:t>
            </w:r>
          </w:p>
        </w:tc>
      </w:tr>
      <w:tr>
        <w:tc>
          <w:tcPr>
            <w:tcW w:type="dxa" w:w="907"/>
          </w:tcPr>
          <w:p>
            <w:pPr>
              <w:jc w:val="both"/>
            </w:pPr>
            <w:r/>
            <w:r>
              <w:rPr>
                <w:sz w:val="19"/>
              </w:rPr>
              <w:t>M1</w:t>
            </w:r>
          </w:p>
        </w:tc>
        <w:tc>
          <w:tcPr>
            <w:tcW w:type="dxa" w:w="2608"/>
          </w:tcPr>
          <w:p>
            <w:pPr>
              <w:jc w:val="both"/>
            </w:pPr>
            <w:r/>
            <w:r>
              <w:rPr>
                <w:sz w:val="19"/>
              </w:rPr>
              <w:t>Konfigurasi dasar &amp; master data (Phase 1)</w:t>
            </w:r>
          </w:p>
        </w:tc>
        <w:tc>
          <w:tcPr>
            <w:tcW w:type="dxa" w:w="3402"/>
          </w:tcPr>
          <w:p>
            <w:pPr>
              <w:jc w:val="both"/>
            </w:pPr>
            <w:r/>
            <w:r>
              <w:rPr>
                <w:sz w:val="19"/>
              </w:rPr>
              <w:t>Company, CoA, bank/journals, pajak, vendor SES, produk X101, 24 warehouse.</w:t>
            </w:r>
          </w:p>
        </w:tc>
        <w:tc>
          <w:tcPr>
            <w:tcW w:type="dxa" w:w="2268"/>
          </w:tcPr>
          <w:p>
            <w:pPr>
              <w:jc w:val="both"/>
            </w:pPr>
            <w:r/>
            <w:r>
              <w:rPr>
                <w:sz w:val="19"/>
              </w:rPr>
              <w:t>M0; file X101 dan CoA (sudah lengkap).</w:t>
            </w:r>
          </w:p>
        </w:tc>
      </w:tr>
      <w:tr>
        <w:tc>
          <w:tcPr>
            <w:tcW w:type="dxa" w:w="907"/>
          </w:tcPr>
          <w:p>
            <w:pPr>
              <w:jc w:val="both"/>
            </w:pPr>
            <w:r/>
            <w:r>
              <w:rPr>
                <w:sz w:val="19"/>
              </w:rPr>
              <w:t>M2</w:t>
            </w:r>
          </w:p>
        </w:tc>
        <w:tc>
          <w:tcPr>
            <w:tcW w:type="dxa" w:w="2608"/>
          </w:tcPr>
          <w:p>
            <w:pPr>
              <w:jc w:val="both"/>
            </w:pPr>
            <w:r/>
            <w:r>
              <w:rPr>
                <w:sz w:val="19"/>
              </w:rPr>
              <w:t>Saldo awal stok (Phase 2 data)</w:t>
            </w:r>
          </w:p>
        </w:tc>
        <w:tc>
          <w:tcPr>
            <w:tcW w:type="dxa" w:w="3402"/>
          </w:tcPr>
          <w:p>
            <w:pPr>
              <w:jc w:val="both"/>
            </w:pPr>
            <w:r/>
            <w:r>
              <w:rPr>
                <w:sz w:val="19"/>
              </w:rPr>
              <w:t>X20 termuat one-shot pada tanggal cut-over.</w:t>
            </w:r>
          </w:p>
        </w:tc>
        <w:tc>
          <w:tcPr>
            <w:tcW w:type="dxa" w:w="2268"/>
          </w:tcPr>
          <w:p>
            <w:pPr>
              <w:jc w:val="both"/>
            </w:pPr>
            <w:r/>
            <w:r>
              <w:rPr>
                <w:sz w:val="19"/>
              </w:rPr>
              <w:t>M1; ekstrak X20 seluruh toko dari pelanggan.</w:t>
            </w:r>
          </w:p>
        </w:tc>
      </w:tr>
      <w:tr>
        <w:tc>
          <w:tcPr>
            <w:tcW w:type="dxa" w:w="907"/>
          </w:tcPr>
          <w:p>
            <w:pPr>
              <w:jc w:val="both"/>
            </w:pPr>
            <w:r/>
            <w:r>
              <w:rPr>
                <w:sz w:val="19"/>
              </w:rPr>
              <w:t>M3</w:t>
            </w:r>
          </w:p>
        </w:tc>
        <w:tc>
          <w:tcPr>
            <w:tcW w:type="dxa" w:w="2608"/>
          </w:tcPr>
          <w:p>
            <w:pPr>
              <w:jc w:val="both"/>
            </w:pPr>
            <w:r/>
            <w:r>
              <w:rPr>
                <w:sz w:val="19"/>
              </w:rPr>
              <w:t>Go-live procurement</w:t>
            </w:r>
          </w:p>
        </w:tc>
        <w:tc>
          <w:tcPr>
            <w:tcW w:type="dxa" w:w="3402"/>
          </w:tcPr>
          <w:p>
            <w:pPr>
              <w:jc w:val="both"/>
            </w:pPr>
            <w:r/>
            <w:r>
              <w:rPr>
                <w:sz w:val="19"/>
              </w:rPr>
              <w:t>PO EBR→SES, GR mirror, vendor bill, pembayaran berjalan di produksi.</w:t>
            </w:r>
          </w:p>
        </w:tc>
        <w:tc>
          <w:tcPr>
            <w:tcW w:type="dxa" w:w="2268"/>
          </w:tcPr>
          <w:p>
            <w:pPr>
              <w:jc w:val="both"/>
            </w:pPr>
            <w:r/>
            <w:r>
              <w:rPr>
                <w:sz w:val="19"/>
              </w:rPr>
              <w:t>M1; kode toko lengkap untuk crosswalk.</w:t>
            </w:r>
          </w:p>
        </w:tc>
      </w:tr>
      <w:tr>
        <w:tc>
          <w:tcPr>
            <w:tcW w:type="dxa" w:w="907"/>
          </w:tcPr>
          <w:p>
            <w:pPr>
              <w:jc w:val="both"/>
            </w:pPr>
            <w:r/>
            <w:r>
              <w:rPr>
                <w:sz w:val="19"/>
              </w:rPr>
              <w:t>M4</w:t>
            </w:r>
          </w:p>
        </w:tc>
        <w:tc>
          <w:tcPr>
            <w:tcW w:type="dxa" w:w="2608"/>
          </w:tcPr>
          <w:p>
            <w:pPr>
              <w:jc w:val="both"/>
            </w:pPr>
            <w:r/>
            <w:r>
              <w:rPr>
                <w:sz w:val="19"/>
              </w:rPr>
              <w:t>Keputusan dan go-live penjualan (Phase 5)</w:t>
            </w:r>
          </w:p>
        </w:tc>
        <w:tc>
          <w:tcPr>
            <w:tcW w:type="dxa" w:w="3402"/>
          </w:tcPr>
          <w:p>
            <w:pPr>
              <w:jc w:val="both"/>
            </w:pPr>
            <w:r/>
            <w:r>
              <w:rPr>
                <w:sz w:val="19"/>
              </w:rPr>
              <w:t>Posting X24/X70D diaktifkan setelah keputusan representasi POS, histori, dan tax mapping.</w:t>
            </w:r>
          </w:p>
        </w:tc>
        <w:tc>
          <w:tcPr>
            <w:tcW w:type="dxa" w:w="2268"/>
          </w:tcPr>
          <w:p>
            <w:pPr>
              <w:jc w:val="both"/>
            </w:pPr>
            <w:r/>
            <w:r>
              <w:rPr>
                <w:sz w:val="19"/>
              </w:rPr>
              <w:t>M3; workshop Finance EBR dan pajak.</w:t>
            </w:r>
          </w:p>
        </w:tc>
      </w:tr>
      <w:tr>
        <w:tc>
          <w:tcPr>
            <w:tcW w:type="dxa" w:w="907"/>
          </w:tcPr>
          <w:p>
            <w:pPr>
              <w:jc w:val="both"/>
            </w:pPr>
            <w:r/>
            <w:r>
              <w:rPr>
                <w:sz w:val="19"/>
              </w:rPr>
              <w:t>M5</w:t>
            </w:r>
          </w:p>
        </w:tc>
        <w:tc>
          <w:tcPr>
            <w:tcW w:type="dxa" w:w="2608"/>
          </w:tcPr>
          <w:p>
            <w:pPr>
              <w:jc w:val="both"/>
            </w:pPr>
            <w:r/>
            <w:r>
              <w:rPr>
                <w:sz w:val="19"/>
              </w:rPr>
              <w:t>Otomasi SFTP (Phase 6)</w:t>
            </w:r>
          </w:p>
        </w:tc>
        <w:tc>
          <w:tcPr>
            <w:tcW w:type="dxa" w:w="3402"/>
          </w:tcPr>
          <w:p>
            <w:pPr>
              <w:jc w:val="both"/>
            </w:pPr>
            <w:r/>
            <w:r>
              <w:rPr>
                <w:sz w:val="19"/>
              </w:rPr>
              <w:t>Feed SFTP aktif, cron poller berjalan, unggah manual dihentikan.</w:t>
            </w:r>
          </w:p>
        </w:tc>
        <w:tc>
          <w:tcPr>
            <w:tcW w:type="dxa" w:w="2268"/>
          </w:tcPr>
          <w:p>
            <w:pPr>
              <w:jc w:val="both"/>
            </w:pPr>
            <w:r/>
            <w:r>
              <w:rPr>
                <w:sz w:val="19"/>
              </w:rPr>
              <w:t>M3; akses server FTP/SFTP Erajaya.</w:t>
            </w:r>
          </w:p>
        </w:tc>
      </w:tr>
      <w:tr>
        <w:tc>
          <w:tcPr>
            <w:tcW w:type="dxa" w:w="907"/>
          </w:tcPr>
          <w:p>
            <w:pPr>
              <w:jc w:val="both"/>
            </w:pPr>
            <w:r/>
            <w:r>
              <w:rPr>
                <w:sz w:val="19"/>
              </w:rPr>
              <w:t>M6</w:t>
            </w:r>
          </w:p>
        </w:tc>
        <w:tc>
          <w:tcPr>
            <w:tcW w:type="dxa" w:w="2608"/>
          </w:tcPr>
          <w:p>
            <w:pPr>
              <w:jc w:val="both"/>
            </w:pPr>
            <w:r/>
            <w:r>
              <w:rPr>
                <w:sz w:val="19"/>
              </w:rPr>
              <w:t>Stabilisasi dan serah terima</w:t>
            </w:r>
          </w:p>
        </w:tc>
        <w:tc>
          <w:tcPr>
            <w:tcW w:type="dxa" w:w="3402"/>
          </w:tcPr>
          <w:p>
            <w:pPr>
              <w:jc w:val="both"/>
            </w:pPr>
            <w:r/>
            <w:r>
              <w:rPr>
                <w:sz w:val="19"/>
              </w:rPr>
              <w:t>Rekonsiliasi 1 siklus bulanan penuh; handover ke operasional.</w:t>
            </w:r>
          </w:p>
        </w:tc>
        <w:tc>
          <w:tcPr>
            <w:tcW w:type="dxa" w:w="2268"/>
          </w:tcPr>
          <w:p>
            <w:pPr>
              <w:jc w:val="both"/>
            </w:pPr>
            <w:r/>
            <w:r>
              <w:rPr>
                <w:sz w:val="19"/>
              </w:rPr>
              <w:t>M4, M5.</w:t>
            </w:r>
          </w:p>
        </w:tc>
      </w:tr>
    </w:tbl>
    <w:p>
      <w:pPr>
        <w:spacing w:after="40"/>
      </w:pPr>
    </w:p>
    <w:p>
      <w:pPr>
        <w:pStyle w:val="Heading1"/>
      </w:pPr>
      <w:r>
        <w:t>6. Organisasi Proyek</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fill="1A2332"/>
          </w:tcPr>
          <w:p>
            <w:r/>
            <w:r>
              <w:rPr>
                <w:b/>
                <w:color w:val="FFFFFF"/>
                <w:sz w:val="19"/>
              </w:rPr>
              <w:t>Peran</w:t>
            </w:r>
          </w:p>
        </w:tc>
        <w:tc>
          <w:tcPr>
            <w:tcW w:type="dxa" w:w="2494"/>
            <w:shd w:val="clear" w:fill="1A2332"/>
          </w:tcPr>
          <w:p>
            <w:r/>
            <w:r>
              <w:rPr>
                <w:b/>
                <w:color w:val="FFFFFF"/>
                <w:sz w:val="19"/>
              </w:rPr>
              <w:t>Pihak</w:t>
            </w:r>
          </w:p>
        </w:tc>
        <w:tc>
          <w:tcPr>
            <w:tcW w:type="dxa" w:w="4649"/>
            <w:shd w:val="clear" w:fill="1A2332"/>
          </w:tcPr>
          <w:p>
            <w:r/>
            <w:r>
              <w:rPr>
                <w:b/>
                <w:color w:val="FFFFFF"/>
                <w:sz w:val="19"/>
              </w:rPr>
              <w:t>Tanggung Jawab Utama</w:t>
            </w:r>
          </w:p>
        </w:tc>
      </w:tr>
      <w:tr>
        <w:tc>
          <w:tcPr>
            <w:tcW w:type="dxa" w:w="2041"/>
          </w:tcPr>
          <w:p>
            <w:pPr>
              <w:jc w:val="both"/>
            </w:pPr>
            <w:r/>
            <w:r>
              <w:rPr>
                <w:sz w:val="19"/>
              </w:rPr>
              <w:t>Project Sponsor</w:t>
            </w:r>
          </w:p>
        </w:tc>
        <w:tc>
          <w:tcPr>
            <w:tcW w:type="dxa" w:w="2494"/>
          </w:tcPr>
          <w:p>
            <w:pPr>
              <w:jc w:val="both"/>
            </w:pPr>
            <w:r/>
            <w:r>
              <w:rPr>
                <w:sz w:val="19"/>
              </w:rPr>
              <w:t>Business Owner Levi's Retail (Erajaya)</w:t>
            </w:r>
          </w:p>
        </w:tc>
        <w:tc>
          <w:tcPr>
            <w:tcW w:type="dxa" w:w="4649"/>
          </w:tcPr>
          <w:p>
            <w:pPr>
              <w:jc w:val="both"/>
            </w:pPr>
            <w:r/>
            <w:r>
              <w:rPr>
                <w:sz w:val="19"/>
              </w:rPr>
              <w:t>Keputusan bisnis, pendanaan, eskalasi akhir.</w:t>
            </w:r>
          </w:p>
        </w:tc>
      </w:tr>
      <w:tr>
        <w:tc>
          <w:tcPr>
            <w:tcW w:type="dxa" w:w="2041"/>
          </w:tcPr>
          <w:p>
            <w:pPr>
              <w:jc w:val="both"/>
            </w:pPr>
            <w:r/>
            <w:r>
              <w:rPr>
                <w:sz w:val="19"/>
              </w:rPr>
              <w:t>Project Manager</w:t>
            </w:r>
          </w:p>
        </w:tc>
        <w:tc>
          <w:tcPr>
            <w:tcW w:type="dxa" w:w="2494"/>
          </w:tcPr>
          <w:p>
            <w:pPr>
              <w:jc w:val="both"/>
            </w:pPr>
            <w:r/>
            <w:r>
              <w:rPr>
                <w:sz w:val="19"/>
              </w:rPr>
              <w:t>Erajaya</w:t>
            </w:r>
          </w:p>
        </w:tc>
        <w:tc>
          <w:tcPr>
            <w:tcW w:type="dxa" w:w="4649"/>
          </w:tcPr>
          <w:p>
            <w:pPr>
              <w:jc w:val="both"/>
            </w:pPr>
            <w:r/>
            <w:r>
              <w:rPr>
                <w:sz w:val="19"/>
              </w:rPr>
              <w:t>Perencanaan, koordinasi lintas pihak, pelaporan status, manajemen risiko.</w:t>
            </w:r>
          </w:p>
        </w:tc>
      </w:tr>
      <w:tr>
        <w:tc>
          <w:tcPr>
            <w:tcW w:type="dxa" w:w="2041"/>
          </w:tcPr>
          <w:p>
            <w:pPr>
              <w:jc w:val="both"/>
            </w:pPr>
            <w:r/>
            <w:r>
              <w:rPr>
                <w:sz w:val="19"/>
              </w:rPr>
              <w:t>Functional Consultant</w:t>
            </w:r>
          </w:p>
        </w:tc>
        <w:tc>
          <w:tcPr>
            <w:tcW w:type="dxa" w:w="2494"/>
          </w:tcPr>
          <w:p>
            <w:pPr>
              <w:jc w:val="both"/>
            </w:pPr>
            <w:r/>
            <w:r>
              <w:rPr>
                <w:sz w:val="19"/>
              </w:rPr>
              <w:t>Erajaya</w:t>
            </w:r>
          </w:p>
        </w:tc>
        <w:tc>
          <w:tcPr>
            <w:tcW w:type="dxa" w:w="4649"/>
          </w:tcPr>
          <w:p>
            <w:pPr>
              <w:jc w:val="both"/>
            </w:pPr>
            <w:r/>
            <w:r>
              <w:rPr>
                <w:sz w:val="19"/>
              </w:rPr>
              <w:t>Konfigurasi Odoo, mapping proses, UAT, pelatihan.</w:t>
            </w:r>
          </w:p>
        </w:tc>
      </w:tr>
      <w:tr>
        <w:tc>
          <w:tcPr>
            <w:tcW w:type="dxa" w:w="2041"/>
          </w:tcPr>
          <w:p>
            <w:pPr>
              <w:jc w:val="both"/>
            </w:pPr>
            <w:r/>
            <w:r>
              <w:rPr>
                <w:sz w:val="19"/>
              </w:rPr>
              <w:t>Technical Lead / Developer</w:t>
            </w:r>
          </w:p>
        </w:tc>
        <w:tc>
          <w:tcPr>
            <w:tcW w:type="dxa" w:w="2494"/>
          </w:tcPr>
          <w:p>
            <w:pPr>
              <w:jc w:val="both"/>
            </w:pPr>
            <w:r/>
            <w:r>
              <w:rPr>
                <w:sz w:val="19"/>
              </w:rPr>
              <w:t>Erajaya</w:t>
            </w:r>
          </w:p>
        </w:tc>
        <w:tc>
          <w:tcPr>
            <w:tcW w:type="dxa" w:w="4649"/>
          </w:tcPr>
          <w:p>
            <w:pPr>
              <w:jc w:val="both"/>
            </w:pPr>
            <w:r/>
            <w:r>
              <w:rPr>
                <w:sz w:val="19"/>
              </w:rPr>
              <w:t>Modul custom_retail_import, profil import, feed SFTP, deployment.</w:t>
            </w:r>
          </w:p>
        </w:tc>
      </w:tr>
      <w:tr>
        <w:tc>
          <w:tcPr>
            <w:tcW w:type="dxa" w:w="2041"/>
          </w:tcPr>
          <w:p>
            <w:pPr>
              <w:jc w:val="both"/>
            </w:pPr>
            <w:r/>
            <w:r>
              <w:rPr>
                <w:sz w:val="19"/>
              </w:rPr>
              <w:t>Finance &amp; Accounting</w:t>
            </w:r>
          </w:p>
        </w:tc>
        <w:tc>
          <w:tcPr>
            <w:tcW w:type="dxa" w:w="2494"/>
          </w:tcPr>
          <w:p>
            <w:pPr>
              <w:jc w:val="both"/>
            </w:pPr>
            <w:r/>
            <w:r>
              <w:rPr>
                <w:sz w:val="19"/>
              </w:rPr>
              <w:t>PT EBR</w:t>
            </w:r>
          </w:p>
        </w:tc>
        <w:tc>
          <w:tcPr>
            <w:tcW w:type="dxa" w:w="4649"/>
          </w:tcPr>
          <w:p>
            <w:pPr>
              <w:jc w:val="both"/>
            </w:pPr>
            <w:r/>
            <w:r>
              <w:rPr>
                <w:sz w:val="19"/>
              </w:rPr>
              <w:t>CoA, kebijakan pembukuan, keputusan Phase 5, rekonsiliasi, UAT keuangan.</w:t>
            </w:r>
          </w:p>
        </w:tc>
      </w:tr>
      <w:tr>
        <w:tc>
          <w:tcPr>
            <w:tcW w:type="dxa" w:w="2041"/>
          </w:tcPr>
          <w:p>
            <w:pPr>
              <w:jc w:val="both"/>
            </w:pPr>
            <w:r/>
            <w:r>
              <w:rPr>
                <w:sz w:val="19"/>
              </w:rPr>
              <w:t>IT / Master Data</w:t>
            </w:r>
          </w:p>
        </w:tc>
        <w:tc>
          <w:tcPr>
            <w:tcW w:type="dxa" w:w="2494"/>
          </w:tcPr>
          <w:p>
            <w:pPr>
              <w:jc w:val="both"/>
            </w:pPr>
            <w:r/>
            <w:r>
              <w:rPr>
                <w:sz w:val="19"/>
              </w:rPr>
              <w:t>PT SES</w:t>
            </w:r>
          </w:p>
        </w:tc>
        <w:tc>
          <w:tcPr>
            <w:tcW w:type="dxa" w:w="4649"/>
          </w:tcPr>
          <w:p>
            <w:pPr>
              <w:jc w:val="both"/>
            </w:pPr>
            <w:r/>
            <w:r>
              <w:rPr>
                <w:sz w:val="19"/>
              </w:rPr>
              <w:t>Penyediaan ekstrak SAP/POS, kode toko, koordinasi dengan principal.</w:t>
            </w:r>
          </w:p>
        </w:tc>
      </w:tr>
      <w:tr>
        <w:tc>
          <w:tcPr>
            <w:tcW w:type="dxa" w:w="2041"/>
          </w:tcPr>
          <w:p>
            <w:pPr>
              <w:jc w:val="both"/>
            </w:pPr>
            <w:r/>
            <w:r>
              <w:rPr>
                <w:sz w:val="19"/>
              </w:rPr>
              <w:t>Principal Liaison</w:t>
            </w:r>
          </w:p>
        </w:tc>
        <w:tc>
          <w:tcPr>
            <w:tcW w:type="dxa" w:w="2494"/>
          </w:tcPr>
          <w:p>
            <w:pPr>
              <w:jc w:val="both"/>
            </w:pPr>
            <w:r/>
            <w:r>
              <w:rPr>
                <w:sz w:val="19"/>
              </w:rPr>
              <w:t>Levi's Principal</w:t>
            </w:r>
          </w:p>
        </w:tc>
        <w:tc>
          <w:tcPr>
            <w:tcW w:type="dxa" w:w="4649"/>
          </w:tcPr>
          <w:p>
            <w:pPr>
              <w:jc w:val="both"/>
            </w:pPr>
            <w:r/>
            <w:r>
              <w:rPr>
                <w:sz w:val="19"/>
              </w:rPr>
              <w:t>Akses report POS, jadwal drop file, perubahan struktur report.</w:t>
            </w:r>
          </w:p>
        </w:tc>
      </w:tr>
    </w:tbl>
    <w:p>
      <w:pPr>
        <w:spacing w:after="40"/>
      </w:pPr>
    </w:p>
    <w:p>
      <w:pPr>
        <w:pStyle w:val="Heading1"/>
      </w:pPr>
      <w:r>
        <w:t>7. Risiko Utama dan Mitigasi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val="clear" w:fill="1A2332"/>
          </w:tcPr>
          <w:p>
            <w:r/>
            <w:r>
              <w:rPr>
                <w:b/>
                <w:color w:val="FFFFFF"/>
                <w:sz w:val="19"/>
              </w:rPr>
              <w:t>No</w:t>
            </w:r>
          </w:p>
        </w:tc>
        <w:tc>
          <w:tcPr>
            <w:tcW w:type="dxa" w:w="2608"/>
            <w:shd w:val="clear" w:fill="1A2332"/>
          </w:tcPr>
          <w:p>
            <w:r/>
            <w:r>
              <w:rPr>
                <w:b/>
                <w:color w:val="FFFFFF"/>
                <w:sz w:val="19"/>
              </w:rPr>
              <w:t>Risiko</w:t>
            </w:r>
          </w:p>
        </w:tc>
        <w:tc>
          <w:tcPr>
            <w:tcW w:type="dxa" w:w="2041"/>
            <w:shd w:val="clear" w:fill="1A2332"/>
          </w:tcPr>
          <w:p>
            <w:r/>
            <w:r>
              <w:rPr>
                <w:b/>
                <w:color w:val="FFFFFF"/>
                <w:sz w:val="19"/>
              </w:rPr>
              <w:t>Dampak</w:t>
            </w:r>
          </w:p>
        </w:tc>
        <w:tc>
          <w:tcPr>
            <w:tcW w:type="dxa" w:w="3969"/>
            <w:shd w:val="clear" w:fill="1A2332"/>
          </w:tcPr>
          <w:p>
            <w:r/>
            <w:r>
              <w:rPr>
                <w:b/>
                <w:color w:val="FFFFFF"/>
                <w:sz w:val="19"/>
              </w:rPr>
              <w:t>Mitigasi</w:t>
            </w:r>
          </w:p>
        </w:tc>
      </w:tr>
      <w:tr>
        <w:tc>
          <w:tcPr>
            <w:tcW w:type="dxa" w:w="567"/>
          </w:tcPr>
          <w:p>
            <w:pPr>
              <w:jc w:val="both"/>
            </w:pPr>
            <w:r/>
            <w:r>
              <w:rPr>
                <w:sz w:val="19"/>
              </w:rPr>
              <w:t>1</w:t>
            </w:r>
          </w:p>
        </w:tc>
        <w:tc>
          <w:tcPr>
            <w:tcW w:type="dxa" w:w="2608"/>
          </w:tcPr>
          <w:p>
            <w:pPr>
              <w:jc w:val="both"/>
            </w:pPr>
            <w:r/>
            <w:r>
              <w:rPr>
                <w:sz w:val="19"/>
              </w:rPr>
              <w:t>Data transaksi baru tersedia untuk 1 dari 24 toko (sampel).</w:t>
            </w:r>
          </w:p>
        </w:tc>
        <w:tc>
          <w:tcPr>
            <w:tcW w:type="dxa" w:w="2041"/>
          </w:tcPr>
          <w:p>
            <w:pPr>
              <w:jc w:val="both"/>
            </w:pPr>
            <w:r/>
            <w:r>
              <w:rPr>
                <w:sz w:val="19"/>
              </w:rPr>
              <w:t>Go-live penjualan tertunda.</w:t>
            </w:r>
          </w:p>
        </w:tc>
        <w:tc>
          <w:tcPr>
            <w:tcW w:type="dxa" w:w="3969"/>
          </w:tcPr>
          <w:p>
            <w:pPr>
              <w:jc w:val="both"/>
            </w:pPr>
            <w:r/>
            <w:r>
              <w:rPr>
                <w:sz w:val="19"/>
              </w:rPr>
              <w:t>Eskalasi permintaan ekstrak penuh / aktivasi feed SFTP lebih awal; go-live bertahap per toko.</w:t>
            </w:r>
          </w:p>
        </w:tc>
      </w:tr>
      <w:tr>
        <w:tc>
          <w:tcPr>
            <w:tcW w:type="dxa" w:w="567"/>
          </w:tcPr>
          <w:p>
            <w:pPr>
              <w:jc w:val="both"/>
            </w:pPr>
            <w:r/>
            <w:r>
              <w:rPr>
                <w:sz w:val="19"/>
              </w:rPr>
              <w:t>2</w:t>
            </w:r>
          </w:p>
        </w:tc>
        <w:tc>
          <w:tcPr>
            <w:tcW w:type="dxa" w:w="2608"/>
          </w:tcPr>
          <w:p>
            <w:pPr>
              <w:jc w:val="both"/>
            </w:pPr>
            <w:r/>
            <w:r>
              <w:rPr>
                <w:sz w:val="19"/>
              </w:rPr>
              <w:t>Kode toko SAP belum tersedia untuk 23 toko.</w:t>
            </w:r>
          </w:p>
        </w:tc>
        <w:tc>
          <w:tcPr>
            <w:tcW w:type="dxa" w:w="2041"/>
          </w:tcPr>
          <w:p>
            <w:pPr>
              <w:jc w:val="both"/>
            </w:pPr>
            <w:r/>
            <w:r>
              <w:rPr>
                <w:sz w:val="19"/>
              </w:rPr>
              <w:t>Crosswalk file X ke warehouse tidak lengkap.</w:t>
            </w:r>
          </w:p>
        </w:tc>
        <w:tc>
          <w:tcPr>
            <w:tcW w:type="dxa" w:w="3969"/>
          </w:tcPr>
          <w:p>
            <w:pPr>
              <w:jc w:val="both"/>
            </w:pPr>
            <w:r/>
            <w:r>
              <w:rPr>
                <w:sz w:val="19"/>
              </w:rPr>
              <w:t>Daftar kebutuhan data formal ke SES/principal; loader store bersifat idempoten sehingga dapat diulang saat kode tiba.</w:t>
            </w:r>
          </w:p>
        </w:tc>
      </w:tr>
      <w:tr>
        <w:tc>
          <w:tcPr>
            <w:tcW w:type="dxa" w:w="567"/>
          </w:tcPr>
          <w:p>
            <w:pPr>
              <w:jc w:val="both"/>
            </w:pPr>
            <w:r/>
            <w:r>
              <w:rPr>
                <w:sz w:val="19"/>
              </w:rPr>
              <w:t>3</w:t>
            </w:r>
          </w:p>
        </w:tc>
        <w:tc>
          <w:tcPr>
            <w:tcW w:type="dxa" w:w="2608"/>
          </w:tcPr>
          <w:p>
            <w:pPr>
              <w:jc w:val="both"/>
            </w:pPr>
            <w:r/>
            <w:r>
              <w:rPr>
                <w:sz w:val="19"/>
              </w:rPr>
              <w:t>Keputusan Phase 5 (representasi POS, histori, tax mapping) tertunda.</w:t>
            </w:r>
          </w:p>
        </w:tc>
        <w:tc>
          <w:tcPr>
            <w:tcW w:type="dxa" w:w="2041"/>
          </w:tcPr>
          <w:p>
            <w:pPr>
              <w:jc w:val="both"/>
            </w:pPr>
            <w:r/>
            <w:r>
              <w:rPr>
                <w:sz w:val="19"/>
              </w:rPr>
              <w:t>Posting penjualan dan tender tertahan gating.</w:t>
            </w:r>
          </w:p>
        </w:tc>
        <w:tc>
          <w:tcPr>
            <w:tcW w:type="dxa" w:w="3969"/>
          </w:tcPr>
          <w:p>
            <w:pPr>
              <w:jc w:val="both"/>
            </w:pPr>
            <w:r/>
            <w:r>
              <w:rPr>
                <w:sz w:val="19"/>
              </w:rPr>
              <w:t>Workshop keputusan dijadwalkan sebelum M4 dengan opsi default yang direkomendasikan.</w:t>
            </w:r>
          </w:p>
        </w:tc>
      </w:tr>
      <w:tr>
        <w:tc>
          <w:tcPr>
            <w:tcW w:type="dxa" w:w="567"/>
          </w:tcPr>
          <w:p>
            <w:pPr>
              <w:jc w:val="both"/>
            </w:pPr>
            <w:r/>
            <w:r>
              <w:rPr>
                <w:sz w:val="19"/>
              </w:rPr>
              <w:t>4</w:t>
            </w:r>
          </w:p>
        </w:tc>
        <w:tc>
          <w:tcPr>
            <w:tcW w:type="dxa" w:w="2608"/>
          </w:tcPr>
          <w:p>
            <w:pPr>
              <w:jc w:val="both"/>
            </w:pPr>
            <w:r/>
            <w:r>
              <w:rPr>
                <w:sz w:val="19"/>
              </w:rPr>
              <w:t>Struktur report principal berubah tanpa pemberitahuan.</w:t>
            </w:r>
          </w:p>
        </w:tc>
        <w:tc>
          <w:tcPr>
            <w:tcW w:type="dxa" w:w="2041"/>
          </w:tcPr>
          <w:p>
            <w:pPr>
              <w:jc w:val="both"/>
            </w:pPr>
            <w:r/>
            <w:r>
              <w:rPr>
                <w:sz w:val="19"/>
              </w:rPr>
              <w:t>Parsing gagal atau salah kolom.</w:t>
            </w:r>
          </w:p>
        </w:tc>
        <w:tc>
          <w:tcPr>
            <w:tcW w:type="dxa" w:w="3969"/>
          </w:tcPr>
          <w:p>
            <w:pPr>
              <w:jc w:val="both"/>
            </w:pPr>
            <w:r/>
            <w:r>
              <w:rPr>
                <w:sz w:val="19"/>
              </w:rPr>
              <w:t>Profil import berbasis data (ubah mapping tanpa kode); dry-run preview; notifikasi kegagalan parse.</w:t>
            </w:r>
          </w:p>
        </w:tc>
      </w:tr>
      <w:tr>
        <w:tc>
          <w:tcPr>
            <w:tcW w:type="dxa" w:w="567"/>
          </w:tcPr>
          <w:p>
            <w:pPr>
              <w:jc w:val="both"/>
            </w:pPr>
            <w:r/>
            <w:r>
              <w:rPr>
                <w:sz w:val="19"/>
              </w:rPr>
              <w:t>5</w:t>
            </w:r>
          </w:p>
        </w:tc>
        <w:tc>
          <w:tcPr>
            <w:tcW w:type="dxa" w:w="2608"/>
          </w:tcPr>
          <w:p>
            <w:pPr>
              <w:jc w:val="both"/>
            </w:pPr>
            <w:r/>
            <w:r>
              <w:rPr>
                <w:sz w:val="19"/>
              </w:rPr>
              <w:t>Kredensial SFTP tersimpan tanpa enkripsi at-rest.</w:t>
            </w:r>
          </w:p>
        </w:tc>
        <w:tc>
          <w:tcPr>
            <w:tcW w:type="dxa" w:w="2041"/>
          </w:tcPr>
          <w:p>
            <w:pPr>
              <w:jc w:val="both"/>
            </w:pPr>
            <w:r/>
            <w:r>
              <w:rPr>
                <w:sz w:val="19"/>
              </w:rPr>
              <w:t>Risiko kebocoran kredensial.</w:t>
            </w:r>
          </w:p>
        </w:tc>
        <w:tc>
          <w:tcPr>
            <w:tcW w:type="dxa" w:w="3969"/>
          </w:tcPr>
          <w:p>
            <w:pPr>
              <w:jc w:val="both"/>
            </w:pPr>
            <w:r/>
            <w:r>
              <w:rPr>
                <w:sz w:val="19"/>
              </w:rPr>
              <w:t>Preferensi autentikasi private key; pembatasan akses ir.config_parameter; roadmap enkripsi platform.</w:t>
            </w:r>
          </w:p>
        </w:tc>
      </w:tr>
      <w:tr>
        <w:tc>
          <w:tcPr>
            <w:tcW w:type="dxa" w:w="567"/>
          </w:tcPr>
          <w:p>
            <w:pPr>
              <w:jc w:val="both"/>
            </w:pPr>
            <w:r/>
            <w:r>
              <w:rPr>
                <w:sz w:val="19"/>
              </w:rPr>
              <w:t>6</w:t>
            </w:r>
          </w:p>
        </w:tc>
        <w:tc>
          <w:tcPr>
            <w:tcW w:type="dxa" w:w="2608"/>
          </w:tcPr>
          <w:p>
            <w:pPr>
              <w:jc w:val="both"/>
            </w:pPr>
            <w:r/>
            <w:r>
              <w:rPr>
                <w:sz w:val="19"/>
              </w:rPr>
              <w:t>Volume X101 besar (±159 ribu SKU) membebani import.</w:t>
            </w:r>
          </w:p>
        </w:tc>
        <w:tc>
          <w:tcPr>
            <w:tcW w:type="dxa" w:w="2041"/>
          </w:tcPr>
          <w:p>
            <w:pPr>
              <w:jc w:val="both"/>
            </w:pPr>
            <w:r/>
            <w:r>
              <w:rPr>
                <w:sz w:val="19"/>
              </w:rPr>
              <w:t>Timeout / beban server.</w:t>
            </w:r>
          </w:p>
        </w:tc>
        <w:tc>
          <w:tcPr>
            <w:tcW w:type="dxa" w:w="3969"/>
          </w:tcPr>
          <w:p>
            <w:pPr>
              <w:jc w:val="both"/>
            </w:pPr>
            <w:r/>
            <w:r>
              <w:rPr>
                <w:sz w:val="19"/>
              </w:rPr>
              <w:t>Eksekusi asinkron queue_job, parsing streaming, commit berbatch (teruji ±30 menit).</w:t>
            </w:r>
          </w:p>
        </w:tc>
      </w:tr>
    </w:tbl>
    <w:p>
      <w:pPr>
        <w:spacing w:after="40"/>
      </w:pPr>
    </w:p>
    <w:p>
      <w:pPr>
        <w:pStyle w:val="Heading1"/>
      </w:pPr>
      <w:r>
        <w:t>8. Asumsi dan Batasan</w:t>
      </w:r>
    </w:p>
    <w:p>
      <w:pPr>
        <w:pStyle w:val="ListBullet"/>
        <w:jc w:val="both"/>
      </w:pPr>
      <w:r>
        <w:t>Odoo EBR adalah sistem pembukuan; POS principal dan SAP SES tetap menjadi sumber transaksi.</w:t>
      </w:r>
    </w:p>
    <w:p>
      <w:pPr>
        <w:pStyle w:val="ListBullet"/>
        <w:jc w:val="both"/>
      </w:pPr>
      <w:r>
        <w:t>Format report principal stabil; perubahan dikelola melalui penyesuaian profil.</w:t>
      </w:r>
    </w:p>
    <w:p>
      <w:pPr>
        <w:pStyle w:val="ListBullet"/>
        <w:jc w:val="both"/>
      </w:pPr>
      <w:r>
        <w:t>Akses FTP/SFTP Erajaya tersedia sebelum M5.</w:t>
      </w:r>
    </w:p>
    <w:p>
      <w:pPr>
        <w:pStyle w:val="ListBullet"/>
        <w:jc w:val="both"/>
      </w:pPr>
      <w:r>
        <w:t>Personel kunci EBR/SES tersedia untuk UAT dan workshop keputusan Phase 5.</w:t>
      </w:r>
    </w:p>
    <w:p>
      <w:pPr>
        <w:pStyle w:val="Heading1"/>
      </w:pPr>
      <w:r>
        <w:t>9. Manajemen Perubahan dan Pelaporan</w:t>
      </w:r>
    </w:p>
    <w:p>
      <w:pPr>
        <w:spacing w:after="120"/>
        <w:jc w:val="both"/>
      </w:pPr>
      <w:r>
        <w:rPr>
          <w:b w:val="0"/>
          <w:i w:val="0"/>
        </w:rPr>
        <w:t>Perubahan ruang lingkup setelah charter disetujui diajukan melalui change request kepada Project Sponsor dengan analisis dampak (waktu, biaya, risiko). Status proyek dilaporkan berkala oleh Project Manager mencakup kemajuan milestone, isu terbuka (termasuk tiga isu data pada FSD Bab 8.2), dan keputusan yang dibutuhkan. Persetujuan atas dokumen ini memberikan mandat kepada Project Manager untuk memobilisasi tim dan memulai eksekusi sesuai tahapan pada Bab 5.</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14B6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