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6736"/>
        <w:tblGridChange w:id="0">
          <w:tblGrid>
            <w:gridCol w:w="1908"/>
            <w:gridCol w:w="6736"/>
          </w:tblGrid>
        </w:tblGridChange>
      </w:tblGrid>
      <w:tr>
        <w:trPr>
          <w:cantSplit w:val="0"/>
          <w:trHeight w:val="1060" w:hRule="atLeast"/>
          <w:tblHeader w:val="0"/>
        </w:trPr>
        <w:tc>
          <w:tcPr>
            <w:vAlign w:val="top"/>
          </w:tcPr>
          <w:p w:rsidR="00000000" w:rsidDel="00000000" w:rsidP="00000000" w:rsidRDefault="00000000" w:rsidRPr="00000000" w14:paraId="00000002">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p w:rsidR="00000000" w:rsidDel="00000000" w:rsidP="00000000" w:rsidRDefault="00000000" w:rsidRPr="00000000" w14:paraId="00000003">
            <w:pPr>
              <w:tabs>
                <w:tab w:val="left" w:leader="none" w:pos="720"/>
              </w:tabs>
              <w:spacing w:before="120" w:lineRule="auto"/>
              <w:jc w:val="center"/>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Pr>
              <w:drawing>
                <wp:inline distB="114300" distT="114300" distL="114300" distR="114300">
                  <wp:extent cx="1076325" cy="92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6325"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c>
          <w:tcPr>
            <w:vAlign w:val="top"/>
          </w:tcPr>
          <w:p w:rsidR="00000000" w:rsidDel="00000000" w:rsidP="00000000" w:rsidRDefault="00000000" w:rsidRPr="00000000" w14:paraId="00000005">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p w:rsidR="00000000" w:rsidDel="00000000" w:rsidP="00000000" w:rsidRDefault="00000000" w:rsidRPr="00000000" w14:paraId="00000006">
            <w:pPr>
              <w:tabs>
                <w:tab w:val="left" w:leader="none" w:pos="720"/>
              </w:tabs>
              <w:spacing w:before="120" w:lineRule="auto"/>
              <w:jc w:val="center"/>
              <w:rPr>
                <w:rFonts w:ascii="Twentieth Century" w:cs="Twentieth Century" w:eastAsia="Twentieth Century" w:hAnsi="Twentieth Century"/>
                <w:b w:val="0"/>
                <w:bCs w:val="0"/>
                <w:sz w:val="28"/>
                <w:szCs w:val="28"/>
                <w:vertAlign w:val="baseline"/>
              </w:rPr>
            </w:pPr>
            <w:r w:rsidDel="00000000" w:rsidR="00000000" w:rsidRPr="00000000">
              <w:rPr>
                <w:rFonts w:ascii="Twentieth Century" w:cs="Twentieth Century" w:eastAsia="Twentieth Century" w:hAnsi="Twentieth Century"/>
                <w:b w:val="1"/>
                <w:bCs w:val="1"/>
                <w:sz w:val="28"/>
                <w:szCs w:val="28"/>
                <w:vertAlign w:val="baseline"/>
                <w:rtl w:val="0"/>
              </w:rPr>
              <w:t xml:space="preserve">REQUISITOS DO PRODUTO</w:t>
            </w:r>
            <w:r w:rsidDel="00000000" w:rsidR="00000000" w:rsidRPr="00000000">
              <w:rPr>
                <w:rtl w:val="0"/>
              </w:rPr>
            </w:r>
          </w:p>
          <w:p w:rsidR="00000000" w:rsidDel="00000000" w:rsidP="00000000" w:rsidRDefault="00000000" w:rsidRPr="00000000" w14:paraId="00000007">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blHeader w:val="0"/>
        </w:trPr>
        <w:tc>
          <w:tcPr>
            <w:gridSpan w:val="2"/>
            <w:shd w:fill="e0e0e0" w:val="clear"/>
            <w:vAlign w:val="top"/>
          </w:tcPr>
          <w:p w:rsidR="00000000" w:rsidDel="00000000" w:rsidP="00000000" w:rsidRDefault="00000000" w:rsidRPr="00000000" w14:paraId="00000008">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Objetivos</w:t>
            </w:r>
          </w:p>
        </w:tc>
      </w:tr>
      <w:tr>
        <w:trPr>
          <w:cantSplit w:val="0"/>
          <w:trHeight w:val="540" w:hRule="atLeast"/>
          <w:tblHeader w:val="0"/>
        </w:trPr>
        <w:tc>
          <w:tcPr>
            <w:gridSpan w:val="2"/>
            <w:vAlign w:val="top"/>
          </w:tcPr>
          <w:p w:rsidR="00000000" w:rsidDel="00000000" w:rsidP="00000000" w:rsidRDefault="00000000" w:rsidRPr="00000000" w14:paraId="0000000A">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Este documento tem por objetivo apresentar a situação problema, geradora da necessidade do projeto e descrever os requisitos detalhados do produto, de modo a facilitar o planejamento, auxiliar na tomada de decisões e ser uma base para verificações futuras quanto à adequação do produto do trabalho do projeto às características esperadas. </w:t>
            </w:r>
          </w:p>
        </w:tc>
      </w:tr>
      <w:tr>
        <w:trPr>
          <w:cantSplit w:val="0"/>
          <w:trHeight w:val="323" w:hRule="atLeast"/>
          <w:tblHeader w:val="0"/>
        </w:trPr>
        <w:tc>
          <w:tcPr>
            <w:shd w:fill="e0e0e0" w:val="clear"/>
            <w:vAlign w:val="top"/>
          </w:tcPr>
          <w:p w:rsidR="00000000" w:rsidDel="00000000" w:rsidP="00000000" w:rsidRDefault="00000000" w:rsidRPr="00000000" w14:paraId="0000000C">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Projeto</w:t>
            </w:r>
          </w:p>
        </w:tc>
        <w:tc>
          <w:tcPr>
            <w:vAlign w:val="top"/>
          </w:tcPr>
          <w:p w:rsidR="00000000" w:rsidDel="00000000" w:rsidP="00000000" w:rsidRDefault="00000000" w:rsidRPr="00000000" w14:paraId="0000000D">
            <w:pPr>
              <w:spacing w:after="240" w:before="240" w:line="276" w:lineRule="auto"/>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Padronização e Migração do Inventário Patrimonial do IFPE para o Sistema SIADS</w:t>
            </w: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0E">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Data Registro</w:t>
            </w:r>
          </w:p>
        </w:tc>
        <w:tc>
          <w:tcPr>
            <w:vAlign w:val="top"/>
          </w:tcPr>
          <w:p w:rsidR="00000000" w:rsidDel="00000000" w:rsidP="00000000" w:rsidRDefault="00000000" w:rsidRPr="00000000" w14:paraId="0000000F">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2/12/2025</w:t>
            </w: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10">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Responsável </w:t>
            </w:r>
          </w:p>
        </w:tc>
        <w:tc>
          <w:tcPr>
            <w:vAlign w:val="top"/>
          </w:tcPr>
          <w:p w:rsidR="00000000" w:rsidDel="00000000" w:rsidP="00000000" w:rsidRDefault="00000000" w:rsidRPr="00000000" w14:paraId="00000011">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Rafael Nóbrega</w:t>
            </w:r>
            <w:r w:rsidDel="00000000" w:rsidR="00000000" w:rsidRPr="00000000">
              <w:rPr>
                <w:rtl w:val="0"/>
              </w:rPr>
            </w:r>
          </w:p>
        </w:tc>
      </w:tr>
      <w:tr>
        <w:trPr>
          <w:cantSplit w:val="0"/>
          <w:trHeight w:val="323" w:hRule="atLeast"/>
          <w:tblHeader w:val="0"/>
        </w:trPr>
        <w:tc>
          <w:tcPr>
            <w:gridSpan w:val="2"/>
            <w:shd w:fill="e0e0e0" w:val="clear"/>
            <w:vAlign w:val="top"/>
          </w:tcPr>
          <w:p w:rsidR="00000000" w:rsidDel="00000000" w:rsidP="00000000" w:rsidRDefault="00000000" w:rsidRPr="00000000" w14:paraId="00000012">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O Contexto do Problema</w:t>
            </w:r>
          </w:p>
        </w:tc>
      </w:tr>
      <w:tr>
        <w:trPr>
          <w:cantSplit w:val="0"/>
          <w:trHeight w:val="912" w:hRule="atLeast"/>
          <w:tblHeader w:val="0"/>
        </w:trPr>
        <w:tc>
          <w:tcPr>
            <w:gridSpan w:val="2"/>
            <w:vAlign w:val="top"/>
          </w:tcPr>
          <w:p w:rsidR="00000000" w:rsidDel="00000000" w:rsidP="00000000" w:rsidRDefault="00000000" w:rsidRPr="00000000" w14:paraId="00000014">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O IFPE precisa migrar cerca de 250.000 bens patrimoniais do sistema SUAP para o novo sistema centralizado do governo federal (SIADS). Essa migração é exigida em formato "tudo ou nada", sem possibilidade de transição gradual ou por campus. Atualmente, o processo de inventário é demorado, descentralizado, pouco padronizado e o instituto está há cerca de 5 anos sem realizar inventário completo, sofrendo riscos de multas.</w:t>
            </w:r>
            <w:r w:rsidDel="00000000" w:rsidR="00000000" w:rsidRPr="00000000">
              <w:rPr>
                <w:rtl w:val="0"/>
              </w:rPr>
            </w:r>
          </w:p>
        </w:tc>
      </w:tr>
      <w:tr>
        <w:trPr>
          <w:cantSplit w:val="0"/>
          <w:trHeight w:val="323" w:hRule="atLeast"/>
          <w:tblHeader w:val="0"/>
        </w:trPr>
        <w:tc>
          <w:tcPr>
            <w:gridSpan w:val="2"/>
            <w:shd w:fill="e0e0e0" w:val="clear"/>
            <w:vAlign w:val="top"/>
          </w:tcPr>
          <w:p w:rsidR="00000000" w:rsidDel="00000000" w:rsidP="00000000" w:rsidRDefault="00000000" w:rsidRPr="00000000" w14:paraId="00000016">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O Problema</w:t>
            </w:r>
          </w:p>
        </w:tc>
      </w:tr>
      <w:tr>
        <w:trPr>
          <w:cantSplit w:val="0"/>
          <w:trHeight w:val="912" w:hRule="atLeast"/>
          <w:tblHeader w:val="0"/>
        </w:trPr>
        <w:tc>
          <w:tcPr>
            <w:gridSpan w:val="2"/>
            <w:vAlign w:val="top"/>
          </w:tcPr>
          <w:p w:rsidR="00000000" w:rsidDel="00000000" w:rsidP="00000000" w:rsidRDefault="00000000" w:rsidRPr="00000000" w14:paraId="00000018">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A gestão patrimonial descentralizada, pouco padronizada e baseada em processos manuais nos campi do Instituto Federal de Pernambuco limita a consolidação confiável dos bens. Essa fragilidade torna crítica a migração obrigatória para o SIADS, que exige transferência integral e padronizada dos dados. O problema se manifesta em inconsistências cadastrais, alto esforço operacional, risco de perda de informações e possibilidade de sanções. A causa está na falta de integração e automação, e o efeito é o aumento do risco, do custo e da complexidade da gestão patrimonial tornando, consequentemente, inviável a realização do inventário há cerca de 5 anos. .</w:t>
            </w:r>
            <w:r w:rsidDel="00000000" w:rsidR="00000000" w:rsidRPr="00000000">
              <w:rPr>
                <w:rtl w:val="0"/>
              </w:rPr>
            </w:r>
          </w:p>
        </w:tc>
      </w:tr>
      <w:tr>
        <w:trPr>
          <w:cantSplit w:val="0"/>
          <w:trHeight w:val="323" w:hRule="atLeast"/>
          <w:tblHeader w:val="0"/>
        </w:trPr>
        <w:tc>
          <w:tcPr>
            <w:gridSpan w:val="2"/>
            <w:shd w:fill="e0e0e0" w:val="clear"/>
            <w:vAlign w:val="top"/>
          </w:tcPr>
          <w:p w:rsidR="00000000" w:rsidDel="00000000" w:rsidP="00000000" w:rsidRDefault="00000000" w:rsidRPr="00000000" w14:paraId="0000001A">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A Proposta de Solução</w:t>
            </w:r>
          </w:p>
        </w:tc>
      </w:tr>
      <w:tr>
        <w:trPr>
          <w:cantSplit w:val="0"/>
          <w:trHeight w:val="912" w:hRule="atLeast"/>
          <w:tblHeader w:val="0"/>
        </w:trPr>
        <w:tc>
          <w:tcPr>
            <w:gridSpan w:val="2"/>
            <w:vAlign w:val="top"/>
          </w:tcPr>
          <w:p w:rsidR="00000000" w:rsidDel="00000000" w:rsidP="00000000" w:rsidRDefault="00000000" w:rsidRPr="00000000" w14:paraId="0000001C">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A proposta de solução é implantar um sistema de inventário patrimonial padronizado, com migração de todo o patrimônio para o SIADS, utilizando funcionalidades de cadastro eletrônico, leitura por código de barras ou mobile e controle automático de depreciação, garantindo a padronização, integração e automação dos registros. </w:t>
            </w:r>
            <w:r w:rsidDel="00000000" w:rsidR="00000000" w:rsidRPr="00000000">
              <w:rPr>
                <w:rFonts w:ascii="Twentieth Century" w:cs="Twentieth Century" w:eastAsia="Twentieth Century" w:hAnsi="Twentieth Century"/>
                <w:vertAlign w:val="baseline"/>
                <w:rtl w:val="0"/>
              </w:rPr>
              <w:t xml:space="preserve">.</w:t>
            </w:r>
          </w:p>
        </w:tc>
      </w:tr>
      <w:tr>
        <w:trPr>
          <w:cantSplit w:val="0"/>
          <w:trHeight w:val="323" w:hRule="atLeast"/>
          <w:tblHeader w:val="0"/>
        </w:trPr>
        <w:tc>
          <w:tcPr>
            <w:gridSpan w:val="2"/>
            <w:shd w:fill="e0e0e0" w:val="clear"/>
            <w:vAlign w:val="top"/>
          </w:tcPr>
          <w:p w:rsidR="00000000" w:rsidDel="00000000" w:rsidP="00000000" w:rsidRDefault="00000000" w:rsidRPr="00000000" w14:paraId="0000001E">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A Oportunidade</w:t>
            </w:r>
          </w:p>
        </w:tc>
      </w:tr>
      <w:tr>
        <w:trPr>
          <w:cantSplit w:val="0"/>
          <w:trHeight w:val="912" w:hRule="atLeast"/>
          <w:tblHeader w:val="0"/>
        </w:trPr>
        <w:tc>
          <w:tcPr>
            <w:gridSpan w:val="2"/>
            <w:vAlign w:val="top"/>
          </w:tcPr>
          <w:p w:rsidR="00000000" w:rsidDel="00000000" w:rsidP="00000000" w:rsidRDefault="00000000" w:rsidRPr="00000000" w14:paraId="00000020">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A oportunidade advinda dessa solução é a consequente melhoria de eficiência administrativa, com redução de custos e retrabalho, maior transparência e controle patrimonial, reaproveitamento de bens e evitação de compras desnecessárias, além de cumprimento das exigências legais, fatores que fortalecem a governança institucional e aumentam a credibilidade da organização.</w:t>
            </w:r>
            <w:r w:rsidDel="00000000" w:rsidR="00000000" w:rsidRPr="00000000">
              <w:rPr>
                <w:rtl w:val="0"/>
              </w:rPr>
            </w:r>
          </w:p>
        </w:tc>
      </w:tr>
      <w:tr>
        <w:trPr>
          <w:cantSplit w:val="0"/>
          <w:trHeight w:val="323" w:hRule="atLeast"/>
          <w:tblHeader w:val="0"/>
        </w:trPr>
        <w:tc>
          <w:tcPr>
            <w:gridSpan w:val="2"/>
            <w:shd w:fill="e0e0e0" w:val="clear"/>
            <w:vAlign w:val="top"/>
          </w:tcPr>
          <w:p w:rsidR="00000000" w:rsidDel="00000000" w:rsidP="00000000" w:rsidRDefault="00000000" w:rsidRPr="00000000" w14:paraId="00000022">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O Produto e seus Subprodutos</w:t>
            </w:r>
          </w:p>
        </w:tc>
      </w:tr>
      <w:tr>
        <w:trPr>
          <w:cantSplit w:val="0"/>
          <w:trHeight w:val="912" w:hRule="atLeast"/>
          <w:tblHeader w:val="0"/>
        </w:trPr>
        <w:tc>
          <w:tcPr>
            <w:gridSpan w:val="2"/>
            <w:vAlign w:val="top"/>
          </w:tcPr>
          <w:p w:rsidR="00000000" w:rsidDel="00000000" w:rsidP="00000000" w:rsidRDefault="00000000" w:rsidRPr="00000000" w14:paraId="00000024">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O produto é um sistema integrado de gestão patrimonial para apoio à migração e operação no SIADS. Seus subprodutos incluem módulos de cadastro unificado de bens, inventário eletrônico, controle de movimentações e relatórios gerenciais. O sistema atua como camada de padronização e consolidação dos dados patrimoniais.</w:t>
            </w:r>
            <w:r w:rsidDel="00000000" w:rsidR="00000000" w:rsidRPr="00000000">
              <w:rPr>
                <w:rtl w:val="0"/>
              </w:rPr>
            </w:r>
          </w:p>
        </w:tc>
      </w:tr>
      <w:tr>
        <w:trPr>
          <w:cantSplit w:val="0"/>
          <w:trHeight w:val="323" w:hRule="atLeast"/>
          <w:tblHeader w:val="0"/>
        </w:trPr>
        <w:tc>
          <w:tcPr>
            <w:gridSpan w:val="2"/>
            <w:shd w:fill="e0e0e0" w:val="clear"/>
            <w:vAlign w:val="top"/>
          </w:tcPr>
          <w:p w:rsidR="00000000" w:rsidDel="00000000" w:rsidP="00000000" w:rsidRDefault="00000000" w:rsidRPr="00000000" w14:paraId="00000026">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Características Técnicas do Produto</w:t>
            </w:r>
          </w:p>
        </w:tc>
      </w:tr>
      <w:tr>
        <w:trPr>
          <w:cantSplit w:val="0"/>
          <w:trHeight w:val="912" w:hRule="atLeast"/>
          <w:tblHeader w:val="0"/>
        </w:trPr>
        <w:tc>
          <w:tcPr>
            <w:gridSpan w:val="2"/>
            <w:vAlign w:val="top"/>
          </w:tcPr>
          <w:p w:rsidR="00000000" w:rsidDel="00000000" w:rsidP="00000000" w:rsidRDefault="00000000" w:rsidRPr="00000000" w14:paraId="00000028">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O produto é um software web, com banco de dados centralizado e acesso via navegadores modernos, podendo operar em nuvem ou servidor local. Requer computadores ou dispositivos móveis para uso em campo, além de leitores de código de barras ou QR-code. Deve contar com infraestrutura de rede estável e mecanismos de backup e segurança da informação.</w:t>
            </w:r>
            <w:r w:rsidDel="00000000" w:rsidR="00000000" w:rsidRPr="00000000">
              <w:rPr>
                <w:rtl w:val="0"/>
              </w:rPr>
            </w:r>
          </w:p>
        </w:tc>
      </w:tr>
      <w:tr>
        <w:trPr>
          <w:cantSplit w:val="0"/>
          <w:trHeight w:val="323" w:hRule="atLeast"/>
          <w:tblHeader w:val="0"/>
        </w:trPr>
        <w:tc>
          <w:tcPr>
            <w:gridSpan w:val="2"/>
            <w:shd w:fill="e0e0e0" w:val="clear"/>
            <w:vAlign w:val="top"/>
          </w:tcPr>
          <w:p w:rsidR="00000000" w:rsidDel="00000000" w:rsidP="00000000" w:rsidRDefault="00000000" w:rsidRPr="00000000" w14:paraId="0000002A">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Funcionalidades Esperadas</w:t>
            </w:r>
          </w:p>
        </w:tc>
      </w:tr>
      <w:tr>
        <w:trPr>
          <w:cantSplit w:val="0"/>
          <w:trHeight w:val="912" w:hRule="atLeast"/>
          <w:tblHeader w:val="0"/>
        </w:trPr>
        <w:tc>
          <w:tcPr>
            <w:gridSpan w:val="2"/>
            <w:vAlign w:val="top"/>
          </w:tcPr>
          <w:p w:rsidR="00000000" w:rsidDel="00000000" w:rsidP="00000000" w:rsidRDefault="00000000" w:rsidRPr="00000000" w14:paraId="0000002C">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rtl w:val="0"/>
              </w:rPr>
              <w:t xml:space="preserve">Espera-se o cadastro padronizado dos bens, inventário eletrônico por leitura de etiquetas, controle de transferências e registros de baixas. O sistema deve permitir geração automática de relatórios patrimoniais, rastreabilidade dos bens e exportação de dados compatíveis com o sistema oficial. Também deve apoiar a consolidação de informações de todos os campi do Instituto Federal de Pernambuco.</w:t>
            </w:r>
            <w:r w:rsidDel="00000000" w:rsidR="00000000" w:rsidRPr="00000000">
              <w:rPr>
                <w:rtl w:val="0"/>
              </w:rPr>
            </w:r>
          </w:p>
        </w:tc>
      </w:tr>
    </w:tbl>
    <w:p w:rsidR="00000000" w:rsidDel="00000000" w:rsidP="00000000" w:rsidRDefault="00000000" w:rsidRPr="00000000" w14:paraId="0000002E">
      <w:pPr>
        <w:rPr>
          <w:vertAlign w:val="baseline"/>
        </w:rPr>
      </w:pPr>
      <w:r w:rsidDel="00000000" w:rsidR="00000000" w:rsidRPr="00000000">
        <w:br w:type="page"/>
      </w:r>
      <w:r w:rsidDel="00000000" w:rsidR="00000000" w:rsidRPr="00000000">
        <w:rPr>
          <w:rtl w:val="0"/>
        </w:rPr>
      </w:r>
    </w:p>
    <w:tbl>
      <w:tblPr>
        <w:tblStyle w:val="Table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rHeight w:val="323" w:hRule="atLeast"/>
          <w:tblHeader w:val="0"/>
        </w:trPr>
        <w:tc>
          <w:tcPr>
            <w:shd w:fill="e0e0e0" w:val="clear"/>
            <w:vAlign w:val="top"/>
          </w:tcPr>
          <w:p w:rsidR="00000000" w:rsidDel="00000000" w:rsidP="00000000" w:rsidRDefault="00000000" w:rsidRPr="00000000" w14:paraId="0000002F">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Integração com outros produtos</w:t>
            </w:r>
          </w:p>
        </w:tc>
      </w:tr>
      <w:tr>
        <w:trPr>
          <w:cantSplit w:val="0"/>
          <w:trHeight w:val="912" w:hRule="atLeast"/>
          <w:tblHeader w:val="0"/>
        </w:trPr>
        <w:tc>
          <w:tcPr>
            <w:vAlign w:val="top"/>
          </w:tcPr>
          <w:p w:rsidR="00000000" w:rsidDel="00000000" w:rsidP="00000000" w:rsidRDefault="00000000" w:rsidRPr="00000000" w14:paraId="00000030">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31">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Fluxo de Tarefas</w:t>
            </w:r>
          </w:p>
        </w:tc>
      </w:tr>
      <w:tr>
        <w:trPr>
          <w:cantSplit w:val="0"/>
          <w:trHeight w:val="912" w:hRule="atLeast"/>
          <w:tblHeader w:val="0"/>
        </w:trPr>
        <w:tc>
          <w:tcPr>
            <w:vAlign w:val="top"/>
          </w:tcPr>
          <w:p w:rsidR="00000000" w:rsidDel="00000000" w:rsidP="00000000" w:rsidRDefault="00000000" w:rsidRPr="00000000" w14:paraId="00000032">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33">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Desempenho</w:t>
            </w:r>
          </w:p>
        </w:tc>
      </w:tr>
      <w:tr>
        <w:trPr>
          <w:cantSplit w:val="0"/>
          <w:trHeight w:val="912" w:hRule="atLeast"/>
          <w:tblHeader w:val="0"/>
        </w:trPr>
        <w:tc>
          <w:tcPr>
            <w:vAlign w:val="top"/>
          </w:tcPr>
          <w:p w:rsidR="00000000" w:rsidDel="00000000" w:rsidP="00000000" w:rsidRDefault="00000000" w:rsidRPr="00000000" w14:paraId="00000034">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35">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Qualidade</w:t>
            </w:r>
          </w:p>
        </w:tc>
      </w:tr>
      <w:tr>
        <w:trPr>
          <w:cantSplit w:val="0"/>
          <w:trHeight w:val="912" w:hRule="atLeast"/>
          <w:tblHeader w:val="0"/>
        </w:trPr>
        <w:tc>
          <w:tcPr>
            <w:vAlign w:val="top"/>
          </w:tcPr>
          <w:p w:rsidR="00000000" w:rsidDel="00000000" w:rsidP="00000000" w:rsidRDefault="00000000" w:rsidRPr="00000000" w14:paraId="00000036">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 Facilidade de Uso;</w:t>
            </w:r>
          </w:p>
          <w:p w:rsidR="00000000" w:rsidDel="00000000" w:rsidP="00000000" w:rsidRDefault="00000000" w:rsidRPr="00000000" w14:paraId="00000037">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 Manutenibilidade;</w:t>
            </w:r>
          </w:p>
          <w:p w:rsidR="00000000" w:rsidDel="00000000" w:rsidP="00000000" w:rsidRDefault="00000000" w:rsidRPr="00000000" w14:paraId="00000038">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 Facilidade para Construção;</w:t>
            </w:r>
          </w:p>
          <w:p w:rsidR="00000000" w:rsidDel="00000000" w:rsidP="00000000" w:rsidRDefault="00000000" w:rsidRPr="00000000" w14:paraId="00000039">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 Detalhamento da documentação;</w:t>
            </w:r>
          </w:p>
          <w:p w:rsidR="00000000" w:rsidDel="00000000" w:rsidP="00000000" w:rsidRDefault="00000000" w:rsidRPr="00000000" w14:paraId="0000003A">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 Qualidade do Processo (verificações e validações);</w:t>
            </w:r>
          </w:p>
          <w:p w:rsidR="00000000" w:rsidDel="00000000" w:rsidP="00000000" w:rsidRDefault="00000000" w:rsidRPr="00000000" w14:paraId="0000003B">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 outros.</w:t>
            </w:r>
          </w:p>
          <w:p w:rsidR="00000000" w:rsidDel="00000000" w:rsidP="00000000" w:rsidRDefault="00000000" w:rsidRPr="00000000" w14:paraId="0000003C">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3D">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Quantidade (volume)</w:t>
            </w:r>
          </w:p>
        </w:tc>
      </w:tr>
      <w:tr>
        <w:trPr>
          <w:cantSplit w:val="0"/>
          <w:trHeight w:val="912" w:hRule="atLeast"/>
          <w:tblHeader w:val="0"/>
        </w:trPr>
        <w:tc>
          <w:tcPr>
            <w:vAlign w:val="top"/>
          </w:tcPr>
          <w:p w:rsidR="00000000" w:rsidDel="00000000" w:rsidP="00000000" w:rsidRDefault="00000000" w:rsidRPr="00000000" w14:paraId="0000003E">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p w:rsidR="00000000" w:rsidDel="00000000" w:rsidP="00000000" w:rsidRDefault="00000000" w:rsidRPr="00000000" w14:paraId="0000003F">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40">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Complexidade</w:t>
            </w:r>
          </w:p>
        </w:tc>
      </w:tr>
      <w:tr>
        <w:trPr>
          <w:cantSplit w:val="0"/>
          <w:trHeight w:val="912" w:hRule="atLeast"/>
          <w:tblHeader w:val="0"/>
        </w:trPr>
        <w:tc>
          <w:tcPr>
            <w:vAlign w:val="top"/>
          </w:tcPr>
          <w:p w:rsidR="00000000" w:rsidDel="00000000" w:rsidP="00000000" w:rsidRDefault="00000000" w:rsidRPr="00000000" w14:paraId="00000041">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p w:rsidR="00000000" w:rsidDel="00000000" w:rsidP="00000000" w:rsidRDefault="00000000" w:rsidRPr="00000000" w14:paraId="00000042">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tl w:val="0"/>
              </w:rPr>
            </w:r>
          </w:p>
        </w:tc>
      </w:tr>
      <w:tr>
        <w:trPr>
          <w:cantSplit w:val="0"/>
          <w:trHeight w:val="323" w:hRule="atLeast"/>
          <w:tblHeader w:val="0"/>
        </w:trPr>
        <w:tc>
          <w:tcPr>
            <w:shd w:fill="e0e0e0" w:val="clear"/>
            <w:vAlign w:val="top"/>
          </w:tcPr>
          <w:p w:rsidR="00000000" w:rsidDel="00000000" w:rsidP="00000000" w:rsidRDefault="00000000" w:rsidRPr="00000000" w14:paraId="00000043">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Requisitos de Adequação ao Uso</w:t>
            </w:r>
          </w:p>
        </w:tc>
      </w:tr>
      <w:tr>
        <w:trPr>
          <w:cantSplit w:val="0"/>
          <w:trHeight w:val="912" w:hRule="atLeast"/>
          <w:tblHeader w:val="0"/>
        </w:trPr>
        <w:tc>
          <w:tcPr>
            <w:vAlign w:val="top"/>
          </w:tcPr>
          <w:p w:rsidR="00000000" w:rsidDel="00000000" w:rsidP="00000000" w:rsidRDefault="00000000" w:rsidRPr="00000000" w14:paraId="00000044">
            <w:pPr>
              <w:tabs>
                <w:tab w:val="left" w:leader="none" w:pos="720"/>
              </w:tabs>
              <w:spacing w:before="120" w:lineRule="auto"/>
              <w:jc w:val="both"/>
              <w:rPr>
                <w:rFonts w:ascii="Twentieth Century" w:cs="Twentieth Century" w:eastAsia="Twentieth Century" w:hAnsi="Twentieth Century"/>
                <w:vertAlign w:val="baseline"/>
              </w:rPr>
            </w:pPr>
            <w:r w:rsidDel="00000000" w:rsidR="00000000" w:rsidRPr="00000000">
              <w:rPr>
                <w:rFonts w:ascii="Twentieth Century" w:cs="Twentieth Century" w:eastAsia="Twentieth Century" w:hAnsi="Twentieth Century"/>
                <w:vertAlign w:val="baseline"/>
                <w:rtl w:val="0"/>
              </w:rPr>
              <w:t xml:space="preserve">Descreva as situações em que o produto será utilizado em termos de ambiente físico (temperatura, pressão, ambiente computacional, dimensões ou outras características do espaço físico), as características das pessoas ou trabalhadores que deverão utilizar o produto (formação, tipo de atividade profissional, características comportamentais, etc.), época em que o produto será utilizado (estação do ano, fechamento de ano fiscal ou outras condições para aplicação e uso do produto). Tais requisitos devem ser descritos de modo que se possa avaliar ao final se os produtos entregues atendem ao modo como serão utilizados. Uma boa descrição desse requisito facilita entendimento do escopo e das características específicas com as quais o cliente espera utilizar o produto. </w:t>
            </w:r>
          </w:p>
        </w:tc>
      </w:tr>
    </w:tbl>
    <w:p w:rsidR="00000000" w:rsidDel="00000000" w:rsidP="00000000" w:rsidRDefault="00000000" w:rsidRPr="00000000" w14:paraId="00000045">
      <w:pPr>
        <w:jc w:val="both"/>
        <w:rPr>
          <w:rFonts w:ascii="Twentieth Century" w:cs="Twentieth Century" w:eastAsia="Twentieth Century" w:hAnsi="Twentieth Century"/>
          <w:vertAlign w:val="baseline"/>
        </w:rPr>
      </w:pPr>
      <w:bookmarkStart w:colFirst="0" w:colLast="0" w:name="_rq7tdibei83m" w:id="0"/>
      <w:bookmarkEnd w:id="0"/>
      <w:r w:rsidDel="00000000" w:rsidR="00000000" w:rsidRPr="00000000">
        <w:rPr>
          <w:rtl w:val="0"/>
        </w:rPr>
      </w:r>
    </w:p>
    <w:sectPr>
      <w:footerReference r:id="rId7" w:type="default"/>
      <w:pgSz w:h="16838" w:w="11906"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wentieth Century"/>
  <w:font w:name="Balthaza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Balthazar" w:cs="Balthazar" w:eastAsia="Balthazar" w:hAnsi="Balthaza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Balthazar" w:cs="Balthazar" w:eastAsia="Balthazar" w:hAnsi="Balthazar"/>
        <w:b w:val="0"/>
        <w:bCs w:val="0"/>
        <w:i w:val="0"/>
        <w:iCs w:val="0"/>
        <w:smallCaps w:val="0"/>
        <w:strike w:val="0"/>
        <w:color w:val="000000"/>
        <w:sz w:val="24"/>
        <w:szCs w:val="24"/>
        <w:u w:val="none"/>
        <w:shd w:fill="auto" w:val="clear"/>
        <w:vertAlign w:val="baseline"/>
      </w:rPr>
    </w:pPr>
    <w:r w:rsidDel="00000000" w:rsidR="00000000" w:rsidRPr="00000000">
      <w:rPr>
        <w:rFonts w:ascii="Balthazar" w:cs="Balthazar" w:eastAsia="Balthazar" w:hAnsi="Balthazar"/>
        <w:b w:val="0"/>
        <w:bCs w:val="0"/>
        <w:i w:val="0"/>
        <w:iCs w:val="0"/>
        <w:smallCaps w:val="0"/>
        <w:strike w:val="0"/>
        <w:color w:val="000000"/>
        <w:sz w:val="24"/>
        <w:szCs w:val="24"/>
        <w:u w:val="none"/>
        <w:shd w:fill="auto" w:val="clear"/>
        <w:vertAlign w:val="baseline"/>
        <w:rtl w:val="0"/>
      </w:rPr>
      <w:t xml:space="preserve">Pág.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lthaza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