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1B1A" w14:textId="77777777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AD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Rehosting</w:t>
      </w:r>
      <w:r w:rsidRPr="00704ADB">
        <w:rPr>
          <w:rFonts w:ascii="Times New Roman" w:eastAsia="Times New Roman" w:hAnsi="Times New Roman" w:cs="Times New Roman"/>
          <w:sz w:val="24"/>
          <w:szCs w:val="24"/>
        </w:rPr>
        <w:t> also known as “lift-and-shift” involves moving applications without changes. </w:t>
      </w:r>
    </w:p>
    <w:p w14:paraId="1C758EA9" w14:textId="77777777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ADB">
        <w:rPr>
          <w:rFonts w:ascii="Times New Roman" w:eastAsia="Times New Roman" w:hAnsi="Times New Roman" w:cs="Times New Roman"/>
          <w:sz w:val="24"/>
          <w:szCs w:val="24"/>
        </w:rPr>
        <w:t xml:space="preserve">In the scenario of a large legacy migration, in which the company is looking to implement its migration and scale quickly to meet a business case, </w:t>
      </w:r>
      <w:proofErr w:type="gramStart"/>
      <w:r w:rsidRPr="00704ADB">
        <w:rPr>
          <w:rFonts w:ascii="Times New Roman" w:eastAsia="Times New Roman" w:hAnsi="Times New Roman" w:cs="Times New Roman"/>
          <w:sz w:val="24"/>
          <w:szCs w:val="24"/>
        </w:rPr>
        <w:t>the majority of</w:t>
      </w:r>
      <w:proofErr w:type="gramEnd"/>
      <w:r w:rsidRPr="00704ADB">
        <w:rPr>
          <w:rFonts w:ascii="Times New Roman" w:eastAsia="Times New Roman" w:hAnsi="Times New Roman" w:cs="Times New Roman"/>
          <w:sz w:val="24"/>
          <w:szCs w:val="24"/>
        </w:rPr>
        <w:t xml:space="preserve"> applications are rehosted.  </w:t>
      </w:r>
    </w:p>
    <w:p w14:paraId="132E9641" w14:textId="670964AD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6E681C8F" w14:textId="77777777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334B991F" w14:textId="26350CAF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  <w:proofErr w:type="spellStart"/>
      <w:r w:rsidRPr="00704AD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Replatforming</w:t>
      </w:r>
      <w:proofErr w:type="spellEnd"/>
      <w:r w:rsidRPr="00704ADB">
        <w:rPr>
          <w:rFonts w:ascii="Times New Roman" w:eastAsia="Times New Roman" w:hAnsi="Times New Roman" w:cs="Times New Roman"/>
          <w:sz w:val="24"/>
          <w:szCs w:val="24"/>
        </w:rPr>
        <w:t>, also known as “lift, tinker, and shift,” involves making a few cloud optimizations to realize a tangible benefit. Optimization is achieved without changing the core architecture of the application.</w:t>
      </w:r>
    </w:p>
    <w:p w14:paraId="5C345855" w14:textId="2B1C8061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7F75C866" w14:textId="77777777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763DFE25" w14:textId="77777777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AD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Refactoring</w:t>
      </w:r>
      <w:r w:rsidRPr="00704ADB">
        <w:rPr>
          <w:rFonts w:ascii="Times New Roman" w:eastAsia="Times New Roman" w:hAnsi="Times New Roman" w:cs="Times New Roman"/>
          <w:sz w:val="24"/>
          <w:szCs w:val="24"/>
        </w:rPr>
        <w:t> (also known as </w:t>
      </w:r>
      <w:r w:rsidRPr="00704AD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re-architecting</w:t>
      </w:r>
      <w:r w:rsidRPr="00704ADB">
        <w:rPr>
          <w:rFonts w:ascii="Times New Roman" w:eastAsia="Times New Roman" w:hAnsi="Times New Roman" w:cs="Times New Roman"/>
          <w:sz w:val="24"/>
          <w:szCs w:val="24"/>
        </w:rPr>
        <w:t>) involves reimagining how an application is architected and developed by using cloud-native features. Refactoring is driven by a strong business need to add features, scale, or performance that would otherwise be difficult to achieve in the application’s existing environment.</w:t>
      </w:r>
    </w:p>
    <w:p w14:paraId="769FE2C6" w14:textId="6495F5FA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680A5AA6" w14:textId="77777777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7B8918B2" w14:textId="42F8D1DF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AD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Repurchasing</w:t>
      </w:r>
      <w:r w:rsidRPr="00704ADB">
        <w:rPr>
          <w:rFonts w:ascii="Times New Roman" w:eastAsia="Times New Roman" w:hAnsi="Times New Roman" w:cs="Times New Roman"/>
          <w:sz w:val="24"/>
          <w:szCs w:val="24"/>
        </w:rPr>
        <w:t> involves moving from a traditional license to a software-as-a-service model. </w:t>
      </w:r>
    </w:p>
    <w:p w14:paraId="558565B1" w14:textId="77777777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ADB">
        <w:rPr>
          <w:rFonts w:ascii="Times New Roman" w:eastAsia="Times New Roman" w:hAnsi="Times New Roman" w:cs="Times New Roman"/>
          <w:sz w:val="24"/>
          <w:szCs w:val="24"/>
        </w:rPr>
        <w:t>For example, a business might choose to implement the repurchasing strategy by migrating from a customer relationship management (CRM) system to Salesforce.com.</w:t>
      </w:r>
    </w:p>
    <w:p w14:paraId="18B3CC97" w14:textId="7044828B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0F511273" w14:textId="77777777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4463EA19" w14:textId="26F0C04F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AD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Retaining</w:t>
      </w:r>
      <w:r w:rsidRPr="00704ADB">
        <w:rPr>
          <w:rFonts w:ascii="Times New Roman" w:eastAsia="Times New Roman" w:hAnsi="Times New Roman" w:cs="Times New Roman"/>
          <w:sz w:val="24"/>
          <w:szCs w:val="24"/>
        </w:rPr>
        <w:t xml:space="preserve"> consists of keeping applications that are critical for the business in the source environment. This might include applications that require major refactoring before they can be migrated, </w:t>
      </w:r>
      <w:r w:rsidR="002537BF" w:rsidRPr="00704ADB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704ADB">
        <w:rPr>
          <w:rFonts w:ascii="Times New Roman" w:eastAsia="Times New Roman" w:hAnsi="Times New Roman" w:cs="Times New Roman"/>
          <w:sz w:val="24"/>
          <w:szCs w:val="24"/>
        </w:rPr>
        <w:t xml:space="preserve"> work that can be postponed until a later time.</w:t>
      </w:r>
    </w:p>
    <w:p w14:paraId="0C95B9E6" w14:textId="343D744F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34A3CCD2" w14:textId="77777777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186DA9D8" w14:textId="44BC7307" w:rsidR="009853CA" w:rsidRPr="00704ADB" w:rsidRDefault="009853CA" w:rsidP="0098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AD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Retiring</w:t>
      </w:r>
      <w:r w:rsidRPr="00704ADB">
        <w:rPr>
          <w:rFonts w:ascii="Times New Roman" w:eastAsia="Times New Roman" w:hAnsi="Times New Roman" w:cs="Times New Roman"/>
          <w:sz w:val="24"/>
          <w:szCs w:val="24"/>
        </w:rPr>
        <w:t> is the process of removing applications that are no longer needed.</w:t>
      </w:r>
    </w:p>
    <w:p w14:paraId="4139192D" w14:textId="1F8BC19F" w:rsidR="00531671" w:rsidRPr="00704ADB" w:rsidRDefault="00531671">
      <w:pPr>
        <w:rPr>
          <w:rFonts w:ascii="Times New Roman" w:hAnsi="Times New Roman" w:cs="Times New Roman"/>
          <w:sz w:val="24"/>
          <w:szCs w:val="24"/>
        </w:rPr>
      </w:pPr>
    </w:p>
    <w:p w14:paraId="729AEF68" w14:textId="0BD625DE" w:rsidR="004971E8" w:rsidRDefault="00704A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ADB">
        <w:rPr>
          <w:rFonts w:ascii="Times New Roman" w:hAnsi="Times New Roman" w:cs="Times New Roman"/>
          <w:b/>
          <w:bCs/>
          <w:sz w:val="24"/>
          <w:szCs w:val="24"/>
        </w:rPr>
        <w:t>Relocate</w:t>
      </w:r>
    </w:p>
    <w:p w14:paraId="60640D88" w14:textId="7DDB23C3" w:rsidR="004971E8" w:rsidRPr="00704ADB" w:rsidRDefault="004971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49517A" wp14:editId="3DE1FEDD">
            <wp:extent cx="7073900" cy="2914650"/>
            <wp:effectExtent l="0" t="0" r="0" b="0"/>
            <wp:docPr id="1" name="Picture 1" descr="7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 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507" cy="291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1E8" w:rsidRPr="0070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D7"/>
    <w:rsid w:val="002537BF"/>
    <w:rsid w:val="004971E8"/>
    <w:rsid w:val="00531671"/>
    <w:rsid w:val="00704ADB"/>
    <w:rsid w:val="00875CD7"/>
    <w:rsid w:val="0098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8331"/>
  <w15:chartTrackingRefBased/>
  <w15:docId w15:val="{439B0665-4B94-49D1-B559-027FA048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cks-accordiontoggler">
    <w:name w:val="blocks-accordion__toggler"/>
    <w:basedOn w:val="DefaultParagraphFont"/>
    <w:rsid w:val="009853CA"/>
  </w:style>
  <w:style w:type="paragraph" w:styleId="NormalWeb">
    <w:name w:val="Normal (Web)"/>
    <w:basedOn w:val="Normal"/>
    <w:uiPriority w:val="99"/>
    <w:semiHidden/>
    <w:unhideWhenUsed/>
    <w:rsid w:val="0098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53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3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4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9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005276"/>
                <w:bottom w:val="none" w:sz="0" w:space="0" w:color="auto"/>
                <w:right w:val="none" w:sz="0" w:space="0" w:color="auto"/>
              </w:divBdr>
              <w:divsChild>
                <w:div w:id="10376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0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6</cp:revision>
  <dcterms:created xsi:type="dcterms:W3CDTF">2022-09-26T09:08:00Z</dcterms:created>
  <dcterms:modified xsi:type="dcterms:W3CDTF">2022-09-30T06:24:00Z</dcterms:modified>
</cp:coreProperties>
</file>