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react framework for the Web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Build in optimization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Dynamic HTML streaming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React server component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Client and Server rendering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CSS suport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data fetching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server actions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route handlers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Advance routing and nested layout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middleware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Turbopack | Turborepo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E57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2024-11-14T22:55:28Z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