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d7d5d1d7b48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300"/>
        <w:jc w:val="center"/>
      </w:pPr>
      <w:r>
        <w:rPr>
          <w:lang w:val="en-US"/>
          <w:sz w:val="36"/>
          <w:szCs w:val="36"/>
          <w:b/>
        </w:rPr>
        <w:t>ทะเบียนรายงานผลการตรวจราชการ : รายจังหวัด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จังหวัด:  ยโสธร</w:t>
      </w:r>
    </w:p>
    <w:p>
      <w:pPr>
        <w:jc w:val="right"/>
        <w:spacing w:after="200"/>
      </w:pPr>
      <w:r>
        <w:rPr>
          <w:lang w:val="th-TH"/>
          <w:sz w:val="32"/>
          <w:szCs w:val="32"/>
        </w:rPr>
        <w:t>วันที่เรียกรายงาน: 28 มิถุนายน 2565</w:t>
      </w:r>
    </w:p>
    <w:tbl>
      <w:tblPr>
        <w:tblStyle w:val="TableGrid"/>
        <w:tblW w:w="13940.000305175781" w:type="auto"/>
        <w:tblLayout w:type="fixed"/>
        <w:tblLook w:val="04A0"/>
        <w:jc w:val="center"/>
      </w:tblPr>
      <w:tblGrid>
        <w:gridCol w:w="692.0567321777344"/>
        <w:gridCol w:w="1680.709228515625"/>
        <w:gridCol w:w="3756.8792724609375"/>
        <w:gridCol w:w="2570.4965209960938"/>
        <w:gridCol w:w="1285.2482604980469"/>
        <w:gridCol w:w="3954.6102905273438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ลำดับที่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วัน/เดือน/ปี ที่มีรายงาน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ประเด็น/เรื่อง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ผู้สร้างรายงาน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สถานะรายงาน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ข้อสั่งการของผู้บังคับบัญชา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28 มิถุนายน 2565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นายinspec 27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ส่งแล้ว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ไม่มี</w:t>
            </w:r>
          </w:p>
        </w:tc>
      </w:tr>
    </w:tbl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even" r:id="Rb9b93fc5f8504ea4"/>
      <w:headerReference w:type="first" r:id="Rd79e983ce7734779"/>
      <w:headerReference w:type="default" r:id="R6b19ffc6260942a1"/>
      <w:footerReference w:type="even" r:id="R0cbbe4210f484c6c"/>
      <w:footerReference w:type="first" r:id="R7d1621bc9db84dea"/>
      <w:footerReference w:type="default" r:id="Rb9d66c45ca8c44af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13:59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13:59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13:59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09cc6a1f3048cb" /><Relationship Type="http://schemas.openxmlformats.org/officeDocument/2006/relationships/numbering" Target="/word/numbering.xml" Id="R238fee7c810c4f0c" /><Relationship Type="http://schemas.openxmlformats.org/officeDocument/2006/relationships/settings" Target="/word/settings.xml" Id="R8266d05a5f114fb2" /><Relationship Type="http://schemas.openxmlformats.org/officeDocument/2006/relationships/header" Target="/word/header1.xml" Id="Rb9b93fc5f8504ea4" /><Relationship Type="http://schemas.openxmlformats.org/officeDocument/2006/relationships/header" Target="/word/header2.xml" Id="Rd79e983ce7734779" /><Relationship Type="http://schemas.openxmlformats.org/officeDocument/2006/relationships/header" Target="/word/header3.xml" Id="R6b19ffc6260942a1" /><Relationship Type="http://schemas.openxmlformats.org/officeDocument/2006/relationships/footer" Target="/word/footer1.xml" Id="R0cbbe4210f484c6c" /><Relationship Type="http://schemas.openxmlformats.org/officeDocument/2006/relationships/footer" Target="/word/footer2.xml" Id="R7d1621bc9db84dea" /><Relationship Type="http://schemas.openxmlformats.org/officeDocument/2006/relationships/footer" Target="/word/footer3.xml" Id="Rb9d66c45ca8c44af" /></Relationships>
</file>