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0506ab5af40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1.สำนักงานคลังจังหวัด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1.สำนักงานท่องเที่ยวและกีฬาจังหวัด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 xml:space="preserve">1.ผลการดำเนินการในการฟื้นฟูเศรษฐกิจและสังคมที่ได้รับผลกระทบจากการระบาดของโรคติดเชื้อไวรัสโคโรนา 2019 หลังวิกฤตโควิด – 19 ในเชิงภาพรวมของจังหวัด โดยสังเขป  (เช่น การส่งเสริมการท่องเที่ยวเพื่อกระตุ้นเศรษฐกิจ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 ฯลฯ) </w:t>
      </w:r>
    </w:p>
    <w:p>
      <w:pPr>
        <w:spacing w:after="200"/>
      </w:pPr>
      <w:r>
        <w:rPr>
          <w:lang w:val="en-US"/>
          <w:sz w:val="32"/>
          <w:szCs w:val="32"/>
        </w:rPr>
        <w:t>2.แนวทาง/มาตรการของจังหวัดในการเตรียมความพร้อมเพื่อรองรับโรคติดเชื้อไวรัสโคโรนา 2019 (โควิด – 19) เข้าสู่การเป็นโรคประจำถิ่น (เช่น การจัดการในพื้นที่สำคัญ อาทิ สถานศึกษา  สวนสาธารณะ และกิจการที่มีความเสี่ยง อาทิ ผับ บาร์ รวมถึงขนส่งสาธารณะต่าง ๆ)</w:t>
      </w:r>
    </w:p>
    <w:p>
      <w:pPr>
        <w:spacing w:after="200"/>
      </w:pPr>
      <w:r>
        <w:rPr>
          <w:lang w:val="en-US"/>
          <w:sz w:val="32"/>
          <w:szCs w:val="32"/>
        </w:rPr>
        <w:t>3.การประชาสัมพันธ์เพื่อสร้างความรับรู้และความเข้าใจให้กับประชาชนในการปรับแนวทาง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การดำเนินชีวิตเมื่อโรคติดเชื้อไวรัสโคโรนา 2019 (โควิด – 19) เข้าสู่โรคประจำถิ่น ในภาพรวมของจังหวัด</w:t>
      </w:r>
    </w:p>
    <w:p>
      <w:pPr>
        <w:spacing w:after="200"/>
      </w:pPr>
      <w:r>
        <w:rPr>
          <w:lang w:val="en-US"/>
          <w:sz w:val="32"/>
          <w:szCs w:val="32"/>
        </w:rPr>
        <w:t>4.ปัญหา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5.ข้อคิดเห็น และข้อเสนอแนะที่มีต่อนโยบายภาครัฐในการฟื้นฟูเศรษฐกิจและสังคม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1.สำนักงานแรงงานจังหวัด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การส่งเสริมการจ้างงาน (เช่น การเสริมสมรรถนะแรงงานด้วยเทคโนโลยีรองรับการทำงานในศตวรรษที่ 21  การส่งเสริมการมีงานทำของผู้สูงอายุ  และการพัฒนากำลังคนด้านการแพทย์แผนไทยและสปาเพื่อรองรับอุตสาหกรรมการท่องเที่ยวกลุ่มรายได้ดีและการท่องเที่ยวเชิงสุขภาพในเขตพัฒนาพิเศษภาคตะวันออก (EEC)  ฯลฯ)</w:t>
      </w:r>
    </w:p>
    <w:p>
      <w:pPr>
        <w:spacing w:after="200"/>
      </w:pPr>
      <w:r>
        <w:rPr>
          <w:lang w:val="en-US"/>
          <w:sz w:val="32"/>
          <w:szCs w:val="32"/>
        </w:rPr>
        <w:t xml:space="preserve">2.ความคืบหน้าผลการดำเนินการเพื่อเสริมสร้างศักยภาพในการฟื้นฟูและขับเคลื่อนประเทศให้สามารถ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การพัฒนาทักษะแรงงานและการเรียนรู้  </w:t>
      </w:r>
    </w:p>
    <w:p>
      <w:pPr>
        <w:spacing w:after="200"/>
      </w:pPr>
      <w:r>
        <w:rPr>
          <w:lang w:val="en-US"/>
          <w:sz w:val="32"/>
          <w:szCs w:val="32"/>
        </w:rPr>
        <w:t>3.ปัญหา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4.ข้อคิดเห็น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1.สำนักงานสวัสดิการและคุ้มครองแรงงานจังหวัด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การส่งเสริมการจ้างงาน (เช่น การเสริมสมรรถนะแรงงานด้วยเทคโนโลยีรองรับการทำงานในศตวรรษที่ 21  การส่งเสริมการมีงานทำของผู้สูงอายุ  และการพัฒนากำลังคนด้านการแพทย์แผนไทยและสปาเพื่อรองรับอุตสาหกรรมการท่องเที่ยวกลุ่มรายได้ดีและการท่องเที่ยวเชิงสุขภาพในเขตพัฒนาพิเศษภาคตะวันออก (EEC)  ฯลฯ)</w:t>
      </w:r>
    </w:p>
    <w:p>
      <w:pPr>
        <w:spacing w:after="200"/>
      </w:pPr>
      <w:r>
        <w:rPr>
          <w:lang w:val="en-US"/>
          <w:sz w:val="32"/>
          <w:szCs w:val="32"/>
        </w:rPr>
        <w:t xml:space="preserve">2.ความคืบหน้าผลการดำเนินการเพื่อเสริมสร้างศักยภาพในการฟื้นฟูและขับเคลื่อนประเทศให้สามารถ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การพัฒนาทักษะแรงงานและการเรียนรู้  </w:t>
      </w:r>
    </w:p>
    <w:p>
      <w:pPr>
        <w:spacing w:after="200"/>
      </w:pPr>
      <w:r>
        <w:rPr>
          <w:lang w:val="en-US"/>
          <w:sz w:val="32"/>
          <w:szCs w:val="32"/>
        </w:rPr>
        <w:t>3.ปัญหา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4.ข้อคิดเห็น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1.สำนักงานสาธารณสุขจังหวัด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1.สำนักงานอุตสาหกรรมจังหวัด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1.สำนักงานเกษตรจังหวัด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spacing w:after="200"/>
      </w:pPr>
      <w:r>
        <w:rPr>
          <w:lang w:val="en-US"/>
          <w:sz w:val="32"/>
          <w:szCs w:val="32"/>
        </w:rPr>
        <w:t>4.ความคืบหน้าผลการดำเนินการเพื่อเสริมสร้างศักยภาพในการฟื้นฟูและขับเคลื่อนประเทศให้สามารถ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5.ปัญหา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6.ข้อคิดเห็น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1.สำนักงานพาณิชย์จังหวัด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1.สำนักงานคลังจังหวัด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1.สำนักงานท่องเที่ยวและกีฬาจังหวัด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การเตรียมความพร้อมในการฟื้นฟูเศรษฐกิจและสังคมที่ได้รับผลกระทบจากการระบาดของโรคติดเชื้อไวรัสโคโรนา 2019 หลังวิกฤตโควิด – 19 (เช่น การส่งเสริมการท่องเที่ยวเพื่อกระตุ้นเศรษฐกิจ  การสร้างรายได้จากการท่องเที่ยว  และการกระตุ้นเศรษฐกิจของจังหวัดในด้านต่าง ๆ ฯลฯ)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2.การเตรียมความพร้อมเพื่อรองรับการเปิดประเทศ และเปิดพื้นที่นำร่องด้านการท่องเที่ยว ในระดับพื้นที่ โดยสังเขป (ถ้ามี)</w:t>
      </w:r>
    </w:p>
    <w:p>
      <w:pPr>
        <w:spacing w:after="200"/>
      </w:pPr>
      <w:r>
        <w:rPr>
          <w:lang w:val="en-US"/>
          <w:sz w:val="32"/>
          <w:szCs w:val="32"/>
        </w:rPr>
        <w:t>3.ปัญหา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4.ข้อคิดเห็น และข้อเสนอแนะที่มีต่อนโยบายภาครัฐในการฟื้นฟูเศรษฐกิจและสังคม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1.สำนักงานแรงงานจังหวัด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 xml:space="preserve"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การส่งเสริมการจ้างงาน (เช่น การเสริมสมรรถนะแรงงานด้วยเทคโนโลยีรองรับการทำงานในศตวรรษที่ 21  การส่งเสริมการมีงานทำของผู้สูงอายุ  และการพัฒนากำลังคนด้านการแพทย์แผนไทยและสปาเพื่อรองรับอุตสาหกรรมการท่องเที่ยวกลุ่มรายได้ดีและการท่องเที่ยวเชิงสุขภาพในเขตพัฒนาพิเศษภาคตะวันออก (EEC)  ฯลฯ)</w:t>
      </w:r>
    </w:p>
    <w:p>
      <w:pPr>
        <w:spacing w:after="200"/>
      </w:pPr>
      <w:r>
        <w:rPr>
          <w:lang w:val="en-US"/>
          <w:sz w:val="32"/>
          <w:szCs w:val="32"/>
        </w:rPr>
        <w:t xml:space="preserve">2.ความคืบหน้าผลการดำเนินการเพื่อเสริมสร้างศักยภาพในการฟื้นฟูและขับเคลื่อนประเทศให้สามารถ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การพัฒนาทักษะแรงงานและการเรียนรู้  </w:t>
      </w:r>
    </w:p>
    <w:p>
      <w:pPr>
        <w:spacing w:after="200"/>
      </w:pPr>
      <w:r>
        <w:rPr>
          <w:lang w:val="en-US"/>
          <w:sz w:val="32"/>
          <w:szCs w:val="32"/>
        </w:rPr>
        <w:t>3.ปัญหา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4.ข้อคิดเห็น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1.สำนักงานสวัสดิการและคุ้มครองแรงงานจังหวัด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 xml:space="preserve"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>- การส่งเสริมการจ้างงาน (เช่น การเสริมสมรรถนะแรงงานด้วยเทคโนโลยีรองรับการทำงานในศตวรรษที่ 21  การส่งเสริมการมีงานทำของผู้สูงอายุ  และการพัฒนากำลังคนด้านการแพทย์แผนไทยและสปาเพื่อรองรับอุตสาหกรรมการท่องเที่ยวกลุ่มรายได้ดีและการท่องเที่ยวเชิงสุขภาพในเขตพัฒนาพิเศษภาคตะวันออก (EEC)  ฯลฯ)</w:t>
      </w:r>
    </w:p>
    <w:p>
      <w:pPr>
        <w:spacing w:after="200"/>
      </w:pPr>
      <w:r>
        <w:rPr>
          <w:lang w:val="en-US"/>
          <w:sz w:val="32"/>
          <w:szCs w:val="32"/>
        </w:rPr>
        <w:t xml:space="preserve">2.ความคืบหน้าผลการดำเนินการเพื่อเสริมสร้างศักยภาพในการฟื้นฟูและขับเคลื่อนประเทศให้สามารถ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ในเชิงภาพรวมของจังหวัด โดยสังเขป </w:t>
      </w:r>
      <w:r>
        <w:rPr>
          <w:lang w:val="en-US"/>
          <w:sz w:val="32"/>
          <w:szCs w:val="32"/>
        </w:rPr>
        <w:br/>
      </w:r>
      <w:r>
        <w:rPr>
          <w:lang w:val="en-US"/>
          <w:sz w:val="32"/>
          <w:szCs w:val="32"/>
        </w:rPr>
        <w:t xml:space="preserve">- การพัฒนาทักษะแรงงานและการเรียนรู้  </w:t>
      </w:r>
    </w:p>
    <w:p>
      <w:pPr>
        <w:spacing w:after="200"/>
      </w:pPr>
      <w:r>
        <w:rPr>
          <w:lang w:val="en-US"/>
          <w:sz w:val="32"/>
          <w:szCs w:val="32"/>
        </w:rPr>
        <w:t>3.ปัญหา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4.ข้อคิดเห็น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1.สำนักงานสาธารณสุขจังหวัด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1.สำนักงานอุตสาหกรรมจังหวัด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1.สำนักงานเกษตรจังหวัด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spacing w:after="200"/>
      </w:pPr>
      <w:r>
        <w:rPr>
          <w:lang w:val="en-US"/>
          <w:sz w:val="32"/>
          <w:szCs w:val="32"/>
        </w:rPr>
        <w:t>4.ความคืบหน้าผลการดำเนินการเพื่อเสริมสร้างศักยภาพในการฟื้นฟูและขับเคลื่อนประเทศให้สามารถ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การส่งเสริมการท่องเที่ยวเชิงสร้างสรรค์และเน้นคุณภาพ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5.ปัญหา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6.ข้อคิดเห็น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แบบประเด็น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ประจำปีงบประมาณ พ.ศ.2565</w:t>
      </w:r>
    </w:p>
    <w:p>
      <w:pPr>
        <w:jc w:val="center"/>
        <w:spacing w:after="100"/>
      </w:pPr>
      <w:r>
        <w:rPr>
          <w:lang w:val="en-US"/>
          <w:sz w:val="32"/>
          <w:szCs w:val="32"/>
          <w:b/>
        </w:rPr>
        <w:t>ประเด็นนโยบายสำคัญ :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เรื่อง : การฟื้นฟูเศรษฐกิจและสังคมจากการแพร่ระบาดของโรคติดเชื้อไวรัสโคโรนา 2019 (โควิด – 19)</w:t>
      </w:r>
    </w:p>
    <w:p>
      <w:pPr>
        <w:spacing w:after="200"/>
      </w:pPr>
      <w:r>
        <w:rPr>
          <w:lang w:val="en-US"/>
          <w:sz w:val="32"/>
          <w:szCs w:val="32"/>
          <w:b/>
        </w:rPr>
        <w:t>ผู้ให้ข้อมูล</w:t>
      </w:r>
    </w:p>
    <w:p>
      <w:pPr>
        <w:spacing w:after="200"/>
      </w:pPr>
      <w:r>
        <w:rPr>
          <w:lang w:val="en-US"/>
          <w:sz w:val="32"/>
          <w:szCs w:val="32"/>
        </w:rPr>
        <w:t>1.สำนักงานพาณิชย์จังหวัด</w:t>
      </w:r>
    </w:p>
    <w:p>
      <w:pPr>
        <w:spacing w:after="200"/>
      </w:pPr>
      <w:r>
        <w:rPr>
          <w:lang w:val="en-US"/>
          <w:sz w:val="32"/>
          <w:szCs w:val="32"/>
        </w:rPr>
        <w:t>คำชี้แจง : ขอให้จัดทำสรุปผลการดำเนินงานตามประเด็นการตรวจติดตาม เสนอคณะผู้ตรวจราชการในวันที่มาตรวจราชการ  ทั้งนี้ เพื่อให้คณะผู้ตรวจราชการได้ศึกษาผลการดำเนินงานตามประเด็นการตรวจติดตามล่วงหน้า จึงขอให้จัดส่งข้อมูลทางไปรษณีย์อิเล็กทรอนิกส์ (e – mail) หรือช่องทางอื่น ๆ ตามที่คณะตรวจราชการกำหนด  อย่างน้อย 10 วัน ก่อนวันมาตรวจราชการ</w:t>
      </w:r>
    </w:p>
    <w:p>
      <w:pPr>
        <w:spacing w:after="200"/>
      </w:pPr>
      <w:r>
        <w:rPr>
          <w:lang w:val="en-US"/>
          <w:sz w:val="32"/>
          <w:szCs w:val="32"/>
          <w:b/>
        </w:rPr>
        <w:t>ประเด็นการตรวจติดตาม</w:t>
      </w:r>
    </w:p>
    <w:p>
      <w:pPr>
        <w:spacing w:after="200"/>
      </w:pPr>
      <w:r>
        <w:rPr>
          <w:lang w:val="en-US"/>
          <w:sz w:val="32"/>
          <w:szCs w:val="32"/>
        </w:rPr>
        <w:t>1.ความคืบหน้าผลการดำเนินการเพื่อเสริมสร้างศักยภาพในการฟื้นฟูและขับเคลื่อนประเทศให้สามารถ “ล้มแล้วลุกไว” (Resilience) ตามแผนแม่บทเฉพาะกิจภายใต้ยุทธศาสตร์ชาติอันเป็นผลมาจากสถานการณ์โควิด - 19 พ.ศ. ๒๕๖๔ – ๒๕๖๕ เรื่อง การช่วยเหลือและพัฒนาศักยภาพวิสาหกิจขนาดกลางและขนาดย่อม (SMEs)  ในเชิงภาพรวมของจังหวัด โดยสังเขป</w:t>
      </w:r>
    </w:p>
    <w:p>
      <w:pPr>
        <w:spacing w:after="200"/>
      </w:pPr>
      <w:r>
        <w:rPr>
          <w:lang w:val="en-US"/>
          <w:sz w:val="32"/>
          <w:szCs w:val="32"/>
        </w:rPr>
        <w:t>2.ปัญหา – อุปสรรคในการดำเนินงาน</w:t>
      </w:r>
    </w:p>
    <w:p>
      <w:pPr>
        <w:spacing w:after="200"/>
      </w:pPr>
      <w:r>
        <w:rPr>
          <w:lang w:val="en-US"/>
          <w:sz w:val="32"/>
          <w:szCs w:val="32"/>
        </w:rPr>
        <w:t xml:space="preserve">3.ข้อคิดเห็น และข้อเสนอแนะจากการดำเนินงาน </w:t>
      </w:r>
    </w:p>
    <w:p>
      <w:pPr>
        <w:rPr>
          <w:sz w:val="32"/>
          <w:szCs w:val="32"/>
        </w:rPr>
        <w:spacing w:after="200"/>
      </w:pP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a389e993fe34d88"/>
      <w:headerReference w:type="first" r:id="R90cd8a71b54344e3"/>
      <w:headerReference w:type="default" r:id="R78cee6fd66494cd0"/>
      <w:footerReference w:type="even" r:id="R8617c2aa7838492b"/>
      <w:footerReference w:type="first" r:id="Rbd27b03d0364474d"/>
      <w:footerReference w:type="default" r:id="Rd29b6f9c3fdf4dd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65424d64264fad" /><Relationship Type="http://schemas.openxmlformats.org/officeDocument/2006/relationships/numbering" Target="/word/numbering.xml" Id="R2cb1293753d74019" /><Relationship Type="http://schemas.openxmlformats.org/officeDocument/2006/relationships/settings" Target="/word/settings.xml" Id="Rc07cad9386f9476c" /><Relationship Type="http://schemas.openxmlformats.org/officeDocument/2006/relationships/header" Target="/word/header1.xml" Id="R9a389e993fe34d88" /><Relationship Type="http://schemas.openxmlformats.org/officeDocument/2006/relationships/header" Target="/word/header2.xml" Id="R90cd8a71b54344e3" /><Relationship Type="http://schemas.openxmlformats.org/officeDocument/2006/relationships/header" Target="/word/header3.xml" Id="R78cee6fd66494cd0" /><Relationship Type="http://schemas.openxmlformats.org/officeDocument/2006/relationships/footer" Target="/word/footer1.xml" Id="R8617c2aa7838492b" /><Relationship Type="http://schemas.openxmlformats.org/officeDocument/2006/relationships/footer" Target="/word/footer2.xml" Id="Rbd27b03d0364474d" /><Relationship Type="http://schemas.openxmlformats.org/officeDocument/2006/relationships/footer" Target="/word/footer3.xml" Id="Rd29b6f9c3fdf4ddd" /></Relationships>
</file>