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98cc42d0254040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079500" cy="10795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31bd42ded8045ec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before="300" w:after="100"/>
        <w:jc w:val="center"/>
      </w:pPr>
      <w:r>
        <w:rPr>
          <w:lang w:val="en-US"/>
          <w:sz w:val="36"/>
          <w:szCs w:val="36"/>
          <w:b/>
        </w:rPr>
        <w:t>สมุดตรวจราชการอิเล็กทรอนิกส์</w:t>
      </w:r>
    </w:p>
    <w:p>
      <w:pPr>
        <w:jc w:val="center"/>
        <w:spacing w:after="300"/>
      </w:pPr>
      <w:r>
        <w:rPr>
          <w:lang w:val="th-TH"/>
          <w:sz w:val="32"/>
          <w:szCs w:val="32"/>
          <w:b/>
        </w:rPr>
        <w:t>วันที่ตรวจราชการ: ศุกร์ 01 กรกฎาคม 2565</w:t>
      </w:r>
    </w:p>
    <w:p>
      <w:pPr/>
      <w:r>
        <w:rPr>
          <w:lang w:val="th-TH"/>
          <w:sz w:val="32"/>
          <w:szCs w:val="32"/>
          <w:b/>
        </w:rPr>
        <w:t>เรื่อง/ประเด็น/โครงการที่ตรวจติดตาม</w:t>
      </w:r>
    </w:p>
    <w:p>
      <w:pPr>
        <w:rPr>
          <w:sz w:val="32"/>
          <w:szCs w:val="32"/>
        </w:rPr>
      </w:pPr>
      <w:r>
        <w:t>1</w:t>
      </w:r>
      <w:r>
        <w:t xml:space="preserve">) </w:t>
      </w:r>
      <w:r>
        <w:rPr>
          <w:sz w:val="32"/>
          <w:szCs w:val="32"/>
        </w:rPr>
        <w:t>การเพิ่มมูลค่าสินค้าเกษตรแปรรูปและผลิตภัณฑ์ (ตรวจ ณ สถานที่ จังหวัด: เพชรบุรี)</w:t>
      </w:r>
      <w:r>
        <w:rPr>
          <w:sz w:val="32"/>
          <w:szCs w:val="32"/>
        </w:rPr>
        <w:br/>
      </w:r>
    </w:p>
    <w:p>
      <w:pPr>
        <w:spacing w:before="200"/>
      </w:pPr>
      <w:r>
        <w:rPr>
          <w:lang w:val="th-TH"/>
          <w:sz w:val="32"/>
          <w:szCs w:val="32"/>
          <w:b/>
        </w:rPr>
        <w:t>ผลการตรวจ</w:t>
      </w:r>
    </w:p>
    <w:p>
      <w:pPr>
        <w:spacing w:before="100"/>
      </w:pPr>
      <w:r>
        <w:rPr>
          <w:lang w:val="th-TH"/>
          <w:sz w:val="32"/>
          <w:szCs w:val="32"/>
        </w:rPr>
        <w:t>ผู้ตรวจราชการสำนักนายกรัฐมนตรี เขตตรวจราชการที่ ๔ และคณะผู้ตรวจราชการกระทรวงได้ตรวจติดตามผลการดำเนินงาน เรื่อง การเพิ่ม</w:t>
      </w:r>
      <w:r>
        <w:rPr>
          <w:lang w:val="th-TH"/>
          <w:sz w:val="32"/>
          <w:szCs w:val="32"/>
        </w:rPr>
        <w:br/>
      </w:r>
      <w:r>
        <w:rPr>
          <w:lang w:val="th-TH"/>
          <w:sz w:val="32"/>
          <w:szCs w:val="32"/>
        </w:rPr>
        <w:t>มูลค่าสินค้าเกษตรแปรรูปและผลิตภัณฑ์ ตามแผนการตรวจราชการแบบบูรณาการของผู้ตรวจราชการ ผลการตรวจติดตามโดยสรุป พบว่า การเพิ่ม</w:t>
      </w:r>
      <w:r>
        <w:rPr>
          <w:lang w:val="th-TH"/>
          <w:sz w:val="32"/>
          <w:szCs w:val="32"/>
        </w:rPr>
        <w:br/>
      </w:r>
      <w:r>
        <w:rPr>
          <w:lang w:val="th-TH"/>
          <w:sz w:val="32"/>
          <w:szCs w:val="32"/>
        </w:rPr>
        <w:t>มูลค่าสินค้าเกษตรแปรรูปและผลิตภัณฑ์ เกษตรกรได้รับการสนับสนุนองค์ความรู้การผลิต พัฒนาคุณภาพและสร้างมูลค่าสินค้าเกษตรจากการอบรม สัมมนา และศึกษาดูงาน มีการจัดทำหลักสูตรการฝึกอบรมภายใต้โครงการเพิ่มมูลค่าผลิตภัณฑ์แปรรูปการเกษตรด้วยเทคโนโลยีและนวัตกรรม โดยเนื้อหาหลักสูตรจะเน้นที่การพัฒนานวัตกรรมและต่อยอความรู้ในการพัฒนาสิ่งที่มีอยู่เดิมด้วยความคิดวร้างสรรใหม่ ๆ เป็นนวัตกรรมด้าน</w:t>
      </w:r>
      <w:r>
        <w:rPr>
          <w:lang w:val="th-TH"/>
          <w:sz w:val="32"/>
          <w:szCs w:val="32"/>
        </w:rPr>
        <w:br/>
      </w:r>
      <w:r>
        <w:rPr>
          <w:lang w:val="th-TH"/>
          <w:sz w:val="32"/>
          <w:szCs w:val="32"/>
        </w:rPr>
        <w:t>การเกษตร การแปรรูปผลิตภัณฑ์ทางการเกษตร การคิดค้นผลิตภัณฑ์ บรรจุภัณฑ์ เพื่อให้เกิดการพัฒนาเทคโนโลยีและนวัตกรรมที่ช่วยยกระดับชีวิตความเป็นอยู่ของคนในพื้นที่ให้มีรายได้เพิ่มมากขึ้น โดยผลิตภัณฑ์ที่สามารถยกระดับและสร้างมูลค่าสินค้าเกษตรแปรรูปและผลิตภัณฑ์ที่ประสบผลสำเร็จ เช่น มะพร้าวน้ำหอม</w:t>
      </w:r>
      <w:r>
        <w:rPr>
          <w:lang w:val="th-TH"/>
          <w:sz w:val="32"/>
          <w:szCs w:val="32"/>
        </w:rPr>
        <w:br/>
      </w:r>
      <w:r>
        <w:rPr>
          <w:lang w:val="th-TH"/>
          <w:sz w:val="32"/>
          <w:szCs w:val="32"/>
        </w:rPr>
        <w:t>ข้าว มะม่วงเบา น้ำสมุนไพรพร้อมดื่ม เป็นต้น ซึ่งการเพิ่มมูลค่าสินค้าเกษตรแปรรูปและผลิตภัณฑ์</w:t>
      </w:r>
      <w:r>
        <w:rPr>
          <w:lang w:val="th-TH"/>
          <w:sz w:val="32"/>
          <w:szCs w:val="32"/>
        </w:rPr>
        <w:br/>
      </w:r>
      <w:r>
        <w:rPr>
          <w:lang w:val="th-TH"/>
          <w:sz w:val="32"/>
          <w:szCs w:val="32"/>
        </w:rPr>
        <w:t>เกษตรกรเกิดการปรับตัวให้ตลาดนำการผลิต เกษตรกรได้รับความรู้มาตรฐานสินค้าด้านการเกษตรที่เป็น</w:t>
      </w:r>
      <w:r>
        <w:rPr>
          <w:lang w:val="th-TH"/>
          <w:sz w:val="32"/>
          <w:szCs w:val="32"/>
        </w:rPr>
        <w:br/>
      </w:r>
      <w:r>
        <w:rPr>
          <w:lang w:val="th-TH"/>
          <w:sz w:val="32"/>
          <w:szCs w:val="32"/>
        </w:rPr>
        <w:t>ที่ยอมรับของผู้บริโภค ทำให้มีรายได้เพิ่มขึ้น มีทุนในการพัฒนาธุรกิจของตนเองและกลุ่มเกษตรกร และสินค้า</w:t>
      </w:r>
      <w:r>
        <w:rPr>
          <w:lang w:val="th-TH"/>
          <w:sz w:val="32"/>
          <w:szCs w:val="32"/>
        </w:rPr>
        <w:br/>
      </w:r>
      <w:r>
        <w:rPr>
          <w:lang w:val="th-TH"/>
          <w:sz w:val="32"/>
          <w:szCs w:val="32"/>
        </w:rPr>
        <w:t>เกษตรได้รับการพัฒนาต่อยอดตามสมัยนิยมที่พัฒนาอย่างต่อเนื่อง</w:t>
      </w:r>
      <w:r>
        <w:rPr>
          <w:lang w:val="th-TH"/>
          <w:sz w:val="32"/>
          <w:szCs w:val="32"/>
        </w:rPr>
        <w:br/>
      </w:r>
    </w:p>
    <w:p>
      <w:pPr>
        <w:spacing w:before="300"/>
      </w:pPr>
      <w:r>
        <w:rPr>
          <w:lang w:val="th-TH"/>
          <w:sz w:val="32"/>
          <w:szCs w:val="32"/>
          <w:b/>
        </w:rPr>
        <w:t>ปัญหาและอุปสรรค</w:t>
      </w:r>
    </w:p>
    <w:p>
      <w:pPr>
        <w:spacing w:before="100"/>
      </w:pPr>
      <w:r>
        <w:rPr>
          <w:lang w:val="th-TH"/>
          <w:sz w:val="32"/>
          <w:szCs w:val="32"/>
        </w:rPr>
        <w:t>3.1 เกษตรกรยังไม่ยอมรับเรื่องการขอรับรองมาตรฐานสินค้าเกษตร</w:t>
      </w:r>
      <w:r>
        <w:rPr>
          <w:lang w:val="th-TH"/>
          <w:sz w:val="32"/>
          <w:szCs w:val="32"/>
        </w:rPr>
        <w:br/>
      </w:r>
      <w:r>
        <w:rPr>
          <w:lang w:val="th-TH"/>
          <w:sz w:val="32"/>
          <w:szCs w:val="32"/>
        </w:rPr>
        <w:t>3.2 เกษตรกรยังยิดติดกับการปฏิบัติการเกษตรแบบเดิม และยอมรับในรายได้ที่เป็นอยู่</w:t>
      </w:r>
      <w:r>
        <w:rPr>
          <w:lang w:val="th-TH"/>
          <w:sz w:val="32"/>
          <w:szCs w:val="32"/>
        </w:rPr>
        <w:br/>
      </w:r>
      <w:r>
        <w:rPr>
          <w:lang w:val="th-TH"/>
          <w:sz w:val="32"/>
          <w:szCs w:val="32"/>
        </w:rPr>
        <w:t>3.3 เกษตรกร ร้อยละ ๙๗ เป็นผู้เช่า ทำให้ยังมีปัญหาเรื่องกรรมสิทธิ์ที่ดิน</w:t>
      </w:r>
      <w:r>
        <w:rPr>
          <w:lang w:val="th-TH"/>
          <w:sz w:val="32"/>
          <w:szCs w:val="32"/>
        </w:rPr>
        <w:br/>
      </w:r>
      <w:r>
        <w:rPr>
          <w:lang w:val="th-TH"/>
          <w:sz w:val="32"/>
          <w:szCs w:val="32"/>
        </w:rPr>
        <w:t>3.4 เกษตรกรส่วนใหญ่ เป็นผู้สูงอายุ ทำให้ขาดการนำเทคโนโลยีมาใช้ในกระบวนการผลิต</w:t>
      </w:r>
      <w:r>
        <w:rPr>
          <w:lang w:val="th-TH"/>
          <w:sz w:val="32"/>
          <w:szCs w:val="32"/>
        </w:rPr>
        <w:br/>
      </w:r>
      <w:r>
        <w:rPr>
          <w:lang w:val="th-TH"/>
          <w:sz w:val="32"/>
          <w:szCs w:val="32"/>
        </w:rPr>
        <w:t>3.5 บรรจุภัณฑ์ของสินค้าเกษตรแปรรูปบางผลิตภัณฑ์ไม่น่าสนใจ ทำให้ไม่สามารถดึงดูดผู้บริโภคให้มา</w:t>
      </w:r>
      <w:r>
        <w:rPr>
          <w:lang w:val="th-TH"/>
          <w:sz w:val="32"/>
          <w:szCs w:val="32"/>
        </w:rPr>
        <w:br/>
      </w:r>
      <w:r>
        <w:rPr>
          <w:lang w:val="th-TH"/>
          <w:sz w:val="32"/>
          <w:szCs w:val="32"/>
        </w:rPr>
        <w:t>ซื้อสินค้าเกษตรแปรรูปได้</w:t>
      </w:r>
      <w:r>
        <w:rPr>
          <w:lang w:val="th-TH"/>
          <w:sz w:val="32"/>
          <w:szCs w:val="32"/>
        </w:rPr>
        <w:br/>
      </w:r>
      <w:r>
        <w:rPr>
          <w:lang w:val="th-TH"/>
          <w:sz w:val="32"/>
          <w:szCs w:val="32"/>
        </w:rPr>
        <w:t>3.6 ราคาสินค้าเกษตรของประเทศไทยสูงกว่าประเทศอื่น</w:t>
      </w:r>
      <w:r>
        <w:rPr>
          <w:lang w:val="th-TH"/>
          <w:sz w:val="32"/>
          <w:szCs w:val="32"/>
        </w:rPr>
        <w:br/>
      </w:r>
      <w:r>
        <w:rPr>
          <w:lang w:val="th-TH"/>
          <w:sz w:val="32"/>
          <w:szCs w:val="32"/>
        </w:rPr>
        <w:t>3.7 ผู้ประกอบการ SMEs ได้นำเทคโนโลยีมาใช้ในกระบวนการผลิต ช่วยเพิ่มประสิทธิภาพในการผลิต</w:t>
      </w:r>
      <w:r>
        <w:rPr>
          <w:lang w:val="th-TH"/>
          <w:sz w:val="32"/>
          <w:szCs w:val="32"/>
        </w:rPr>
        <w:br/>
      </w:r>
      <w:r>
        <w:rPr>
          <w:lang w:val="th-TH"/>
          <w:sz w:val="32"/>
          <w:szCs w:val="32"/>
        </w:rPr>
        <w:t>และลดต้นทุน แต่ต้องใช้งบประมาณจำนวนมากในติดตั้งอุปกรณ์รวมถึงการดูแลรักษาในระยะยาว จึงอาจขาด</w:t>
      </w:r>
      <w:r>
        <w:rPr>
          <w:lang w:val="th-TH"/>
          <w:sz w:val="32"/>
          <w:szCs w:val="32"/>
        </w:rPr>
        <w:br/>
      </w:r>
      <w:r>
        <w:rPr>
          <w:lang w:val="th-TH"/>
          <w:sz w:val="32"/>
          <w:szCs w:val="32"/>
        </w:rPr>
        <w:t>การเข้าถึงเทคโนโลยีสมัยใหม่</w:t>
      </w:r>
    </w:p>
    <w:p>
      <w:pPr>
        <w:spacing w:before="300"/>
      </w:pPr>
      <w:r>
        <w:rPr>
          <w:lang w:val="th-TH"/>
          <w:sz w:val="32"/>
          <w:szCs w:val="32"/>
          <w:b/>
        </w:rPr>
        <w:t>ข้อเสนอแนะ</w:t>
      </w:r>
    </w:p>
    <w:p>
      <w:pPr>
        <w:spacing w:before="100"/>
      </w:pPr>
      <w:r>
        <w:rPr>
          <w:lang w:val="th-TH"/>
          <w:sz w:val="32"/>
          <w:szCs w:val="32"/>
        </w:rPr>
        <w:t>ระดับพื้นที่</w:t>
      </w:r>
      <w:r>
        <w:rPr>
          <w:lang w:val="th-TH"/>
          <w:sz w:val="32"/>
          <w:szCs w:val="32"/>
        </w:rPr>
        <w:br/>
      </w:r>
      <w:r>
        <w:rPr>
          <w:lang w:val="th-TH"/>
          <w:sz w:val="32"/>
          <w:szCs w:val="32"/>
        </w:rPr>
        <w:t>1 ส่งเสริมทำความเข้าใจกับเกษตรกรให้ทราบถึงข้อดีและประโยชน์ของการแปรรูปสินค้า</w:t>
      </w:r>
      <w:r>
        <w:rPr>
          <w:lang w:val="th-TH"/>
          <w:sz w:val="32"/>
          <w:szCs w:val="32"/>
        </w:rPr>
        <w:br/>
      </w:r>
      <w:r>
        <w:rPr>
          <w:lang w:val="th-TH"/>
          <w:sz w:val="32"/>
          <w:szCs w:val="32"/>
        </w:rPr>
        <w:t>เกษตร เพื่อให้มีรายได้มากขึ้</w:t>
      </w:r>
      <w:r>
        <w:rPr>
          <w:lang w:val="th-TH"/>
          <w:sz w:val="32"/>
          <w:szCs w:val="32"/>
        </w:rPr>
        <w:br/>
      </w:r>
      <w:r>
        <w:rPr>
          <w:lang w:val="th-TH"/>
          <w:sz w:val="32"/>
          <w:szCs w:val="32"/>
        </w:rPr>
        <w:t>2 ส่งเสริมให้เกษตรได้เห็นความแตกต่างของการเพิ่มมูลค่าสินค้าเกษตร โดยการเปรียบเทียบ</w:t>
      </w:r>
      <w:r>
        <w:rPr>
          <w:lang w:val="th-TH"/>
          <w:sz w:val="32"/>
          <w:szCs w:val="32"/>
        </w:rPr>
        <w:br/>
      </w:r>
      <w:r>
        <w:rPr>
          <w:lang w:val="th-TH"/>
          <w:sz w:val="32"/>
          <w:szCs w:val="32"/>
        </w:rPr>
        <w:t>กับเกษตรกรที่เพิ่มมูลค่าแล้วประสบความสำเร็จ</w:t>
      </w:r>
      <w:r>
        <w:rPr>
          <w:lang w:val="th-TH"/>
          <w:sz w:val="32"/>
          <w:szCs w:val="32"/>
        </w:rPr>
        <w:br/>
      </w:r>
      <w:r>
        <w:rPr>
          <w:lang w:val="th-TH"/>
          <w:sz w:val="32"/>
          <w:szCs w:val="32"/>
        </w:rPr>
        <w:t>3 บูรณาการกับหน่วยงานที่เกี่ยวข้อง เพื่อสนับสนุนและวางแผนการพัฒนาโครงการ</w:t>
      </w:r>
      <w:r>
        <w:rPr>
          <w:lang w:val="th-TH"/>
          <w:sz w:val="32"/>
          <w:szCs w:val="32"/>
        </w:rPr>
        <w:br/>
      </w:r>
      <w:r>
        <w:rPr>
          <w:lang w:val="th-TH"/>
          <w:sz w:val="32"/>
          <w:szCs w:val="32"/>
        </w:rPr>
        <w:t>“โคก หนอง นาโมเดล” ให้เป็นแหล่งท่องเที่ยวเชิงเกษตร เพื่อให้เกษตรกรมีรายได้เพิ่มมากขึ้น และมีคุณภาพ</w:t>
      </w:r>
      <w:r>
        <w:rPr>
          <w:lang w:val="th-TH"/>
          <w:sz w:val="32"/>
          <w:szCs w:val="32"/>
        </w:rPr>
        <w:br/>
      </w:r>
      <w:r>
        <w:rPr>
          <w:lang w:val="th-TH"/>
          <w:sz w:val="32"/>
          <w:szCs w:val="32"/>
        </w:rPr>
        <w:t>ชีวิตที่ดีขึ้น</w:t>
      </w:r>
      <w:r>
        <w:rPr>
          <w:lang w:val="th-TH"/>
          <w:sz w:val="32"/>
          <w:szCs w:val="32"/>
        </w:rPr>
        <w:br/>
      </w:r>
      <w:r>
        <w:rPr>
          <w:lang w:val="th-TH"/>
          <w:sz w:val="32"/>
          <w:szCs w:val="32"/>
        </w:rPr>
        <w:t>4 ส่งเสริม และปลูกฝังให้เยาวชน คนรุ่นใหม่เห็นคุณค่า รักษาวิถีเกษตร และสืบทอดการทำ</w:t>
      </w:r>
      <w:r>
        <w:rPr>
          <w:lang w:val="th-TH"/>
          <w:sz w:val="32"/>
          <w:szCs w:val="32"/>
        </w:rPr>
        <w:br/>
      </w:r>
      <w:r>
        <w:rPr>
          <w:lang w:val="th-TH"/>
          <w:sz w:val="32"/>
          <w:szCs w:val="32"/>
        </w:rPr>
        <w:t>การเกษตร</w:t>
      </w:r>
      <w:r>
        <w:rPr>
          <w:lang w:val="th-TH"/>
          <w:sz w:val="32"/>
          <w:szCs w:val="32"/>
        </w:rPr>
        <w:br/>
      </w:r>
      <w:r>
        <w:rPr>
          <w:lang w:val="th-TH"/>
          <w:sz w:val="32"/>
          <w:szCs w:val="32"/>
        </w:rPr>
        <w:t>5 กรุงเทพมหานครควรมีการบูรณาการทำงานร่วมกับกระทรวงพาณิชย์ กระทรวง</w:t>
      </w:r>
      <w:r>
        <w:rPr>
          <w:lang w:val="th-TH"/>
          <w:sz w:val="32"/>
          <w:szCs w:val="32"/>
        </w:rPr>
        <w:br/>
      </w:r>
      <w:r>
        <w:rPr>
          <w:lang w:val="th-TH"/>
          <w:sz w:val="32"/>
          <w:szCs w:val="32"/>
        </w:rPr>
        <w:t>อุตสาหกรรม และกระทรวงการท่องเที่ยวและกีฬา เพื่อต่อยอดยกระดับสินค้าเกษตรแปรรูปและผลิตภัณฑ์</w:t>
      </w:r>
      <w:r>
        <w:rPr>
          <w:lang w:val="th-TH"/>
          <w:sz w:val="32"/>
          <w:szCs w:val="32"/>
        </w:rPr>
        <w:br/>
      </w:r>
      <w:r>
        <w:rPr>
          <w:lang w:val="th-TH"/>
          <w:sz w:val="32"/>
          <w:szCs w:val="32"/>
        </w:rPr>
        <w:t>ไปขายในระดับประเทศและต่างประเทศ เช่น การส่งออกสินค้าเกษตร การท่องเที่ยววิถีเกษตร เป็นต้น</w:t>
      </w:r>
      <w:r>
        <w:rPr>
          <w:lang w:val="th-TH"/>
          <w:sz w:val="32"/>
          <w:szCs w:val="32"/>
        </w:rPr>
        <w:br/>
      </w:r>
      <w:r>
        <w:rPr>
          <w:lang w:val="th-TH"/>
          <w:sz w:val="32"/>
          <w:szCs w:val="32"/>
        </w:rPr>
        <w:t xml:space="preserve"> ระดับนโยบาย</w:t>
      </w:r>
      <w:r>
        <w:rPr>
          <w:lang w:val="th-TH"/>
          <w:sz w:val="32"/>
          <w:szCs w:val="32"/>
        </w:rPr>
        <w:br/>
      </w:r>
      <w:r>
        <w:rPr>
          <w:lang w:val="th-TH"/>
          <w:sz w:val="32"/>
          <w:szCs w:val="32"/>
        </w:rPr>
        <w:t xml:space="preserve"> รัฐควรสนับสนุนให้ความรู้ความเข้าใจในการนำเทคโนโลยีและนวัตกรรมมาใช้ในด้านการเกษตร</w:t>
      </w:r>
      <w:r>
        <w:rPr>
          <w:lang w:val="th-TH"/>
          <w:sz w:val="32"/>
          <w:szCs w:val="32"/>
        </w:rPr>
        <w:br/>
      </w:r>
      <w:r>
        <w:rPr>
          <w:lang w:val="th-TH"/>
          <w:sz w:val="32"/>
          <w:szCs w:val="32"/>
        </w:rPr>
        <w:t>และกระบวนการผลิตอย่างต่อเนื่อง เช่น การนำเครื่องจักรกลมาใช้ในการทำการเกษตร เพื่อยกระดับ</w:t>
      </w:r>
      <w:r>
        <w:rPr>
          <w:lang w:val="th-TH"/>
          <w:sz w:val="32"/>
          <w:szCs w:val="32"/>
        </w:rPr>
        <w:br/>
      </w:r>
      <w:r>
        <w:rPr>
          <w:lang w:val="th-TH"/>
          <w:sz w:val="32"/>
          <w:szCs w:val="32"/>
        </w:rPr>
        <w:t>กระบวนการผลิตสินค้าเกษตรแปรรูปอย่างต่อเนื่อง รวมถึงยังลดต้นทุนการผลิต เพื่อให้ราคาสินค้าเกษตรแปร</w:t>
      </w:r>
      <w:r>
        <w:rPr>
          <w:lang w:val="th-TH"/>
          <w:sz w:val="32"/>
          <w:szCs w:val="32"/>
        </w:rPr>
        <w:br/>
      </w:r>
      <w:r>
        <w:rPr>
          <w:lang w:val="th-TH"/>
          <w:sz w:val="32"/>
          <w:szCs w:val="32"/>
        </w:rPr>
        <w:t>รูปของประเทศไทย สามารถแข่งขันกับประเทศอื่นได้</w:t>
      </w:r>
    </w:p>
    <w:p>
      <w:pPr>
        <w:spacing w:before="600" w:after="100"/>
      </w:pPr>
      <w:r>
        <w:rPr>
          <w:lang w:val="th-TH"/>
          <w:sz w:val="32"/>
          <w:szCs w:val="32"/>
          <w:b/>
        </w:rPr>
        <w:t>คำแนะนำผู้ตรวจราชการ</w:t>
      </w:r>
    </w:p>
    <w:tbl>
      <w:tblPr>
        <w:tblStyle w:val="TableGrid"/>
        <w:tblW w:w="9020" w:type="auto"/>
        <w:tblLayout w:type="fixed"/>
        <w:tblLook w:val="04A0"/>
        <w:jc w:val="center"/>
      </w:tblPr>
      <w:tblGrid>
        <w:gridCol w:w="721.6000366210938"/>
        <w:gridCol w:w="4510"/>
        <w:gridCol w:w="1623.6000061035156"/>
        <w:gridCol w:w="2164.7999572753906"/>
      </w:tblGrid>
      <w:tr>
        <w:tc>
          <w:tcPr/>
          <w:p>
            <w:pPr>
              <w:jc w:val="center"/>
            </w:pPr>
            <w:r>
              <w:rPr>
                <w:sz w:val="32"/>
                <w:szCs w:val="32"/>
              </w:rPr>
              <w:t>ลำดับ</w:t>
            </w:r>
          </w:p>
        </w:tc>
        <w:tc>
          <w:tcPr/>
          <w:p>
            <w:pPr>
              <w:jc w:val="center"/>
            </w:pPr>
            <w:r>
              <w:rPr>
                <w:sz w:val="32"/>
                <w:szCs w:val="32"/>
              </w:rPr>
              <w:t>คำแนะนำหรือสั่งการของผู้ตรวจ</w:t>
            </w:r>
          </w:p>
        </w:tc>
        <w:tc>
          <w:tcPr/>
          <w:p>
            <w:pPr>
              <w:jc w:val="center"/>
            </w:pPr>
            <w:r>
              <w:rPr>
                <w:sz w:val="32"/>
                <w:szCs w:val="32"/>
              </w:rPr>
              <w:t>ความเห็นผู้ตรวจ</w:t>
            </w:r>
          </w:p>
        </w:tc>
        <w:tc>
          <w:tcPr/>
          <w:p>
            <w:pPr>
              <w:jc w:val="center"/>
            </w:pPr>
            <w:r>
              <w:rPr>
                <w:sz w:val="32"/>
                <w:szCs w:val="32"/>
              </w:rPr>
              <w:t>ลายมือชื่อผู้ตรวจ</w:t>
            </w:r>
          </w:p>
        </w:tc>
      </w:tr>
      <w:tr>
        <w:tc>
          <w:tcPr/>
          <w:p>
            <w:pPr>
              <w:jc w:val="center"/>
            </w:pPr>
            <w:r>
              <w:rPr>
                <w:sz w:val="32"/>
                <w:szCs w:val="32"/>
              </w:rPr>
              <w:t>1</w:t>
            </w:r>
          </w:p>
        </w:tc>
        <w:tc>
          <w:tcPr/>
          <w:p>
            <w:pPr>
              <w:rPr>
                <w:sz w:val="32"/>
                <w:szCs w:val="32"/>
              </w:rPr>
            </w:pPr>
          </w:p>
        </w:tc>
        <w:tc>
          <w:tcPr/>
          <w:p>
            <w:pPr>
              <w:rPr>
                <w:sz w:val="32"/>
                <w:szCs w:val="32"/>
              </w:rPr>
            </w:pPr>
          </w:p>
        </w:tc>
        <w:tc>
          <w:tcPr/>
          <w:p>
            <w:pPr>
              <w:jc w:val="center"/>
            </w:pPr>
            <w:r>
              <w:rPr>
                <w:sz w:val="32"/>
                <w:szCs w:val="32"/>
              </w:rPr>
              <w:t>กระทรวงมหาดไทย</w:t>
            </w:r>
            <w:r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นายสมชาย ใจดี</w:t>
            </w:r>
          </w:p>
        </w:tc>
      </w:tr>
      <w:tr>
        <w:tc>
          <w:tcPr/>
          <w:p>
            <w:pPr>
              <w:jc w:val="center"/>
            </w:pPr>
            <w:r>
              <w:rPr>
                <w:sz w:val="32"/>
                <w:szCs w:val="32"/>
              </w:rPr>
              <w:t>2</w:t>
            </w:r>
          </w:p>
        </w:tc>
        <w:tc>
          <w:tcPr/>
          <w:p>
            <w:pPr>
              <w:rPr>
                <w:sz w:val="32"/>
                <w:szCs w:val="32"/>
              </w:rPr>
            </w:pPr>
          </w:p>
        </w:tc>
        <w:tc>
          <w:tcPr/>
          <w:p>
            <w:pPr>
              <w:rPr>
                <w:sz w:val="32"/>
                <w:szCs w:val="32"/>
              </w:rPr>
            </w:pPr>
          </w:p>
        </w:tc>
        <w:tc>
          <w:tcPr/>
          <w:p>
            <w:pPr>
              <w:jc w:val="center"/>
            </w:pPr>
            <w:r>
              <w:rPr>
                <w:sz w:val="32"/>
                <w:szCs w:val="32"/>
              </w:rPr>
              <w:t>กรมส่งเสริมการปกครองท้องถิ่น</w:t>
            </w:r>
            <w:r>
              <w:rPr>
                <w:sz w:val="32"/>
                <w:szCs w:val="32"/>
              </w:rPr>
              <w:br/>
            </w:r>
            <w:r>
              <w:rPr>
                <w:sz w:val="32"/>
                <w:szCs w:val="32"/>
              </w:rPr>
              <w:t>นายinspec 46</w:t>
            </w:r>
          </w:p>
        </w:tc>
      </w:tr>
    </w:tbl>
    <w:p>
      <w:pPr>
        <w:spacing w:before="600" w:after="100"/>
      </w:pPr>
      <w:r>
        <w:rPr>
          <w:lang w:val="th-TH"/>
          <w:sz w:val="32"/>
          <w:szCs w:val="32"/>
          <w:b/>
        </w:rPr>
        <w:t>การดำเนินการของหน่วยรับตรวจ</w:t>
      </w:r>
    </w:p>
    <w:tbl>
      <w:tblPr>
        <w:tblStyle w:val="TableGrid"/>
        <w:tblW w:w="9020.000076293945" w:type="auto"/>
        <w:tblLayout w:type="fixed"/>
        <w:tblLook w:val="04A0"/>
        <w:jc w:val="center"/>
      </w:tblPr>
      <w:tblGrid>
        <w:gridCol w:w="736.3265228271484"/>
        <w:gridCol w:w="4602.041015625"/>
        <w:gridCol w:w="1472.6530456542969"/>
        <w:gridCol w:w="2208.9794921875"/>
      </w:tblGrid>
      <w:tr>
        <w:tc>
          <w:tcPr/>
          <w:p>
            <w:pPr>
              <w:jc w:val="center"/>
            </w:pPr>
            <w:r>
              <w:rPr>
                <w:sz w:val="32"/>
                <w:szCs w:val="32"/>
              </w:rPr>
              <w:t>ลำดับ</w:t>
            </w:r>
          </w:p>
        </w:tc>
        <w:tc>
          <w:tcPr/>
          <w:p>
            <w:pPr>
              <w:jc w:val="center"/>
            </w:pPr>
            <w:r>
              <w:rPr>
                <w:sz w:val="32"/>
                <w:szCs w:val="32"/>
              </w:rPr>
              <w:t>การดำเนินการของหน่วยรับตรวจ</w:t>
            </w:r>
          </w:p>
        </w:tc>
        <w:tc>
          <w:tcPr/>
          <w:p>
            <w:pPr>
              <w:jc w:val="center"/>
            </w:pPr>
            <w:r>
              <w:rPr>
                <w:sz w:val="32"/>
                <w:szCs w:val="32"/>
              </w:rPr>
              <w:t>หน่วยรับตรวจ</w:t>
            </w:r>
          </w:p>
        </w:tc>
        <w:tc>
          <w:tcPr/>
          <w:p>
            <w:pPr>
              <w:jc w:val="center"/>
            </w:pPr>
            <w:r>
              <w:rPr>
                <w:sz w:val="32"/>
                <w:szCs w:val="32"/>
              </w:rPr>
              <w:t>ลายมือชื่อผู้รับตรวจ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37cac9fe28034968"/>
      <w:headerReference w:type="first" r:id="R4b0c050a5f4043ad"/>
      <w:headerReference w:type="default" r:id="R6e66df96f7264737"/>
      <w:footerReference w:type="even" r:id="R740a720a7d5d408e"/>
      <w:footerReference w:type="first" r:id="R8fe0f36967624ff8"/>
      <w:footerReference w:type="default" r:id="Re346ae4c85e94869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29 มิถุนายน 2565 14:14</w:t>
    </w:r>
    <w:r>
      <w:t xml:space="preserve"> น.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29 มิถุนายน 2565 14:14</w:t>
    </w:r>
    <w:r>
      <w:t xml:space="preserve"> น.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>
      <w:jc w:val="right"/>
    </w:pPr>
    <w:r>
      <w:rPr>
        <w:lang w:val="en-US"/>
      </w:rPr>
      <w:t xml:space="preserve">วันที่ออกรายงาน: </w:t>
    </w:r>
    <w:r>
      <w:t>29 มิถุนายน 2565 14:14</w:t>
    </w:r>
    <w:r>
      <w:t xml:space="preserve"> น.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  <w:p>
    <w:pPr>
      <w:jc w:val="center"/>
    </w:pPr>
    <w:fldSimple w:instr=" PAGE   \* MERGEFORMAT ">
      <w:r xmlns:w="http://schemas.openxmlformats.org/wordprocessingml/2006/main" w:rsidR="001D0226">
        <w:rPr>
          <w:noProof/>
        </w:rPr>
        <w:t>1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evenAndOddHeaders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SarabunNew" w:hAnsi="ThSarabunNew" w:cs="ThSarabunNew" w:eastAsia="ThSarabunNew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ecf2dfd66c0453b" /><Relationship Type="http://schemas.openxmlformats.org/officeDocument/2006/relationships/numbering" Target="/word/numbering.xml" Id="R74c54f63ad874623" /><Relationship Type="http://schemas.openxmlformats.org/officeDocument/2006/relationships/settings" Target="/word/settings.xml" Id="Rdd2930ef2fd94aeb" /><Relationship Type="http://schemas.openxmlformats.org/officeDocument/2006/relationships/image" Target="/word/media/198869f1-93cc-4a57-ad84-6d92342af163.png" Id="R931bd42ded8045ec" /><Relationship Type="http://schemas.openxmlformats.org/officeDocument/2006/relationships/header" Target="/word/header1.xml" Id="R37cac9fe28034968" /><Relationship Type="http://schemas.openxmlformats.org/officeDocument/2006/relationships/header" Target="/word/header2.xml" Id="R4b0c050a5f4043ad" /><Relationship Type="http://schemas.openxmlformats.org/officeDocument/2006/relationships/header" Target="/word/header3.xml" Id="R6e66df96f7264737" /><Relationship Type="http://schemas.openxmlformats.org/officeDocument/2006/relationships/footer" Target="/word/footer1.xml" Id="R740a720a7d5d408e" /><Relationship Type="http://schemas.openxmlformats.org/officeDocument/2006/relationships/footer" Target="/word/footer2.xml" Id="R8fe0f36967624ff8" /><Relationship Type="http://schemas.openxmlformats.org/officeDocument/2006/relationships/footer" Target="/word/footer3.xml" Id="Re346ae4c85e94869" /></Relationships>
</file>