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71f73da98947a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5fc8477f4b04261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300"/>
        <w:jc w:val="center"/>
      </w:pPr>
      <w:r>
        <w:rPr>
          <w:lang w:val="en-US"/>
          <w:sz w:val="36"/>
          <w:szCs w:val="36"/>
          <w:b/>
        </w:rPr>
        <w:t>รายงานผลการตรวจราชการ (การตรวจราชการแบบบูรณาการ) : รายเขต</w:t>
      </w:r>
    </w:p>
    <w:p>
      <w:pPr>
        <w:jc w:val="center"/>
        <w:spacing w:after="300"/>
      </w:pPr>
      <w:r>
        <w:rPr>
          <w:lang w:val="en-US"/>
          <w:sz w:val="32"/>
          <w:szCs w:val="32"/>
          <w:b/>
        </w:rPr>
        <w:t>ประเด็น/เรื่อง:  การจัดการประมงอย่างยั่งยืน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รอบการตรวจราชการที่: รอบที่ 1 ปีงบประมาณ: พ.ศ. 2565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ของผู้ตรวจราชการสำนักนายกรัฐมนตรี/ผู้ตรวจราชการกระทรวง: กรมประชาสัมพันธ์</w:t>
      </w:r>
    </w:p>
    <w:p>
      <w:pPr>
        <w:jc w:val="center"/>
        <w:spacing w:after="200"/>
      </w:pPr>
      <w:r>
        <w:rPr>
          <w:lang w:val="en-US"/>
          <w:sz w:val="32"/>
          <w:szCs w:val="32"/>
        </w:rPr>
        <w:t>เขตตรวจราชการที่: เขตตรวจราชการที่ 6(จังหวัด: ตรัง)</w:t>
      </w:r>
    </w:p>
    <w:p>
      <w:pPr>
        <w:jc w:val="right"/>
      </w:pPr>
      <w:r>
        <w:rPr>
          <w:lang w:val="en-US"/>
          <w:sz w:val="32"/>
          <w:szCs w:val="32"/>
        </w:rPr>
        <w:t>สถานะของรายงาน: ร่าง</w:t>
      </w:r>
    </w:p>
    <w:p>
      <w:pPr>
        <w:spacing w:before="300"/>
      </w:pPr>
      <w:r>
        <w:rPr>
          <w:lang w:val="en-US"/>
          <w:sz w:val="32"/>
          <w:szCs w:val="32"/>
          <w:b/>
        </w:rPr>
        <w:t>หัวข้อการตรวจติดตาม: การจัดการประมงอย่างยั่งยืน</w:t>
      </w:r>
    </w:p>
    <w:tbl>
      <w:tblPr>
        <w:tblStyle w:val="TableGrid"/>
        <w:tblW w:w="9020.000610351562" w:type="auto"/>
        <w:tblLayout w:type="fixed"/>
        <w:tblLook w:val="04A0"/>
      </w:tblPr>
      <w:tblGrid>
        <w:gridCol w:w="1503.3334350585938"/>
        <w:gridCol w:w="1503.3334350585938"/>
        <w:gridCol w:w="1503.3334350585938"/>
        <w:gridCol w:w="1503.3334350585938"/>
        <w:gridCol w:w="1503.3334350585938"/>
        <w:gridCol w:w="1503.3334350585938"/>
      </w:tblGrid>
      <w:tr>
        <w:tc>
          <w:tcPr/>
          <w:p>
            <w:pPr/>
            <w:r>
              <w:rPr>
                <w:sz w:val="32"/>
                <w:szCs w:val="32"/>
              </w:rPr>
              <w:t>ประเด็นการตรวจติดตาม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ข้อค้นพบ/ผลการตรวจ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ประเด็นปัญหา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ข้อเสนอแนะของผู้ตรวจราชการ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หน่วยรับตรวจ/หน่วยงานที่รับผิดชอบ</w:t>
            </w:r>
          </w:p>
        </w:tc>
        <w:tc>
          <w:tcPr/>
          <w:p>
            <w:pPr/>
            <w:r>
              <w:rPr>
                <w:sz w:val="32"/>
                <w:szCs w:val="32"/>
              </w:rPr>
              <w:t>ความเห็นของ ที่ปรึกษา ผต.ภาคประชาชน</w:t>
            </w:r>
          </w:p>
        </w:tc>
      </w:tr>
      <w:tr>
        <w:tc>
          <w:tcPr/>
          <w:p>
            <w:pPr/>
            <w:r>
              <w:rPr>
                <w:sz w:val="32"/>
                <w:szCs w:val="32"/>
              </w:rPr>
              <w:t>การจัดการประมงอย่างยั่งยืน</w:t>
            </w:r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  <w:tc>
          <w:tcPr/>
          <w:p>
            <w:pPr/>
          </w:p>
        </w:tc>
      </w:tr>
    </w:tbl>
    <w:p>
      <w:pPr>
        <w:spacing w:before="300"/>
      </w:pPr>
      <w:r>
        <w:rPr>
          <w:lang w:val="en-US"/>
          <w:sz w:val="32"/>
          <w:szCs w:val="32"/>
          <w:b/>
        </w:rPr>
        <w:t>สรุปผลการตรวจราชการ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ไม่พบการใช้แรงงานต่างด้าวในกิจการประมง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ข้อเสนอแนะเชิงนโยบายของผู้ตรวจราชการ</w:t>
      </w:r>
    </w:p>
    <w:p>
      <w:pPr>
        <w:spacing w:before="100"/>
      </w:pPr>
      <w:r>
        <w:rPr>
          <w:lang w:val="en-US"/>
          <w:sz w:val="32"/>
          <w:szCs w:val="32"/>
        </w:rPr>
        <w:t>ขอให้กระทรวงเกษตรและสหกรณ์ติดตามการใช้แรงงานในกิจการประมงต่อไปอย่างเคร่งครัด</w:t>
      </w:r>
    </w:p>
    <w:p>
      <w:pPr>
        <w:spacing w:before="300"/>
      </w:pPr>
      <w:r>
        <w:rPr>
          <w:lang w:val="en-US"/>
          <w:sz w:val="32"/>
          <w:szCs w:val="32"/>
          <w:b/>
        </w:rPr>
        <w:t>ข้อสั่งการของผู้บังคับบัญชา</w:t>
      </w:r>
    </w:p>
    <w:p>
      <w:pPr>
        <w:spacing w:before="100"/>
      </w:pPr>
      <w:r>
        <w:rPr>
          <w:lang w:val="en-US"/>
          <w:sz w:val="32"/>
          <w:szCs w:val="32"/>
        </w:rPr>
        <w:t>ขอให้กระทรวงเกษตรและสหกรณ์ติดตามการใช้แรงงานในกิจการประมงต่อไปอย่างเคร่งครัด</w:t>
      </w:r>
    </w:p>
    <w:p>
      <w:r>
        <w:br w:type="page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27e030ca411e4bba"/>
      <w:headerReference w:type="first" r:id="Rbd36f4d8e0104072"/>
      <w:headerReference w:type="default" r:id="R0442f43160c0428f"/>
      <w:footerReference w:type="even" r:id="R902c3426afe24724"/>
      <w:footerReference w:type="first" r:id="Rc4b4e19182bb4237"/>
      <w:footerReference w:type="default" r:id="Re24cccdc536a4e80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11:46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11:46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28 มิถุนายน 2565 11:46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8288c9529b54599" /><Relationship Type="http://schemas.openxmlformats.org/officeDocument/2006/relationships/numbering" Target="/word/numbering.xml" Id="R4c530034298943a6" /><Relationship Type="http://schemas.openxmlformats.org/officeDocument/2006/relationships/settings" Target="/word/settings.xml" Id="Raf54dcffa73643d8" /><Relationship Type="http://schemas.openxmlformats.org/officeDocument/2006/relationships/header" Target="/word/header1.xml" Id="R27e030ca411e4bba" /><Relationship Type="http://schemas.openxmlformats.org/officeDocument/2006/relationships/header" Target="/word/header2.xml" Id="Rbd36f4d8e0104072" /><Relationship Type="http://schemas.openxmlformats.org/officeDocument/2006/relationships/header" Target="/word/header3.xml" Id="R0442f43160c0428f" /><Relationship Type="http://schemas.openxmlformats.org/officeDocument/2006/relationships/footer" Target="/word/footer1.xml" Id="R902c3426afe24724" /><Relationship Type="http://schemas.openxmlformats.org/officeDocument/2006/relationships/footer" Target="/word/footer2.xml" Id="Rc4b4e19182bb4237" /><Relationship Type="http://schemas.openxmlformats.org/officeDocument/2006/relationships/footer" Target="/word/footer3.xml" Id="Re24cccdc536a4e80" /><Relationship Type="http://schemas.openxmlformats.org/officeDocument/2006/relationships/image" Target="/word/media/2840f63a-c886-41b6-a268-e80842244948.png" Id="R35fc8477f4b04261" /></Relationships>
</file>