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18330f1c4d4a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5f87127980d4117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รายเขต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ประเด็น/เรื่อง:  การจัดการสิ่งแวดล้อมสีเขียวเพื่อความยั่งยืนตามแนวทางการพัฒนาเศรษฐกิจชีวภาพ เศรษฐกิจหมุนเวียน และเศรษฐกิจสีเขียว (BCG Model)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1(จังหวัด: อ่างทอง)</w:t>
      </w:r>
    </w:p>
    <w:p>
      <w:pPr>
        <w:jc w:val="right"/>
      </w:pPr>
      <w:r>
        <w:rPr>
          <w:lang w:val="en-US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en-US"/>
          <w:sz w:val="32"/>
          <w:szCs w:val="32"/>
          <w:b/>
        </w:rPr>
        <w:t>หัวข้อการตรวจติดตาม: การจัดการสิ่งแวดล้อมสีเขียวเพื่อความยั่งยืน ตามแนวทางการพัฒนาเศรษฐกิจชีวภาพ  เศรษฐกิจหมุนเวียน และเศรษฐกิจสีเขียว (BCG Model)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(BCG Model) รอบที่ 2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การจัดการสิ่งแวดล้อมสีเขียวเพื่อความยั่งยืนตามแนวทางการพัฒนาเศรษฐกิจชีวภาพ เศรษฐกิจหมุนเวียน และเศรษฐกิจสีเขียว (BCG Model) รอบที่ 1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en-US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ผู้ตรวจราชการสำนักนายกรัฐมนตรี ผู้ตรวจราชการกระทรวง พร้อมทั้งที่ปรึกษาผู้ตรวจราชการ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ภาคประชาชน ทั้ง 4 ด้าน รองประธานคณะกรรมการธรรมาภิบาลจังหวัดได้ร่วมกันตรวจราชการตามแผนการตรวจราชการแบบบูรณาการ ประจำปีงบประมาณ พ.ศ. 2565 รอบที่ 1 เพื่อติดตามผลการดำเนินงานตามประเด็นนโยบายสำคัญของรัฐบาล (Issue) “การจัดการสิ่งแวดล้อมสีเขียวเพื่อความยั่งยืน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(BCG Model)” โดยประชุมร่วมกับผู้ว่าราชการจังหวัด รองผู้ว่าราชการจังหวัด และหน่วยงานที่เกี่ยวข้อง ในพื้นที่เขตตรวจราชการที่ ๑ ได้แก่ จังหวัดสิงห์บุรี ชัยนาท ลพบุรี สระบุรี พระนครศรีอยุธยา และอ่างทอง ระหว่างวันที่ 1 – 4 ,10 - 11 มีนาคม 2565 ตามลำดับ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 xml:space="preserve">การตรวจราชการแบบบูรณาการ ประจำปีงบประมาณ พ.ศ. ๒๕๖5 ในประเด็นการจัดการสิ่งแวดล้อมสีเขียวเพื่อความยั่งยืน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(BCG Model) เป็นหนึ่งในการขับเคลื่อนประเด็นนโยบายสำคัญของรัฐบาล ซึ่งมุ่งเน้นการใช้โมเดลเศรษฐกิจใหม่ ที่เรียกว่า “โมเดลเศรษฐกิจ BCG” เพื่อปรับเปลี่ยนรูปแบบการพัฒนาเศรษฐกิจและสังคม โดยอาศัยจุดแข็งของประเทศที่มีความหลากหลายทางชีวภาพ รวมทั้งมีการส่งเสริมและพัฒนาประเทศด้วยวิทยาศาสตร์ เทคโนโลยี และนวัตกรรม เพื่อสร้างการเติบโตทางเศรษฐกิจที่ยั่งยืน ตลอดจนรักษาฐานทรัพยากรและความหลากหลายทางชีวภาพให้สมดุล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>จากการตรวจติดตาม พบว่า หน่วยงานในจังหวัดมีการบูรณาการในการขับเคลื่อนพื้นที่สีเขียวลักษณะต่าง ๆ ประกอบด้วย 1) พื้นที่สีเขียวสาธารณะ เช่น สวนสาธารณะ สนามเด็กเล่น เป็นต้น องค์กรปกครองส่วนท้องถิ่น เป็นหน่วยงานหลักในการขับเคลื่อนการจัดการพื้นที่สีเขียว 2) พื้นที่สีเขียวอรรถประโยชน์ พื้นที่สีเขียวส่วนบุคคล พื้นที่สีเขียวในสถาบันการศึกษา และพื้นที่สีเขียวในพื้นที่สาธารณูปการ (พื้นที่ฝังกลบขยะ) จังหวัดได้มีการประสานงานให้ภาครัฐ องค์กรปกครองส่วนท้องถิ่น ภาคเอกชน ภาคประชาสังคม และ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ภาคประชาชน เข้ามามีส่วนร่วมในการดำเนินการ 3) พื้นที่สีเขียวที่เป็นริ้วยาวตามแนวสาธารณูปการ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เช่น พื้นที่ริมทางสัญจรทางบกบริเวณริมทาง เกาะกลางถนน บริเวณริมแม่น้ำ และคลองชลประทาน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องค์กรปกครองส่วนท้องถิ่น เป็นหน่วยงานหลักในการขับเคลื่อน 4) พื้นที่สีเขียวเพื่อเศรษฐกิจของชุมชน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โดยที่สำนักงานทรัพยากรธรรมชาติและสิ่งแวดล้อมจังหวัดอ่างทอง ได้ส่งเสริมการปลูกไม้เศรษฐกิจและปลูกสวนป่าให้กับประชาชน 5) พื้นที่สีเขียวธรรมชาติ โดยที่สำนักงานทรัพยากรธรรมชาติและสิ่งแวดล้อมจังหวัด สำนักจัดการทรัพยากรป่าไม้ และสำนักบริหารพื้นที่อนุรักษ์ เป็นหน่วยงานรับผิดชอบหลัก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6) พื้นที่สีเขียวที่ยังไมมีการใช้ประโยชน์ หรือรอการพัฒนา เช่น พื้นที่สีเขียวที่ปล่อยรกร้าง หน่วยงานที่เป็น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ผู้ถือครองกรรมสิทธิ์ หรือผู้รับผิดชอบพื้นที่นั้นๆ เป็นหน่วยงานหลักในการขับเคลื่อน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>ประเด็นปัญหาและอุปสรรคในการดำเนินการ พบว่า หน่วยงานที่เกี่ยวข้องดำเนินงานเพื่อขับเคลื่อนการจัดการสิ่งแวดล้อมสีเขียวด้วยงบประมาณที่กำหนดจากส่วนกลางโดยกระทรวง ทบวง กรม ส่งผ่านไปยังหน่วยงานหรือสำนักงานที่เป็นตัวแทนของกระทรวงในส่วนภูมิภาคหรือในเขตพื้นที่ของจังหวัด (Function) ตามขอบเขตอำนาจหน้าที่ของหน่วยงานเอง และขาดงบประมาณสนับสนุนการดำเนินงานในการขับเคลื่อนการพัฒนาประเทศด้วยโมเดลเศรษฐกิจ BCG โดยเฉพาะในระดับพื้นที่ รวมทั้ง เจ้าหน้าที่ในหน่วยงานที่เกี่ยวข้องยังขาดความรู้ความเข้าใจในการดำเนินงานขับเคลื่อนการพัฒนาประเทศด้วยโมเดลเศรษฐกิจ BCG ทำให้การจัดทำแผนงาน/โครงการอาจจะไม่สอดคล้องกับหลักการขับเคลื่อน ตลอดจนยังมีการนำงานวิจัยเกี่ยวกับเทคโนโลยีการจัดการสิ่งแวดล้อมสีเขียวมาประยุกต์ใช้ในการขับเคลื่อนภารกิจไม่มากเท่าที่ควร ในประเด็นการเพิ่มพื้นที่ป่าไม้และพื้นที่สีเขียว พบว่า งบประมาณในการดูแลรักษาพื้นที่ป่าไม้ค่อนข้างจำกัด ตลอดจนการจัดการแก้ปัญหาแนวเขตป่าชุมชนที่ทับซ้อนกับพื้นที่อื่น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ของรัฐทำได้ยาก ทำให้เกิดข้อจำกัดในการส่งเสริมการจัดการป่าชุมชน นอกจากนี้ บางจังหวัดในพื้นที่เขตตรวจราชการที่ 1 ไม่มีพื้นที่ป่าสงวนแห่งชาติหรืออุทยานแห่งชาติ และมีโบราณสถานจำนวนมาก จึงเป็นข้อจำกัดของสถานที่ เนื่องจากพื้นที่ส่วนใหญ่เป็นที่ที่มีผู้ถือครองกรรมสิทธิ์ ที่ราชพัสดุ และที่สาธารณประโยชน์ ทำให้การเพิ่มพื้นที่สีเขียวต้องประสานงานกับหลายหน่วยงาน ทั้งผู้ถือครองกรรมสิทธิ์ หรือผู้รับผิดชอบพื้นที่นั้นๆ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 xml:space="preserve">ดังนั้น คณะผู้ตรวจราชการจึงให้ข้อเสนอแนะระดับพื้นที่ 1) ขอให้หน่วยงานที่ดำเนินโครงการเกี่ยวกับการจัดการสิ่งแวดล้อมสีเขียว (BCG Model) เช่น การบริหารจัดการขยะ การพัฒนาพลังงานชีวภาพ และการพัฒนานวัตกรรมด้านการเกษตร ขับเคลื่อนโครงการในความรับผิดชอบอย่างต่อเนื่อง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เพื่อให้ผลการดำเนินงานเกิดประโยชน์ต่อประชาชน ๒) ขอให้จังหวัดพิจารณาองค์ประกอบของคณะทำงานขับเคลื่อน BCG Model ระดับจังหวัด โดยเชิญหน่วยงานที่มีความรู้ในนวัตกรรมและเทคโนโลยีใหม่ ๆ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อาทิ อาจารย์ในมหาวิทยาลัย เข้าร่วมเป็นคณะทำงานด้วย ๓) ขอให้หน่วยงานที่เกี่ยวข้องและ อปท. ประชาสัมพันธ์ รณรงค์สร้างความเข้าใจในการบริหารจัดการขยะในครัวเรือนให้แก่ประชาชน โดยเฉพาะการจัดการขยะเปียกให้ถูกวิธี เพื่อให้พื้นที่ชุมชนมีสภาพแวดล้อมที่ดีขึ้น รวมทั้งได้ให้ ข้อเสนอแนะระดับนโยบาย 1) ขอให้กระทรวงหลักที่มีภารกิจในการขับเคลื่อนการจัดการสิ่งแวดล้อมสีเขียวเพื่อความยั่งยืน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ตามแนวทางการพัฒนาเศรษฐกิจชีวภาพ เศรษฐกิจหมุนเวียน และเศรษฐกิจสีเขียว (BCG Model) จัดสรรงบประมาณสนับสนุนโครงการให้หน่วยงานในภูมิภาคเพิ่มเติม เพื่อให้เพียงพอในดำเนินโครงการได้อย่างมีประสิทธิภาพและเกิดผลสัมฤทธิ์ที่เป็นรูปธรรม ๒) ขอให้กระทรวงการอุดมศึกษา วิทยาศาสตร์ วิจัยและนวัตกรรม และกระทรวงหลักที่มีภารกิจในการขับเคลื่อนการขับเคลื่อนการจัดการสิ่งแวดล้อมสีเขียวเพื่อความยั่งยืนฯ ร่วมกันวางแผนเพื่อการนำผลงานวิจัยที่มีศักยภาพ มาประยุกต์ใช้ในภารกิจขับเคลื่อน BCG Model ของหน่วยงานต่าง ๆ ภายใต้กระทรวงดังกล่าว เพื่อให้การขับเคลื่อน BCG Model อยู่บนฐานของการใช้นวัตกรรมที่มาจากงานวิจัย ๓) ขอให้กระทรวงทรัพยากรธรรมชาติและสิ่งแวดล้อม ซึ่งเป็นหน่วยงานหลักในการจัดการสิ่งแวดล้อมสีเขียวเพื่อความยั่งยืนฯ นำเทคโนโลยีดิจิทัลมาใช้ในการสนับสนุนงานเพิ่มพื้นที่ป่าไม้/พื้นที่สีเขียว โดยประสานความร่วมมือกับกระทรวงดิจิทัลเพื่อเศรษฐกิจและสังคม กระทรวงการอุดมศึกษา วิทยาศาสตร์ วิจัยและนวัตกรรม สำนักงานพัฒนาเทคโนโลยีอวกาศและภูมิสารสนเทศ (องค์การมหาชน) ฯลฯ</w:t>
      </w:r>
      <w:r>
        <w:rPr>
          <w:lang w:val="en-US"/>
          <w:sz w:val="32"/>
          <w:szCs w:val="32"/>
        </w:rPr>
        <w:br/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 xml:space="preserve">1. </w:t>
      </w:r>
      <w:r>
        <w:rPr>
          <w:lang w:val="en-US"/>
          <w:sz w:val="32"/>
          <w:szCs w:val="32"/>
        </w:rPr>
        <w:tab/>
      </w:r>
      <w:r>
        <w:rPr>
          <w:lang w:val="en-US"/>
          <w:sz w:val="32"/>
          <w:szCs w:val="32"/>
        </w:rPr>
        <w:t>ขอให้กระทรวงหลัก(กระทรวงทรัพยากรธรรมชาติและสิ่งแวดล้อม/กระทรวงเกษตรและสหกรณ์/กระทรวงอุตสาหกรรม/กระทรวงพลังงาน/กระทรวงการอุดมศึกษา วิทยาศาสตร์ วิจัยและนวัตกรรม)ที่มีภารกิจในการขับเคลื่อนการจัดการสิ่งแวดล้อมสีเขียวเพื่อความยั่งยืน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(BCG Model) จัดสรรงบประมาณสนับสนุนโครงการให้หน่วยงานในภูมิภาคเพิ่มเติม เพื่อให้เพียงพอในดำเนินโครงการได้อย่างมีประสิทธิภาพและเกิดผลสัมฤทธิ์ที่เป็นรูปธรรม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2. ขอให้กระทรวงการอุดมศึกษา วิทยาศาสตร์ วิจัยและนวัตกรรม และกระทรวงหลักที่มีภารกิจในการขับเคลื่อนการขับเคลื่อนการจัดการสิ่งแวดล้อม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สีเขียวเพื่อความยั่งยืนฯ (กระทรวงการอุดมศึกษา วิทยาศาสตร์ วิจัยและนวัตกรรม/กระทรวงทรัพยากรธรรมชาติและสิ่งแวดล้อม/กระทรวงเกษตรและสหกรณ์/กระทรวงอุตสาหกรรม/กระทรวงพลังงาน) ร่วมกันวางแผนเพื่อการนำผลงานวิจัยที่มีศักยภาพ มาประยุกต์ใช้ในภารกิจขับเคลื่อน BCG Model ของหน่วยงานต่าง ๆ ภายใต้กระทรวงดังกล่าว เพื่อให้การขับเคลื่อน BCG Model อยู่บนฐานของการใช้นวัตกรรมที่มาจากงานวิจัย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3. ขอให้กระทรวงทรัพยากรธรรมชาติและสิ่งแวดล้อม (กระทรวงทรัพยากรธรรมชาติและสิ่งแวดล้อม/กระทรวงดิจิทัลเพื่อเศรษฐกิจและสังคม/กระทรวงการอุดมศึกษา วิทยาศาสตร์ วิจัยและนวัตกรรม/ สำนักงานพัฒนาเทคโนโลยีอวกาศและภูมิสารสนเทศ (องค์การมหาชน) ) ซึ่งเป็นหน่วยงานหลักในการจัดการสิ่งแวดล้อมสีเขียวเพื่อความยั่งยืนฯ นำเทคโนโลยีดิจิทัลมาใช้ในการสนับสนุนงานเพิ่มพื้นที่ป่าไม้/พื้นที่สีเขียว โดยประสานความร่วมมือกับกระทรวงดิจิทัลเพื่อเศรษฐกิจและสังคม กระทรวงการอุดมศึกษา วิทยาศาสตร์ วิจัยและนวัตกรรม สำนักงานพัฒนาเทคโนโลยีอวกาศและภูมิสารสนเทศ (องค์การมหาชน) ฯลฯ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br/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en-US"/>
          <w:sz w:val="32"/>
          <w:szCs w:val="32"/>
        </w:rPr>
        <w:t>null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a383ba88b354be0"/>
      <w:headerReference w:type="first" r:id="R5ae23a71edf342fc"/>
      <w:headerReference w:type="default" r:id="R9593d2c6338f446e"/>
      <w:footerReference w:type="even" r:id="Rb43f35543cf44a69"/>
      <w:footerReference w:type="first" r:id="R356f35464fa84755"/>
      <w:footerReference w:type="default" r:id="R1293f735c3c44f89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11:59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11:59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11:59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0de3b3429b4253" /><Relationship Type="http://schemas.openxmlformats.org/officeDocument/2006/relationships/numbering" Target="/word/numbering.xml" Id="R01d527a796054687" /><Relationship Type="http://schemas.openxmlformats.org/officeDocument/2006/relationships/settings" Target="/word/settings.xml" Id="R4b9d913823264a67" /><Relationship Type="http://schemas.openxmlformats.org/officeDocument/2006/relationships/header" Target="/word/header1.xml" Id="R8a383ba88b354be0" /><Relationship Type="http://schemas.openxmlformats.org/officeDocument/2006/relationships/header" Target="/word/header2.xml" Id="R5ae23a71edf342fc" /><Relationship Type="http://schemas.openxmlformats.org/officeDocument/2006/relationships/header" Target="/word/header3.xml" Id="R9593d2c6338f446e" /><Relationship Type="http://schemas.openxmlformats.org/officeDocument/2006/relationships/footer" Target="/word/footer1.xml" Id="Rb43f35543cf44a69" /><Relationship Type="http://schemas.openxmlformats.org/officeDocument/2006/relationships/footer" Target="/word/footer2.xml" Id="R356f35464fa84755" /><Relationship Type="http://schemas.openxmlformats.org/officeDocument/2006/relationships/footer" Target="/word/footer3.xml" Id="R1293f735c3c44f89" /><Relationship Type="http://schemas.openxmlformats.org/officeDocument/2006/relationships/image" Target="/word/media/9cc91972-7195-434d-abf4-2dba2f651df4.png" Id="R25f87127980d4117" /></Relationships>
</file>