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f42ffbcbc46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e74bb299a64412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การลดอุบัติเหตุทางถนน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รอบที่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กรมประชาสัมพันธ์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13(จังหวัด: ชัยภูมิ)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การลดอุบัติเหตุทางถนน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การตรวจติดตามความคืบหน้าการแก้ไขปัญหาสำคัญในเชิงพื้นที่ การลดอุบัติเหตุทางถนนประจำปีงบประมาณ พ.ศ. 2565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จังหวัดและหน่วยงานที่เกี่ยวข้องดำเนินการเป็นไปตามมาตรการที่ส่วนกลางกำหนด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ควรบังคับใช้กฎหมายอย่างเคร่งครัด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มอบหน่วยงานที่เกี่ยวข้องไปปฏิบัติ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4eefa77eb6e4ed1"/>
      <w:headerReference w:type="first" r:id="R7a8acd4cec7344bc"/>
      <w:headerReference w:type="default" r:id="R2e73484634944973"/>
      <w:footerReference w:type="even" r:id="R75b909d65769447a"/>
      <w:footerReference w:type="first" r:id="Rbdf30d1c7f614193"/>
      <w:footerReference w:type="default" r:id="Raeea2e2f46784246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f517032e3641c7" /><Relationship Type="http://schemas.openxmlformats.org/officeDocument/2006/relationships/numbering" Target="/word/numbering.xml" Id="R815d59bd72d3475d" /><Relationship Type="http://schemas.openxmlformats.org/officeDocument/2006/relationships/settings" Target="/word/settings.xml" Id="Rcc404428b503492f" /><Relationship Type="http://schemas.openxmlformats.org/officeDocument/2006/relationships/header" Target="/word/header1.xml" Id="R34eefa77eb6e4ed1" /><Relationship Type="http://schemas.openxmlformats.org/officeDocument/2006/relationships/header" Target="/word/header2.xml" Id="R7a8acd4cec7344bc" /><Relationship Type="http://schemas.openxmlformats.org/officeDocument/2006/relationships/header" Target="/word/header3.xml" Id="R2e73484634944973" /><Relationship Type="http://schemas.openxmlformats.org/officeDocument/2006/relationships/footer" Target="/word/footer1.xml" Id="R75b909d65769447a" /><Relationship Type="http://schemas.openxmlformats.org/officeDocument/2006/relationships/footer" Target="/word/footer2.xml" Id="Rbdf30d1c7f614193" /><Relationship Type="http://schemas.openxmlformats.org/officeDocument/2006/relationships/footer" Target="/word/footer3.xml" Id="Raeea2e2f46784246" /><Relationship Type="http://schemas.openxmlformats.org/officeDocument/2006/relationships/image" Target="/word/media/c00590f2-6017-485c-931a-28b3b95167f1.png" Id="Rce74bb299a644121" /></Relationships>
</file>