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Calibri" w:cs="Calibri" w:eastAsia="Calibri" w:hAnsi="Calibri"/>
          <w:b/>
          <w:bCs/>
          <w:color w:val="7F7F7F"/>
          <w:spacing w:val="80"/>
          <w:sz w:val="28"/>
          <w:szCs w:val="28"/>
        </w:rPr>
        <w:t xml:space="preserve">PROJECT REPORT</w:t>
      </w:r>
    </w:p>
    <w:p>
      <w:pPr>
        <w:pBdr>
          <w:bottom w:val="single" w:color="1F4E79" w:sz="12" w:space="12"/>
        </w:pBdr>
        <w:spacing w:after="200" w:before="500"/>
        <w:jc w:val="center"/>
      </w:pPr>
      <w:r>
        <w:rPr>
          <w:rFonts w:ascii="Calibri" w:cs="Calibri" w:eastAsia="Calibri" w:hAnsi="Calibri"/>
          <w:b/>
          <w:bCs/>
          <w:color w:val="1F4E79"/>
          <w:sz w:val="68"/>
          <w:szCs w:val="68"/>
        </w:rPr>
        <w:t xml:space="preserve">NORTHWIND TRADE</w:t>
      </w:r>
    </w:p>
    <w:p>
      <w:pPr>
        <w:spacing w:after="600" w:before="200"/>
        <w:jc w:val="center"/>
      </w:pPr>
      <w:r>
        <w:rPr>
          <w:rFonts w:ascii="Calibri" w:cs="Calibri" w:eastAsia="Calibri" w:hAnsi="Calibri"/>
          <w:color w:val="404040"/>
          <w:sz w:val="30"/>
          <w:szCs w:val="30"/>
        </w:rPr>
        <w:t xml:space="preserve">Sales Performance Analysis Using an Interactive Power BI Dashboard</w:t>
      </w:r>
    </w:p>
    <w:p>
      <w:pPr>
        <w:spacing w:after="80" w:before="600"/>
        <w:jc w:val="center"/>
      </w:pPr>
      <w:r>
        <w:rPr>
          <w:rFonts w:ascii="Calibri" w:cs="Calibri" w:eastAsia="Calibri" w:hAnsi="Calibri"/>
          <w:color w:val="7F7F7F"/>
          <w:sz w:val="22"/>
          <w:szCs w:val="22"/>
        </w:rPr>
        <w:t xml:space="preserve">Submitted by</w:t>
      </w:r>
    </w:p>
    <w:p>
      <w:pPr>
        <w:spacing w:after="80"/>
        <w:jc w:val="center"/>
      </w:pPr>
      <w:r>
        <w:rPr>
          <w:rFonts w:ascii="Calibri" w:cs="Calibri" w:eastAsia="Calibri" w:hAnsi="Calibri"/>
          <w:b/>
          <w:bCs/>
          <w:sz w:val="36"/>
          <w:szCs w:val="36"/>
        </w:rPr>
        <w:t xml:space="preserve">G. SARANRAJ</w:t>
      </w:r>
    </w:p>
    <w:p>
      <w:pPr>
        <w:spacing w:after="80"/>
        <w:jc w:val="center"/>
      </w:pPr>
      <w:r>
        <w:rPr>
          <w:rFonts w:ascii="Calibri" w:cs="Calibri" w:eastAsia="Calibri" w:hAnsi="Calibri"/>
          <w:sz w:val="28"/>
          <w:szCs w:val="28"/>
        </w:rPr>
        <w:t xml:space="preserve">B.Com FinTech with AI</w:t>
      </w:r>
    </w:p>
    <w:p>
      <w:pPr>
        <w:spacing w:before="1200"/>
        <w:jc w:val="center"/>
      </w:pPr>
      <w:r>
        <w:rPr>
          <w:rFonts w:ascii="Calibri" w:cs="Calibri" w:eastAsia="Calibri" w:hAnsi="Calibri"/>
          <w:color w:val="7F7F7F"/>
          <w:sz w:val="22"/>
          <w:szCs w:val="22"/>
        </w:rPr>
        <w:t xml:space="preserve">Academic Year 2026</w:t>
      </w:r>
    </w:p>
    <w:p>
      <w:r>
        <w:br w:type="page"/>
      </w:r>
    </w:p>
    <w:p>
      <w:pPr>
        <w:sectPr>
          <w:pgSz w:w="11906" w:h="16838" w:orient="portrait"/>
          <w:pgMar w:top="1440" w:right="1440" w:bottom="1440" w:left="1440" w:header="708" w:footer="708" w:gutter="0"/>
          <w:pgNumType/>
          <w:docGrid w:linePitch="360"/>
        </w:sectPr>
      </w:pPr>
    </w:p>
    <w:p>
      <w:pPr>
        <w:pStyle w:val="Heading1"/>
        <w:spacing w:after="160" w:before="240"/>
      </w:pPr>
      <w:r>
        <w:rPr>
          <w:rFonts w:ascii="Calibri" w:cs="Calibri" w:eastAsia="Calibri" w:hAnsi="Calibri"/>
          <w:b/>
          <w:bCs/>
          <w:color w:val="1F4E79"/>
          <w:sz w:val="32"/>
          <w:szCs w:val="32"/>
        </w:rPr>
        <w:t xml:space="preserve">Table of Contents</w:t>
      </w:r>
    </w:p>
    <w:p>
      <w:pPr>
        <w:spacing w:after="130"/>
      </w:pPr>
      <w:r>
        <w:rPr>
          <w:rFonts w:ascii="Calibri" w:cs="Calibri" w:eastAsia="Calibri" w:hAnsi="Calibri"/>
          <w:sz w:val="24"/>
          <w:szCs w:val="24"/>
        </w:rPr>
        <w:t xml:space="preserve">1. Introduction</w:t>
      </w:r>
    </w:p>
    <w:p>
      <w:pPr>
        <w:spacing w:after="130"/>
      </w:pPr>
      <w:r>
        <w:rPr>
          <w:rFonts w:ascii="Calibri" w:cs="Calibri" w:eastAsia="Calibri" w:hAnsi="Calibri"/>
          <w:sz w:val="24"/>
          <w:szCs w:val="24"/>
        </w:rPr>
        <w:t xml:space="preserve">2. Objectives and Scope</w:t>
      </w:r>
    </w:p>
    <w:p>
      <w:pPr>
        <w:spacing w:after="130"/>
      </w:pPr>
      <w:r>
        <w:rPr>
          <w:rFonts w:ascii="Calibri" w:cs="Calibri" w:eastAsia="Calibri" w:hAnsi="Calibri"/>
          <w:sz w:val="24"/>
          <w:szCs w:val="24"/>
        </w:rPr>
        <w:t xml:space="preserve">3. About Northwind Trade and the Dataset</w:t>
      </w:r>
    </w:p>
    <w:p>
      <w:pPr>
        <w:spacing w:after="130"/>
      </w:pPr>
      <w:r>
        <w:rPr>
          <w:rFonts w:ascii="Calibri" w:cs="Calibri" w:eastAsia="Calibri" w:hAnsi="Calibri"/>
          <w:sz w:val="24"/>
          <w:szCs w:val="24"/>
        </w:rPr>
        <w:t xml:space="preserve">4. Tools and Methodology</w:t>
      </w:r>
    </w:p>
    <w:p>
      <w:pPr>
        <w:spacing w:after="130"/>
      </w:pPr>
      <w:r>
        <w:rPr>
          <w:rFonts w:ascii="Calibri" w:cs="Calibri" w:eastAsia="Calibri" w:hAnsi="Calibri"/>
          <w:sz w:val="24"/>
          <w:szCs w:val="24"/>
        </w:rPr>
        <w:t xml:space="preserve">5. Key Performance Indicators (KPIs)</w:t>
      </w:r>
    </w:p>
    <w:p>
      <w:pPr>
        <w:spacing w:after="130"/>
      </w:pPr>
      <w:r>
        <w:rPr>
          <w:rFonts w:ascii="Calibri" w:cs="Calibri" w:eastAsia="Calibri" w:hAnsi="Calibri"/>
          <w:sz w:val="24"/>
          <w:szCs w:val="24"/>
        </w:rPr>
        <w:t xml:space="preserve">6. Sales Analysis by Product Category</w:t>
      </w:r>
    </w:p>
    <w:p>
      <w:pPr>
        <w:spacing w:after="130"/>
      </w:pPr>
      <w:r>
        <w:rPr>
          <w:rFonts w:ascii="Calibri" w:cs="Calibri" w:eastAsia="Calibri" w:hAnsi="Calibri"/>
          <w:sz w:val="24"/>
          <w:szCs w:val="24"/>
        </w:rPr>
        <w:t xml:space="preserve">7. Monthly Order Trend</w:t>
      </w:r>
    </w:p>
    <w:p>
      <w:pPr>
        <w:spacing w:after="130"/>
      </w:pPr>
      <w:r>
        <w:rPr>
          <w:rFonts w:ascii="Calibri" w:cs="Calibri" w:eastAsia="Calibri" w:hAnsi="Calibri"/>
          <w:sz w:val="24"/>
          <w:szCs w:val="24"/>
        </w:rPr>
        <w:t xml:space="preserve">8. Employee Performance Analysis</w:t>
      </w:r>
    </w:p>
    <w:p>
      <w:pPr>
        <w:spacing w:after="130"/>
      </w:pPr>
      <w:r>
        <w:rPr>
          <w:rFonts w:ascii="Calibri" w:cs="Calibri" w:eastAsia="Calibri" w:hAnsi="Calibri"/>
          <w:sz w:val="24"/>
          <w:szCs w:val="24"/>
        </w:rPr>
        <w:t xml:space="preserve">9. Customer Analysis by Country</w:t>
      </w:r>
    </w:p>
    <w:p>
      <w:pPr>
        <w:spacing w:after="130"/>
      </w:pPr>
      <w:r>
        <w:rPr>
          <w:rFonts w:ascii="Calibri" w:cs="Calibri" w:eastAsia="Calibri" w:hAnsi="Calibri"/>
          <w:sz w:val="24"/>
          <w:szCs w:val="24"/>
        </w:rPr>
        <w:t xml:space="preserve">10. Product-Level Analysis</w:t>
      </w:r>
    </w:p>
    <w:p>
      <w:pPr>
        <w:spacing w:after="130"/>
      </w:pPr>
      <w:r>
        <w:rPr>
          <w:rFonts w:ascii="Calibri" w:cs="Calibri" w:eastAsia="Calibri" w:hAnsi="Calibri"/>
          <w:sz w:val="24"/>
          <w:szCs w:val="24"/>
        </w:rPr>
        <w:t xml:space="preserve">11. Dashboard Design and Interactivity</w:t>
      </w:r>
    </w:p>
    <w:p>
      <w:pPr>
        <w:spacing w:after="130"/>
      </w:pPr>
      <w:r>
        <w:rPr>
          <w:rFonts w:ascii="Calibri" w:cs="Calibri" w:eastAsia="Calibri" w:hAnsi="Calibri"/>
          <w:sz w:val="24"/>
          <w:szCs w:val="24"/>
        </w:rPr>
        <w:t xml:space="preserve">12. Key Findings</w:t>
      </w:r>
    </w:p>
    <w:p>
      <w:pPr>
        <w:spacing w:after="130"/>
      </w:pPr>
      <w:r>
        <w:rPr>
          <w:rFonts w:ascii="Calibri" w:cs="Calibri" w:eastAsia="Calibri" w:hAnsi="Calibri"/>
          <w:sz w:val="24"/>
          <w:szCs w:val="24"/>
        </w:rPr>
        <w:t xml:space="preserve">13. Recommendations</w:t>
      </w:r>
    </w:p>
    <w:p>
      <w:pPr>
        <w:spacing w:after="130"/>
      </w:pPr>
      <w:r>
        <w:rPr>
          <w:rFonts w:ascii="Calibri" w:cs="Calibri" w:eastAsia="Calibri" w:hAnsi="Calibri"/>
          <w:sz w:val="24"/>
          <w:szCs w:val="24"/>
        </w:rPr>
        <w:t xml:space="preserve">14. Relevance to FinTech and AI</w:t>
      </w:r>
    </w:p>
    <w:p>
      <w:pPr>
        <w:spacing w:after="130"/>
      </w:pPr>
      <w:r>
        <w:rPr>
          <w:rFonts w:ascii="Calibri" w:cs="Calibri" w:eastAsia="Calibri" w:hAnsi="Calibri"/>
          <w:sz w:val="24"/>
          <w:szCs w:val="24"/>
        </w:rPr>
        <w:t xml:space="preserve">15. Conclusion</w:t>
      </w:r>
    </w:p>
    <w:p>
      <w:pPr>
        <w:spacing w:after="130"/>
      </w:pPr>
      <w:r>
        <w:rPr>
          <w:rFonts w:ascii="Calibri" w:cs="Calibri" w:eastAsia="Calibri" w:hAnsi="Calibri"/>
          <w:sz w:val="24"/>
          <w:szCs w:val="24"/>
        </w:rPr>
        <w:t xml:space="preserve">Appendix: Dashboard Screenshots</w:t>
      </w:r>
    </w:p>
    <w:p>
      <w:r>
        <w:br w:type="page"/>
      </w:r>
    </w:p>
    <w:p>
      <w:pPr>
        <w:pStyle w:val="Heading1"/>
        <w:spacing w:after="160" w:before="240"/>
      </w:pPr>
      <w:r>
        <w:rPr>
          <w:rFonts w:ascii="Calibri" w:cs="Calibri" w:eastAsia="Calibri" w:hAnsi="Calibri"/>
          <w:b/>
          <w:bCs/>
          <w:color w:val="1F4E79"/>
          <w:sz w:val="32"/>
          <w:szCs w:val="32"/>
        </w:rPr>
        <w:t xml:space="preserve">1. Introduction</w:t>
      </w:r>
    </w:p>
    <w:p>
      <w:pPr>
        <w:spacing w:after="120" w:line="300"/>
        <w:jc w:val="both"/>
      </w:pPr>
      <w:r>
        <w:rPr>
          <w:rFonts w:ascii="Calibri" w:cs="Calibri" w:eastAsia="Calibri" w:hAnsi="Calibri"/>
          <w:sz w:val="22"/>
          <w:szCs w:val="22"/>
        </w:rPr>
        <w:t xml:space="preserve">Northwind Traders is a well-known sample trading company that imports and exports specialty food products to customers around the world. Its database is widely used in business analytics education because it contains realistic information on orders, customers, products, categories, employees and freight.</w:t>
      </w:r>
    </w:p>
    <w:p>
      <w:pPr>
        <w:spacing w:after="120" w:line="300"/>
        <w:jc w:val="both"/>
      </w:pPr>
      <w:r>
        <w:rPr>
          <w:rFonts w:ascii="Calibri" w:cs="Calibri" w:eastAsia="Calibri" w:hAnsi="Calibri"/>
          <w:sz w:val="22"/>
          <w:szCs w:val="22"/>
        </w:rPr>
        <w:t xml:space="preserve">This report presents a sales performance analysis of Northwind Trade built around an interactive Power BI dashboard titled the Northwind Sales Dashboard. The dashboard converts raw transactional data into clear indicators and visuals that help management understand how much the company sells, what it sells, who sells it, and where its customers are located.</w:t>
      </w:r>
    </w:p>
    <w:p>
      <w:pPr>
        <w:spacing w:after="120" w:line="300"/>
        <w:jc w:val="both"/>
      </w:pPr>
      <w:r>
        <w:rPr>
          <w:rFonts w:ascii="Calibri" w:cs="Calibri" w:eastAsia="Calibri" w:hAnsi="Calibri"/>
          <w:sz w:val="22"/>
          <w:szCs w:val="22"/>
        </w:rPr>
        <w:t xml:space="preserve">The report is prepared as part of the B.Com FinTech with AI programme and shows how data analytics tools can support financial and commercial decision-making.</w:t>
      </w:r>
    </w:p>
    <w:p>
      <w:pPr>
        <w:pStyle w:val="Heading1"/>
        <w:spacing w:after="160" w:before="240"/>
      </w:pPr>
      <w:r>
        <w:rPr>
          <w:rFonts w:ascii="Calibri" w:cs="Calibri" w:eastAsia="Calibri" w:hAnsi="Calibri"/>
          <w:b/>
          <w:bCs/>
          <w:color w:val="1F4E79"/>
          <w:sz w:val="32"/>
          <w:szCs w:val="32"/>
        </w:rPr>
        <w:t xml:space="preserve">2. Objectives and Scope</w:t>
      </w:r>
    </w:p>
    <w:p>
      <w:pPr>
        <w:pStyle w:val="Heading2"/>
        <w:spacing w:after="100" w:before="160"/>
      </w:pPr>
      <w:r>
        <w:rPr>
          <w:rFonts w:ascii="Calibri" w:cs="Calibri" w:eastAsia="Calibri" w:hAnsi="Calibri"/>
          <w:b/>
          <w:bCs/>
          <w:color w:val="2E75B6"/>
          <w:sz w:val="26"/>
          <w:szCs w:val="26"/>
        </w:rPr>
        <w:t xml:space="preserve">2.1 Objectives</w:t>
      </w:r>
    </w:p>
    <w:p>
      <w:pPr>
        <w:pStyle w:val="ListParagraph"/>
        <w:numPr>
          <w:ilvl w:val="0"/>
          <w:numId w:val="2"/>
        </w:numPr>
        <w:spacing w:after="80" w:line="290"/>
      </w:pPr>
      <w:r>
        <w:rPr>
          <w:rFonts w:ascii="Calibri" w:cs="Calibri" w:eastAsia="Calibri" w:hAnsi="Calibri"/>
          <w:sz w:val="22"/>
          <w:szCs w:val="22"/>
        </w:rPr>
        <w:t xml:space="preserve">To measure the overall sales performance of Northwind Trade using headline KPIs.</w:t>
      </w:r>
    </w:p>
    <w:p>
      <w:pPr>
        <w:pStyle w:val="ListParagraph"/>
        <w:numPr>
          <w:ilvl w:val="0"/>
          <w:numId w:val="2"/>
        </w:numPr>
        <w:spacing w:after="80" w:line="290"/>
      </w:pPr>
      <w:r>
        <w:rPr>
          <w:rFonts w:ascii="Calibri" w:cs="Calibri" w:eastAsia="Calibri" w:hAnsi="Calibri"/>
          <w:sz w:val="22"/>
          <w:szCs w:val="22"/>
        </w:rPr>
        <w:t xml:space="preserve">To identify the strongest and weakest product categories by sales value.</w:t>
      </w:r>
    </w:p>
    <w:p>
      <w:pPr>
        <w:pStyle w:val="ListParagraph"/>
        <w:numPr>
          <w:ilvl w:val="0"/>
          <w:numId w:val="2"/>
        </w:numPr>
        <w:spacing w:after="80" w:line="290"/>
      </w:pPr>
      <w:r>
        <w:rPr>
          <w:rFonts w:ascii="Calibri" w:cs="Calibri" w:eastAsia="Calibri" w:hAnsi="Calibri"/>
          <w:sz w:val="22"/>
          <w:szCs w:val="22"/>
        </w:rPr>
        <w:t xml:space="preserve">To study seasonal patterns in the number of orders received each month.</w:t>
      </w:r>
    </w:p>
    <w:p>
      <w:pPr>
        <w:pStyle w:val="ListParagraph"/>
        <w:numPr>
          <w:ilvl w:val="0"/>
          <w:numId w:val="2"/>
        </w:numPr>
        <w:spacing w:after="80" w:line="290"/>
      </w:pPr>
      <w:r>
        <w:rPr>
          <w:rFonts w:ascii="Calibri" w:cs="Calibri" w:eastAsia="Calibri" w:hAnsi="Calibri"/>
          <w:sz w:val="22"/>
          <w:szCs w:val="22"/>
        </w:rPr>
        <w:t xml:space="preserve">To compare the order-handling performance of sales employees.</w:t>
      </w:r>
    </w:p>
    <w:p>
      <w:pPr>
        <w:pStyle w:val="ListParagraph"/>
        <w:numPr>
          <w:ilvl w:val="0"/>
          <w:numId w:val="2"/>
        </w:numPr>
        <w:spacing w:after="80" w:line="290"/>
      </w:pPr>
      <w:r>
        <w:rPr>
          <w:rFonts w:ascii="Calibri" w:cs="Calibri" w:eastAsia="Calibri" w:hAnsi="Calibri"/>
          <w:sz w:val="22"/>
          <w:szCs w:val="22"/>
        </w:rPr>
        <w:t xml:space="preserve">To understand the geographic spread of the customer base.</w:t>
      </w:r>
    </w:p>
    <w:p>
      <w:pPr>
        <w:pStyle w:val="ListParagraph"/>
        <w:numPr>
          <w:ilvl w:val="0"/>
          <w:numId w:val="2"/>
        </w:numPr>
        <w:spacing w:after="80" w:line="290"/>
      </w:pPr>
      <w:r>
        <w:rPr>
          <w:rFonts w:ascii="Calibri" w:cs="Calibri" w:eastAsia="Calibri" w:hAnsi="Calibri"/>
          <w:sz w:val="22"/>
          <w:szCs w:val="22"/>
        </w:rPr>
        <w:t xml:space="preserve">To suggest practical, data-backed actions for improving sales and controlling freight cost.</w:t>
      </w:r>
    </w:p>
    <w:p>
      <w:pPr>
        <w:pStyle w:val="Heading2"/>
        <w:spacing w:after="100" w:before="160"/>
      </w:pPr>
      <w:r>
        <w:rPr>
          <w:rFonts w:ascii="Calibri" w:cs="Calibri" w:eastAsia="Calibri" w:hAnsi="Calibri"/>
          <w:b/>
          <w:bCs/>
          <w:color w:val="2E75B6"/>
          <w:sz w:val="26"/>
          <w:szCs w:val="26"/>
        </w:rPr>
        <w:t xml:space="preserve">2.2 Scope</w:t>
      </w:r>
    </w:p>
    <w:p>
      <w:pPr>
        <w:spacing w:after="120" w:line="300"/>
        <w:jc w:val="both"/>
      </w:pPr>
      <w:r>
        <w:rPr>
          <w:rFonts w:ascii="Calibri" w:cs="Calibri" w:eastAsia="Calibri" w:hAnsi="Calibri"/>
          <w:sz w:val="22"/>
          <w:szCs w:val="22"/>
        </w:rPr>
        <w:t xml:space="preserve">The analysis covers the four dashboard pages: Sales Overviews, Products &amp; Customer analysis, Sales Dashboard (with filters) and Tool tips. Figures are taken from the dashboard. Values for monthly orders, employee orders and category sales were read from the charts and are therefore approximate; headline KPIs and product table values are exact as displayed.</w:t>
      </w:r>
    </w:p>
    <w:p>
      <w:pPr>
        <w:pStyle w:val="Heading1"/>
        <w:spacing w:after="160" w:before="240"/>
      </w:pPr>
      <w:r>
        <w:rPr>
          <w:rFonts w:ascii="Calibri" w:cs="Calibri" w:eastAsia="Calibri" w:hAnsi="Calibri"/>
          <w:b/>
          <w:bCs/>
          <w:color w:val="1F4E79"/>
          <w:sz w:val="32"/>
          <w:szCs w:val="32"/>
        </w:rPr>
        <w:t xml:space="preserve">3. About Northwind Trade and the Dataset</w:t>
      </w:r>
    </w:p>
    <w:p>
      <w:pPr>
        <w:spacing w:after="120" w:line="300"/>
        <w:jc w:val="both"/>
      </w:pPr>
      <w:r>
        <w:rPr>
          <w:rFonts w:ascii="Calibri" w:cs="Calibri" w:eastAsia="Calibri" w:hAnsi="Calibri"/>
          <w:sz w:val="22"/>
          <w:szCs w:val="22"/>
        </w:rPr>
        <w:t xml:space="preserve">The dataset follows the classic Northwind relational structure. The main entities used in the dashboard are listed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Table / Entity</w:t>
            </w:r>
          </w:p>
        </w:tc>
        <w:tc>
          <w:tcPr>
            <w:tcW w:type="dxa" w:w="68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Description</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color w:val="000000"/>
                <w:sz w:val="20"/>
                <w:szCs w:val="20"/>
              </w:rPr>
              <w:t xml:space="preserve">Orders</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color w:val="000000"/>
                <w:sz w:val="20"/>
                <w:szCs w:val="20"/>
              </w:rPr>
              <w:t xml:space="preserve">Each customer order with date, freight charge and responsible employee</w:t>
            </w:r>
          </w:p>
        </w:tc>
      </w:tr>
      <w:tr>
        <w:tc>
          <w:tcPr>
            <w:tcW w:type="dxa" w:w="22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color w:val="000000"/>
                <w:sz w:val="20"/>
                <w:szCs w:val="20"/>
              </w:rPr>
              <w:t xml:space="preserve">Order Details</w:t>
            </w:r>
          </w:p>
        </w:tc>
        <w:tc>
          <w:tcPr>
            <w:tcW w:type="dxa" w:w="6826"/>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color w:val="000000"/>
                <w:sz w:val="20"/>
                <w:szCs w:val="20"/>
              </w:rPr>
              <w:t xml:space="preserve">Products, unit price and quantity sold on every order</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color w:val="000000"/>
                <w:sz w:val="20"/>
                <w:szCs w:val="20"/>
              </w:rPr>
              <w:t xml:space="preserve">Products</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color w:val="000000"/>
                <w:sz w:val="20"/>
                <w:szCs w:val="20"/>
              </w:rPr>
              <w:t xml:space="preserve">Product name and the category it belongs to</w:t>
            </w:r>
          </w:p>
        </w:tc>
      </w:tr>
      <w:tr>
        <w:tc>
          <w:tcPr>
            <w:tcW w:type="dxa" w:w="22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color w:val="000000"/>
                <w:sz w:val="20"/>
                <w:szCs w:val="20"/>
              </w:rPr>
              <w:t xml:space="preserve">Categories</w:t>
            </w:r>
          </w:p>
        </w:tc>
        <w:tc>
          <w:tcPr>
            <w:tcW w:type="dxa" w:w="6826"/>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color w:val="000000"/>
                <w:sz w:val="20"/>
                <w:szCs w:val="20"/>
              </w:rPr>
              <w:t xml:space="preserve">Eight product groups such as Beverages and Dairy Products</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color w:val="000000"/>
                <w:sz w:val="20"/>
                <w:szCs w:val="20"/>
              </w:rPr>
              <w:t xml:space="preserve">Customers</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color w:val="000000"/>
                <w:sz w:val="20"/>
                <w:szCs w:val="20"/>
              </w:rPr>
              <w:t xml:space="preserve">91 customers across 21 countries</w:t>
            </w:r>
          </w:p>
        </w:tc>
      </w:tr>
      <w:tr>
        <w:tc>
          <w:tcPr>
            <w:tcW w:type="dxa" w:w="22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color w:val="000000"/>
                <w:sz w:val="20"/>
                <w:szCs w:val="20"/>
              </w:rPr>
              <w:t xml:space="preserve">Employees</w:t>
            </w:r>
          </w:p>
        </w:tc>
        <w:tc>
          <w:tcPr>
            <w:tcW w:type="dxa" w:w="6826"/>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color w:val="000000"/>
                <w:sz w:val="20"/>
                <w:szCs w:val="20"/>
              </w:rPr>
              <w:t xml:space="preserve">Sales staff who handle the orders</w:t>
            </w:r>
          </w:p>
        </w:tc>
      </w:tr>
    </w:tbl>
    <w:p>
      <w:pPr>
        <w:spacing w:after="200" w:before="60"/>
        <w:jc w:val="center"/>
      </w:pPr>
      <w:r>
        <w:rPr>
          <w:rFonts w:ascii="Calibri" w:cs="Calibri" w:eastAsia="Calibri" w:hAnsi="Calibri"/>
          <w:i/>
          <w:iCs/>
          <w:color w:val="555555"/>
          <w:sz w:val="19"/>
          <w:szCs w:val="19"/>
        </w:rPr>
        <w:t xml:space="preserve">Table 1: Main data entities used in the dashboard</w:t>
      </w:r>
    </w:p>
    <w:p>
      <w:pPr>
        <w:pStyle w:val="Heading1"/>
        <w:spacing w:after="160" w:before="240"/>
      </w:pPr>
      <w:r>
        <w:rPr>
          <w:rFonts w:ascii="Calibri" w:cs="Calibri" w:eastAsia="Calibri" w:hAnsi="Calibri"/>
          <w:b/>
          <w:bCs/>
          <w:color w:val="1F4E79"/>
          <w:sz w:val="32"/>
          <w:szCs w:val="32"/>
        </w:rPr>
        <w:t xml:space="preserve">4. Tools and Methodology</w:t>
      </w:r>
    </w:p>
    <w:p>
      <w:pPr>
        <w:spacing w:after="120" w:line="300"/>
        <w:jc w:val="both"/>
      </w:pPr>
      <w:r>
        <w:rPr>
          <w:rFonts w:ascii="Calibri" w:cs="Calibri" w:eastAsia="Calibri" w:hAnsi="Calibri"/>
          <w:sz w:val="22"/>
          <w:szCs w:val="22"/>
        </w:rPr>
        <w:t xml:space="preserve">The analysis follows a simple business-intelligence workflow:</w:t>
      </w:r>
    </w:p>
    <w:p>
      <w:pPr>
        <w:pStyle w:val="ListParagraph"/>
        <w:numPr>
          <w:ilvl w:val="0"/>
          <w:numId w:val="2"/>
        </w:numPr>
        <w:spacing w:after="80" w:line="290"/>
      </w:pPr>
      <w:r>
        <w:rPr>
          <w:rFonts w:ascii="Calibri" w:cs="Calibri" w:eastAsia="Calibri" w:hAnsi="Calibri"/>
          <w:sz w:val="22"/>
          <w:szCs w:val="22"/>
        </w:rPr>
        <w:t xml:space="preserve">Data collection: Northwind tables for orders, products, categories, customers and employees were loaded.</w:t>
      </w:r>
    </w:p>
    <w:p>
      <w:pPr>
        <w:pStyle w:val="ListParagraph"/>
        <w:numPr>
          <w:ilvl w:val="0"/>
          <w:numId w:val="2"/>
        </w:numPr>
        <w:spacing w:after="80" w:line="290"/>
      </w:pPr>
      <w:r>
        <w:rPr>
          <w:rFonts w:ascii="Calibri" w:cs="Calibri" w:eastAsia="Calibri" w:hAnsi="Calibri"/>
          <w:sz w:val="22"/>
          <w:szCs w:val="22"/>
        </w:rPr>
        <w:t xml:space="preserve">Data modelling: tables were linked through keys such as OrderID, ProductID, CustomerID and EmployeeID.</w:t>
      </w:r>
    </w:p>
    <w:p>
      <w:pPr>
        <w:pStyle w:val="ListParagraph"/>
        <w:numPr>
          <w:ilvl w:val="0"/>
          <w:numId w:val="2"/>
        </w:numPr>
        <w:spacing w:after="80" w:line="290"/>
      </w:pPr>
      <w:r>
        <w:rPr>
          <w:rFonts w:ascii="Calibri" w:cs="Calibri" w:eastAsia="Calibri" w:hAnsi="Calibri"/>
          <w:sz w:val="22"/>
          <w:szCs w:val="22"/>
        </w:rPr>
        <w:t xml:space="preserve">Measures: key metrics such as Total Sales, Total Orders, Total Freight, Average Freight, Number of Customers and Total Quantity Sold were created as calculated measures.</w:t>
      </w:r>
    </w:p>
    <w:p>
      <w:pPr>
        <w:pStyle w:val="ListParagraph"/>
        <w:numPr>
          <w:ilvl w:val="0"/>
          <w:numId w:val="2"/>
        </w:numPr>
        <w:spacing w:after="80" w:line="290"/>
      </w:pPr>
      <w:r>
        <w:rPr>
          <w:rFonts w:ascii="Calibri" w:cs="Calibri" w:eastAsia="Calibri" w:hAnsi="Calibri"/>
          <w:sz w:val="22"/>
          <w:szCs w:val="22"/>
        </w:rPr>
        <w:t xml:space="preserve">Visualisation: line, bar and column charts, KPI cards, a product table and slicers were designed on separate report pages.</w:t>
      </w:r>
    </w:p>
    <w:p>
      <w:pPr>
        <w:pStyle w:val="ListParagraph"/>
        <w:numPr>
          <w:ilvl w:val="0"/>
          <w:numId w:val="2"/>
        </w:numPr>
        <w:spacing w:after="80" w:line="290"/>
      </w:pPr>
      <w:r>
        <w:rPr>
          <w:rFonts w:ascii="Calibri" w:cs="Calibri" w:eastAsia="Calibri" w:hAnsi="Calibri"/>
          <w:sz w:val="22"/>
          <w:szCs w:val="22"/>
        </w:rPr>
        <w:t xml:space="preserve">Interpretation: patterns, ranking and comparisons were studied to draw findings and recommendations.</w:t>
      </w:r>
    </w:p>
    <w:p>
      <w:pPr>
        <w:spacing w:after="120" w:line="300"/>
        <w:jc w:val="both"/>
      </w:pPr>
      <w:r>
        <w:rPr>
          <w:rFonts w:ascii="Calibri" w:cs="Calibri" w:eastAsia="Calibri" w:hAnsi="Calibri"/>
          <w:sz w:val="22"/>
          <w:szCs w:val="22"/>
        </w:rPr>
        <w:t xml:space="preserve">Total Sales is calculated as unit price multiplied by quantity (after discount) summed over all order lines. Average Freight is Total Freight divided by Total Orders.</w:t>
      </w:r>
    </w:p>
    <w:p>
      <w:pPr>
        <w:pStyle w:val="Heading1"/>
        <w:spacing w:after="160" w:before="240"/>
      </w:pPr>
      <w:r>
        <w:rPr>
          <w:rFonts w:ascii="Calibri" w:cs="Calibri" w:eastAsia="Calibri" w:hAnsi="Calibri"/>
          <w:b/>
          <w:bCs/>
          <w:color w:val="1F4E79"/>
          <w:sz w:val="32"/>
          <w:szCs w:val="32"/>
        </w:rPr>
        <w:t xml:space="preserve">5. Key Performance Indicators (KPIs)</w:t>
      </w:r>
    </w:p>
    <w:p>
      <w:pPr>
        <w:spacing w:after="120" w:line="300"/>
        <w:jc w:val="both"/>
      </w:pPr>
      <w:r>
        <w:rPr>
          <w:rFonts w:ascii="Calibri" w:cs="Calibri" w:eastAsia="Calibri" w:hAnsi="Calibri"/>
          <w:sz w:val="22"/>
          <w:szCs w:val="22"/>
        </w:rPr>
        <w:t xml:space="preserve">The top of the Sales Overviews page displays six KPI cards. Together they give a quick health check of the business.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13"/>
        <w:gridCol w:w="2413"/>
      </w:tblGrid>
      <w:tr>
        <w:trPr>
          <w:tblHeader/>
        </w:trPr>
        <w:tc>
          <w:tcPr>
            <w:tcW w:type="dxa" w:w="4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KPI</w:t>
            </w:r>
          </w:p>
        </w:tc>
        <w:tc>
          <w:tcPr>
            <w:tcW w:type="dxa" w:w="241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Overall View</w:t>
            </w:r>
          </w:p>
        </w:tc>
        <w:tc>
          <w:tcPr>
            <w:tcW w:type="dxa" w:w="241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Filtered View (2014-2015)</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color w:val="000000"/>
                <w:sz w:val="20"/>
                <w:szCs w:val="20"/>
              </w:rPr>
              <w:t xml:space="preserve">Total Sales</w:t>
            </w:r>
          </w:p>
        </w:tc>
        <w:tc>
          <w:tcPr>
            <w:tcW w:type="dxa" w:w="24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color w:val="000000"/>
                <w:sz w:val="20"/>
                <w:szCs w:val="20"/>
              </w:rPr>
              <w:t xml:space="preserve">1.27M (1,265,793.04)</w:t>
            </w:r>
          </w:p>
        </w:tc>
        <w:tc>
          <w:tcPr>
            <w:tcW w:type="dxa" w:w="24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color w:val="000000"/>
                <w:sz w:val="20"/>
                <w:szCs w:val="20"/>
              </w:rPr>
              <w:t xml:space="preserve">1.03M</w:t>
            </w:r>
          </w:p>
        </w:tc>
      </w:tr>
      <w:tr>
        <w:tc>
          <w:tcPr>
            <w:tcW w:type="dxa" w:w="42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color w:val="000000"/>
                <w:sz w:val="20"/>
                <w:szCs w:val="20"/>
              </w:rPr>
              <w:t xml:space="preserve">Total Orders</w:t>
            </w:r>
          </w:p>
        </w:tc>
        <w:tc>
          <w:tcPr>
            <w:tcW w:type="dxa" w:w="2413"/>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right"/>
            </w:pPr>
            <w:r>
              <w:rPr>
                <w:rFonts w:ascii="Calibri" w:cs="Calibri" w:eastAsia="Calibri" w:hAnsi="Calibri"/>
                <w:color w:val="000000"/>
                <w:sz w:val="20"/>
                <w:szCs w:val="20"/>
              </w:rPr>
              <w:t xml:space="preserve">809</w:t>
            </w:r>
          </w:p>
        </w:tc>
        <w:tc>
          <w:tcPr>
            <w:tcW w:type="dxa" w:w="2413"/>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right"/>
            </w:pPr>
            <w:r>
              <w:rPr>
                <w:rFonts w:ascii="Calibri" w:cs="Calibri" w:eastAsia="Calibri" w:hAnsi="Calibri"/>
                <w:color w:val="000000"/>
                <w:sz w:val="20"/>
                <w:szCs w:val="20"/>
              </w:rPr>
              <w:t xml:space="preserve">657</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color w:val="000000"/>
                <w:sz w:val="20"/>
                <w:szCs w:val="20"/>
              </w:rPr>
              <w:t xml:space="preserve">Number of Customers</w:t>
            </w:r>
          </w:p>
        </w:tc>
        <w:tc>
          <w:tcPr>
            <w:tcW w:type="dxa" w:w="24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color w:val="000000"/>
                <w:sz w:val="20"/>
                <w:szCs w:val="20"/>
              </w:rPr>
              <w:t xml:space="preserve">91</w:t>
            </w:r>
          </w:p>
        </w:tc>
        <w:tc>
          <w:tcPr>
            <w:tcW w:type="dxa" w:w="24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color w:val="000000"/>
                <w:sz w:val="20"/>
                <w:szCs w:val="20"/>
              </w:rPr>
              <w:t xml:space="preserve">91</w:t>
            </w:r>
          </w:p>
        </w:tc>
      </w:tr>
      <w:tr>
        <w:tc>
          <w:tcPr>
            <w:tcW w:type="dxa" w:w="42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color w:val="000000"/>
                <w:sz w:val="20"/>
                <w:szCs w:val="20"/>
              </w:rPr>
              <w:t xml:space="preserve">Total Quantity Sold</w:t>
            </w:r>
          </w:p>
        </w:tc>
        <w:tc>
          <w:tcPr>
            <w:tcW w:type="dxa" w:w="2413"/>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right"/>
            </w:pPr>
            <w:r>
              <w:rPr>
                <w:rFonts w:ascii="Calibri" w:cs="Calibri" w:eastAsia="Calibri" w:hAnsi="Calibri"/>
                <w:color w:val="000000"/>
                <w:sz w:val="20"/>
                <w:szCs w:val="20"/>
              </w:rPr>
              <w:t xml:space="preserve">51K (51,317)</w:t>
            </w:r>
          </w:p>
        </w:tc>
        <w:tc>
          <w:tcPr>
            <w:tcW w:type="dxa" w:w="2413"/>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right"/>
            </w:pPr>
            <w:r>
              <w:rPr>
                <w:rFonts w:ascii="Calibri" w:cs="Calibri" w:eastAsia="Calibri" w:hAnsi="Calibri"/>
                <w:color w:val="000000"/>
                <w:sz w:val="20"/>
                <w:szCs w:val="20"/>
              </w:rPr>
              <w:t xml:space="preserve">41K</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color w:val="000000"/>
                <w:sz w:val="20"/>
                <w:szCs w:val="20"/>
              </w:rPr>
              <w:t xml:space="preserve">Total Freight</w:t>
            </w:r>
          </w:p>
        </w:tc>
        <w:tc>
          <w:tcPr>
            <w:tcW w:type="dxa" w:w="24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color w:val="000000"/>
                <w:sz w:val="20"/>
                <w:szCs w:val="20"/>
              </w:rPr>
              <w:t xml:space="preserve">63.96K</w:t>
            </w:r>
          </w:p>
        </w:tc>
        <w:tc>
          <w:tcPr>
            <w:tcW w:type="dxa" w:w="24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color w:val="000000"/>
                <w:sz w:val="20"/>
                <w:szCs w:val="20"/>
              </w:rPr>
              <w:t xml:space="preserve">53.68K</w:t>
            </w:r>
          </w:p>
        </w:tc>
      </w:tr>
      <w:tr>
        <w:tc>
          <w:tcPr>
            <w:tcW w:type="dxa" w:w="42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color w:val="000000"/>
                <w:sz w:val="20"/>
                <w:szCs w:val="20"/>
              </w:rPr>
              <w:t xml:space="preserve">Average Freight per Order</w:t>
            </w:r>
          </w:p>
        </w:tc>
        <w:tc>
          <w:tcPr>
            <w:tcW w:type="dxa" w:w="2413"/>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right"/>
            </w:pPr>
            <w:r>
              <w:rPr>
                <w:rFonts w:ascii="Calibri" w:cs="Calibri" w:eastAsia="Calibri" w:hAnsi="Calibri"/>
                <w:color w:val="000000"/>
                <w:sz w:val="20"/>
                <w:szCs w:val="20"/>
              </w:rPr>
              <w:t xml:space="preserve">79.05</w:t>
            </w:r>
          </w:p>
        </w:tc>
        <w:tc>
          <w:tcPr>
            <w:tcW w:type="dxa" w:w="2413"/>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right"/>
            </w:pPr>
            <w:r>
              <w:rPr>
                <w:rFonts w:ascii="Calibri" w:cs="Calibri" w:eastAsia="Calibri" w:hAnsi="Calibri"/>
                <w:color w:val="000000"/>
                <w:sz w:val="20"/>
                <w:szCs w:val="20"/>
              </w:rPr>
              <w:t xml:space="preserve">81.70</w:t>
            </w:r>
          </w:p>
        </w:tc>
      </w:tr>
    </w:tbl>
    <w:p>
      <w:pPr>
        <w:spacing w:after="200" w:before="60"/>
        <w:jc w:val="center"/>
      </w:pPr>
      <w:r>
        <w:rPr>
          <w:rFonts w:ascii="Calibri" w:cs="Calibri" w:eastAsia="Calibri" w:hAnsi="Calibri"/>
          <w:i/>
          <w:iCs/>
          <w:color w:val="555555"/>
          <w:sz w:val="19"/>
          <w:szCs w:val="19"/>
        </w:rPr>
        <w:t xml:space="preserve">Table 2: Headline KPIs from the Northwind Sales Dashboard</w:t>
      </w:r>
    </w:p>
    <w:p>
      <w:pPr>
        <w:spacing w:after="40" w:before="120"/>
        <w:jc w:val="center"/>
      </w:pPr>
      <w:r>
        <w:drawing>
          <wp:inline distT="0" distB="0" distL="0" distR="0">
            <wp:extent cx="4953000" cy="2409825"/>
            <wp:effectExtent t="0" r="0" b="0" l="0"/>
            <wp:docPr id="1" name="c_kpi.png" descr="c_kpi.png" title="c_k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409825"/>
                    </a:xfrm>
                    <a:prstGeom prst="rect">
                      <a:avLst/>
                    </a:prstGeom>
                  </pic:spPr>
                </pic:pic>
              </a:graphicData>
            </a:graphic>
          </wp:inline>
        </w:drawing>
      </w:r>
    </w:p>
    <w:p>
      <w:pPr>
        <w:spacing w:after="200" w:before="60"/>
        <w:jc w:val="center"/>
      </w:pPr>
      <w:r>
        <w:rPr>
          <w:rFonts w:ascii="Calibri" w:cs="Calibri" w:eastAsia="Calibri" w:hAnsi="Calibri"/>
          <w:i/>
          <w:iCs/>
          <w:color w:val="555555"/>
          <w:sz w:val="19"/>
          <w:szCs w:val="19"/>
        </w:rPr>
        <w:t xml:space="preserve">Figure 1: Comparison of overall and year-filtered KPIs</w:t>
      </w:r>
    </w:p>
    <w:p>
      <w:pPr>
        <w:pStyle w:val="Heading2"/>
        <w:spacing w:after="100" w:before="160"/>
      </w:pPr>
      <w:r>
        <w:rPr>
          <w:rFonts w:ascii="Calibri" w:cs="Calibri" w:eastAsia="Calibri" w:hAnsi="Calibri"/>
          <w:b/>
          <w:bCs/>
          <w:color w:val="2E75B6"/>
          <w:sz w:val="26"/>
          <w:szCs w:val="26"/>
        </w:rPr>
        <w:t xml:space="preserve">5.1 Derived Ratios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13"/>
        <w:gridCol w:w="2413"/>
      </w:tblGrid>
      <w:tr>
        <w:trPr>
          <w:tblHeader/>
        </w:trPr>
        <w:tc>
          <w:tcPr>
            <w:tcW w:type="dxa" w:w="4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Ratio</w:t>
            </w:r>
          </w:p>
        </w:tc>
        <w:tc>
          <w:tcPr>
            <w:tcW w:type="dxa" w:w="241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Value</w:t>
            </w:r>
          </w:p>
        </w:tc>
        <w:tc>
          <w:tcPr>
            <w:tcW w:type="dxa" w:w="241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Meaning</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color w:val="000000"/>
                <w:sz w:val="20"/>
                <w:szCs w:val="20"/>
              </w:rPr>
              <w:t xml:space="preserve">Average sales per order</w:t>
            </w:r>
          </w:p>
        </w:tc>
        <w:tc>
          <w:tcPr>
            <w:tcW w:type="dxa" w:w="24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color w:val="000000"/>
                <w:sz w:val="20"/>
                <w:szCs w:val="20"/>
              </w:rPr>
              <w:t xml:space="preserve">about 1,565</w:t>
            </w:r>
          </w:p>
        </w:tc>
        <w:tc>
          <w:tcPr>
            <w:tcW w:type="dxa" w:w="24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color w:val="000000"/>
                <w:sz w:val="20"/>
                <w:szCs w:val="20"/>
              </w:rPr>
              <w:t xml:space="preserve">Total Sales / Total Orders</w:t>
            </w:r>
          </w:p>
        </w:tc>
      </w:tr>
      <w:tr>
        <w:tc>
          <w:tcPr>
            <w:tcW w:type="dxa" w:w="42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color w:val="000000"/>
                <w:sz w:val="20"/>
                <w:szCs w:val="20"/>
              </w:rPr>
              <w:t xml:space="preserve">Average sales per customer</w:t>
            </w:r>
          </w:p>
        </w:tc>
        <w:tc>
          <w:tcPr>
            <w:tcW w:type="dxa" w:w="2413"/>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right"/>
            </w:pPr>
            <w:r>
              <w:rPr>
                <w:rFonts w:ascii="Calibri" w:cs="Calibri" w:eastAsia="Calibri" w:hAnsi="Calibri"/>
                <w:color w:val="000000"/>
                <w:sz w:val="20"/>
                <w:szCs w:val="20"/>
              </w:rPr>
              <w:t xml:space="preserve">about 13,909</w:t>
            </w:r>
          </w:p>
        </w:tc>
        <w:tc>
          <w:tcPr>
            <w:tcW w:type="dxa" w:w="2413"/>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color w:val="000000"/>
                <w:sz w:val="20"/>
                <w:szCs w:val="20"/>
              </w:rPr>
              <w:t xml:space="preserve">Total Sales / Customers</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color w:val="000000"/>
                <w:sz w:val="20"/>
                <w:szCs w:val="20"/>
              </w:rPr>
              <w:t xml:space="preserve">Orders per customer</w:t>
            </w:r>
          </w:p>
        </w:tc>
        <w:tc>
          <w:tcPr>
            <w:tcW w:type="dxa" w:w="24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color w:val="000000"/>
                <w:sz w:val="20"/>
                <w:szCs w:val="20"/>
              </w:rPr>
              <w:t xml:space="preserve">about 8.9</w:t>
            </w:r>
          </w:p>
        </w:tc>
        <w:tc>
          <w:tcPr>
            <w:tcW w:type="dxa" w:w="24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color w:val="000000"/>
                <w:sz w:val="20"/>
                <w:szCs w:val="20"/>
              </w:rPr>
              <w:t xml:space="preserve">Total Orders / Customers</w:t>
            </w:r>
          </w:p>
        </w:tc>
      </w:tr>
      <w:tr>
        <w:tc>
          <w:tcPr>
            <w:tcW w:type="dxa" w:w="42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color w:val="000000"/>
                <w:sz w:val="20"/>
                <w:szCs w:val="20"/>
              </w:rPr>
              <w:t xml:space="preserve">Average quantity per order</w:t>
            </w:r>
          </w:p>
        </w:tc>
        <w:tc>
          <w:tcPr>
            <w:tcW w:type="dxa" w:w="2413"/>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right"/>
            </w:pPr>
            <w:r>
              <w:rPr>
                <w:rFonts w:ascii="Calibri" w:cs="Calibri" w:eastAsia="Calibri" w:hAnsi="Calibri"/>
                <w:color w:val="000000"/>
                <w:sz w:val="20"/>
                <w:szCs w:val="20"/>
              </w:rPr>
              <w:t xml:space="preserve">about 63</w:t>
            </w:r>
          </w:p>
        </w:tc>
        <w:tc>
          <w:tcPr>
            <w:tcW w:type="dxa" w:w="2413"/>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color w:val="000000"/>
                <w:sz w:val="20"/>
                <w:szCs w:val="20"/>
              </w:rPr>
              <w:t xml:space="preserve">Quantity / Total Orders</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color w:val="000000"/>
                <w:sz w:val="20"/>
                <w:szCs w:val="20"/>
              </w:rPr>
              <w:t xml:space="preserve">Freight as % of sales</w:t>
            </w:r>
          </w:p>
        </w:tc>
        <w:tc>
          <w:tcPr>
            <w:tcW w:type="dxa" w:w="24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color w:val="000000"/>
                <w:sz w:val="20"/>
                <w:szCs w:val="20"/>
              </w:rPr>
              <w:t xml:space="preserve">about 5.1%</w:t>
            </w:r>
          </w:p>
        </w:tc>
        <w:tc>
          <w:tcPr>
            <w:tcW w:type="dxa" w:w="24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color w:val="000000"/>
                <w:sz w:val="20"/>
                <w:szCs w:val="20"/>
              </w:rPr>
              <w:t xml:space="preserve">Total Freight / Total Sales</w:t>
            </w:r>
          </w:p>
        </w:tc>
      </w:tr>
    </w:tbl>
    <w:p>
      <w:pPr>
        <w:spacing w:after="200" w:before="60"/>
        <w:jc w:val="center"/>
      </w:pPr>
      <w:r>
        <w:rPr>
          <w:rFonts w:ascii="Calibri" w:cs="Calibri" w:eastAsia="Calibri" w:hAnsi="Calibri"/>
          <w:i/>
          <w:iCs/>
          <w:color w:val="555555"/>
          <w:sz w:val="19"/>
          <w:szCs w:val="19"/>
        </w:rPr>
        <w:t xml:space="preserve">Table 3: Ratios derived from the overall KPIs</w:t>
      </w:r>
    </w:p>
    <w:p>
      <w:pPr>
        <w:spacing w:after="120" w:line="300"/>
        <w:jc w:val="both"/>
      </w:pPr>
      <w:r>
        <w:rPr>
          <w:rFonts w:ascii="Calibri" w:cs="Calibri" w:eastAsia="Calibri" w:hAnsi="Calibri"/>
          <w:sz w:val="22"/>
          <w:szCs w:val="22"/>
        </w:rPr>
        <w:t xml:space="preserve">On average every order brings in roughly 1,565 in sales while the shipping cost is only about 5% of sales, which shows that freight is a manageable but still meaningful cost item.</w:t>
      </w:r>
    </w:p>
    <w:p>
      <w:pPr>
        <w:pStyle w:val="Heading1"/>
        <w:spacing w:after="160" w:before="240"/>
      </w:pPr>
      <w:r>
        <w:rPr>
          <w:rFonts w:ascii="Calibri" w:cs="Calibri" w:eastAsia="Calibri" w:hAnsi="Calibri"/>
          <w:b/>
          <w:bCs/>
          <w:color w:val="1F4E79"/>
          <w:sz w:val="32"/>
          <w:szCs w:val="32"/>
        </w:rPr>
        <w:t xml:space="preserve">6. Sales Analysis by Product Category</w:t>
      </w:r>
    </w:p>
    <w:p>
      <w:pPr>
        <w:spacing w:after="120" w:line="300"/>
        <w:jc w:val="both"/>
      </w:pPr>
      <w:r>
        <w:rPr>
          <w:rFonts w:ascii="Calibri" w:cs="Calibri" w:eastAsia="Calibri" w:hAnsi="Calibri"/>
          <w:sz w:val="22"/>
          <w:szCs w:val="22"/>
        </w:rPr>
        <w:t xml:space="preserve">Sales are spread over eight product categories. Beverages lead the list, followed by Dairy Products and Confections. The three leading categories together contribute nearly 53% of total sales.</w:t>
      </w:r>
    </w:p>
    <w:p>
      <w:pPr>
        <w:spacing w:after="40" w:before="120"/>
        <w:jc w:val="center"/>
      </w:pPr>
      <w:r>
        <w:drawing>
          <wp:inline distT="0" distB="0" distL="0" distR="0">
            <wp:extent cx="5143500" cy="2647950"/>
            <wp:effectExtent t="0" r="0" b="0" l="0"/>
            <wp:docPr id="1" name="c_category.png" descr="c_category.png" title="c_categ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647950"/>
                    </a:xfrm>
                    <a:prstGeom prst="rect">
                      <a:avLst/>
                    </a:prstGeom>
                  </pic:spPr>
                </pic:pic>
              </a:graphicData>
            </a:graphic>
          </wp:inline>
        </w:drawing>
      </w:r>
    </w:p>
    <w:p>
      <w:pPr>
        <w:spacing w:after="200" w:before="60"/>
        <w:jc w:val="center"/>
      </w:pPr>
      <w:r>
        <w:rPr>
          <w:rFonts w:ascii="Calibri" w:cs="Calibri" w:eastAsia="Calibri" w:hAnsi="Calibri"/>
          <w:i/>
          <w:iCs/>
          <w:color w:val="555555"/>
          <w:sz w:val="19"/>
          <w:szCs w:val="19"/>
        </w:rPr>
        <w:t xml:space="preserve">Figure 2: Total Sales by Category (approximate values in millions)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13"/>
        <w:gridCol w:w="2913"/>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Category</w:t>
            </w:r>
          </w:p>
        </w:tc>
        <w:tc>
          <w:tcPr>
            <w:tcW w:type="dxa" w:w="291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Approx. Sales (M)</w:t>
            </w:r>
          </w:p>
        </w:tc>
        <w:tc>
          <w:tcPr>
            <w:tcW w:type="dxa" w:w="291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Share of Sales</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color w:val="000000"/>
                <w:sz w:val="20"/>
                <w:szCs w:val="20"/>
              </w:rPr>
              <w:t xml:space="preserve">Beverages</w:t>
            </w:r>
          </w:p>
        </w:tc>
        <w:tc>
          <w:tcPr>
            <w:tcW w:type="dxa" w:w="29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color w:val="000000"/>
                <w:sz w:val="20"/>
                <w:szCs w:val="20"/>
              </w:rPr>
              <w:t xml:space="preserve">0.27</w:t>
            </w:r>
          </w:p>
        </w:tc>
        <w:tc>
          <w:tcPr>
            <w:tcW w:type="dxa" w:w="29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color w:val="000000"/>
                <w:sz w:val="20"/>
                <w:szCs w:val="20"/>
              </w:rPr>
              <w:t xml:space="preserve">21.3%</w:t>
            </w:r>
          </w:p>
        </w:tc>
      </w:tr>
      <w:tr>
        <w:tc>
          <w:tcPr>
            <w:tcW w:type="dxa" w:w="32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color w:val="000000"/>
                <w:sz w:val="20"/>
                <w:szCs w:val="20"/>
              </w:rPr>
              <w:t xml:space="preserve">Dairy Products</w:t>
            </w:r>
          </w:p>
        </w:tc>
        <w:tc>
          <w:tcPr>
            <w:tcW w:type="dxa" w:w="2913"/>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right"/>
            </w:pPr>
            <w:r>
              <w:rPr>
                <w:rFonts w:ascii="Calibri" w:cs="Calibri" w:eastAsia="Calibri" w:hAnsi="Calibri"/>
                <w:color w:val="000000"/>
                <w:sz w:val="20"/>
                <w:szCs w:val="20"/>
              </w:rPr>
              <w:t xml:space="preserve">0.23</w:t>
            </w:r>
          </w:p>
        </w:tc>
        <w:tc>
          <w:tcPr>
            <w:tcW w:type="dxa" w:w="2913"/>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right"/>
            </w:pPr>
            <w:r>
              <w:rPr>
                <w:rFonts w:ascii="Calibri" w:cs="Calibri" w:eastAsia="Calibri" w:hAnsi="Calibri"/>
                <w:color w:val="000000"/>
                <w:sz w:val="20"/>
                <w:szCs w:val="20"/>
              </w:rPr>
              <w:t xml:space="preserve">18.3%</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color w:val="000000"/>
                <w:sz w:val="20"/>
                <w:szCs w:val="20"/>
              </w:rPr>
              <w:t xml:space="preserve">Confections</w:t>
            </w:r>
          </w:p>
        </w:tc>
        <w:tc>
          <w:tcPr>
            <w:tcW w:type="dxa" w:w="29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color w:val="000000"/>
                <w:sz w:val="20"/>
                <w:szCs w:val="20"/>
              </w:rPr>
              <w:t xml:space="preserve">0.17</w:t>
            </w:r>
          </w:p>
        </w:tc>
        <w:tc>
          <w:tcPr>
            <w:tcW w:type="dxa" w:w="29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color w:val="000000"/>
                <w:sz w:val="20"/>
                <w:szCs w:val="20"/>
              </w:rPr>
              <w:t xml:space="preserve">13.3%</w:t>
            </w:r>
          </w:p>
        </w:tc>
      </w:tr>
      <w:tr>
        <w:tc>
          <w:tcPr>
            <w:tcW w:type="dxa" w:w="32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color w:val="000000"/>
                <w:sz w:val="20"/>
                <w:szCs w:val="20"/>
              </w:rPr>
              <w:t xml:space="preserve">Meat &amp; Poultry</w:t>
            </w:r>
          </w:p>
        </w:tc>
        <w:tc>
          <w:tcPr>
            <w:tcW w:type="dxa" w:w="2913"/>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right"/>
            </w:pPr>
            <w:r>
              <w:rPr>
                <w:rFonts w:ascii="Calibri" w:cs="Calibri" w:eastAsia="Calibri" w:hAnsi="Calibri"/>
                <w:color w:val="000000"/>
                <w:sz w:val="20"/>
                <w:szCs w:val="20"/>
              </w:rPr>
              <w:t xml:space="preserve">0.16</w:t>
            </w:r>
          </w:p>
        </w:tc>
        <w:tc>
          <w:tcPr>
            <w:tcW w:type="dxa" w:w="2913"/>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right"/>
            </w:pPr>
            <w:r>
              <w:rPr>
                <w:rFonts w:ascii="Calibri" w:cs="Calibri" w:eastAsia="Calibri" w:hAnsi="Calibri"/>
                <w:color w:val="000000"/>
                <w:sz w:val="20"/>
                <w:szCs w:val="20"/>
              </w:rPr>
              <w:t xml:space="preserve">12.9%</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color w:val="000000"/>
                <w:sz w:val="20"/>
                <w:szCs w:val="20"/>
              </w:rPr>
              <w:t xml:space="preserve">Seafood</w:t>
            </w:r>
          </w:p>
        </w:tc>
        <w:tc>
          <w:tcPr>
            <w:tcW w:type="dxa" w:w="29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color w:val="000000"/>
                <w:sz w:val="20"/>
                <w:szCs w:val="20"/>
              </w:rPr>
              <w:t xml:space="preserve">0.13</w:t>
            </w:r>
          </w:p>
        </w:tc>
        <w:tc>
          <w:tcPr>
            <w:tcW w:type="dxa" w:w="29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color w:val="000000"/>
                <w:sz w:val="20"/>
                <w:szCs w:val="20"/>
              </w:rPr>
              <w:t xml:space="preserve">10.3%</w:t>
            </w:r>
          </w:p>
        </w:tc>
      </w:tr>
      <w:tr>
        <w:tc>
          <w:tcPr>
            <w:tcW w:type="dxa" w:w="32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color w:val="000000"/>
                <w:sz w:val="20"/>
                <w:szCs w:val="20"/>
              </w:rPr>
              <w:t xml:space="preserve">Condiments</w:t>
            </w:r>
          </w:p>
        </w:tc>
        <w:tc>
          <w:tcPr>
            <w:tcW w:type="dxa" w:w="2913"/>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right"/>
            </w:pPr>
            <w:r>
              <w:rPr>
                <w:rFonts w:ascii="Calibri" w:cs="Calibri" w:eastAsia="Calibri" w:hAnsi="Calibri"/>
                <w:color w:val="000000"/>
                <w:sz w:val="20"/>
                <w:szCs w:val="20"/>
              </w:rPr>
              <w:t xml:space="preserve">0.11</w:t>
            </w:r>
          </w:p>
        </w:tc>
        <w:tc>
          <w:tcPr>
            <w:tcW w:type="dxa" w:w="2913"/>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right"/>
            </w:pPr>
            <w:r>
              <w:rPr>
                <w:rFonts w:ascii="Calibri" w:cs="Calibri" w:eastAsia="Calibri" w:hAnsi="Calibri"/>
                <w:color w:val="000000"/>
                <w:sz w:val="20"/>
                <w:szCs w:val="20"/>
              </w:rPr>
              <w:t xml:space="preserve">8.4%</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color w:val="000000"/>
                <w:sz w:val="20"/>
                <w:szCs w:val="20"/>
              </w:rPr>
              <w:t xml:space="preserve">Produce</w:t>
            </w:r>
          </w:p>
        </w:tc>
        <w:tc>
          <w:tcPr>
            <w:tcW w:type="dxa" w:w="29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color w:val="000000"/>
                <w:sz w:val="20"/>
                <w:szCs w:val="20"/>
              </w:rPr>
              <w:t xml:space="preserve">0.10</w:t>
            </w:r>
          </w:p>
        </w:tc>
        <w:tc>
          <w:tcPr>
            <w:tcW w:type="dxa" w:w="29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color w:val="000000"/>
                <w:sz w:val="20"/>
                <w:szCs w:val="20"/>
              </w:rPr>
              <w:t xml:space="preserve">8.0%</w:t>
            </w:r>
          </w:p>
        </w:tc>
      </w:tr>
      <w:tr>
        <w:tc>
          <w:tcPr>
            <w:tcW w:type="dxa" w:w="32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color w:val="000000"/>
                <w:sz w:val="20"/>
                <w:szCs w:val="20"/>
              </w:rPr>
              <w:t xml:space="preserve">Grains &amp; Cereals</w:t>
            </w:r>
          </w:p>
        </w:tc>
        <w:tc>
          <w:tcPr>
            <w:tcW w:type="dxa" w:w="2913"/>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right"/>
            </w:pPr>
            <w:r>
              <w:rPr>
                <w:rFonts w:ascii="Calibri" w:cs="Calibri" w:eastAsia="Calibri" w:hAnsi="Calibri"/>
                <w:color w:val="000000"/>
                <w:sz w:val="20"/>
                <w:szCs w:val="20"/>
              </w:rPr>
              <w:t xml:space="preserve">0.10</w:t>
            </w:r>
          </w:p>
        </w:tc>
        <w:tc>
          <w:tcPr>
            <w:tcW w:type="dxa" w:w="2913"/>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right"/>
            </w:pPr>
            <w:r>
              <w:rPr>
                <w:rFonts w:ascii="Calibri" w:cs="Calibri" w:eastAsia="Calibri" w:hAnsi="Calibri"/>
                <w:color w:val="000000"/>
                <w:sz w:val="20"/>
                <w:szCs w:val="20"/>
              </w:rPr>
              <w:t xml:space="preserve">7.6%</w:t>
            </w:r>
          </w:p>
        </w:tc>
      </w:tr>
    </w:tbl>
    <w:p>
      <w:pPr>
        <w:spacing w:after="200" w:before="60"/>
        <w:jc w:val="center"/>
      </w:pPr>
      <w:r>
        <w:rPr>
          <w:rFonts w:ascii="Calibri" w:cs="Calibri" w:eastAsia="Calibri" w:hAnsi="Calibri"/>
          <w:i/>
          <w:iCs/>
          <w:color w:val="555555"/>
          <w:sz w:val="19"/>
          <w:szCs w:val="19"/>
        </w:rPr>
        <w:t xml:space="preserve">Table 4: Category-wise sales and share</w:t>
      </w:r>
    </w:p>
    <w:p>
      <w:pPr>
        <w:spacing w:after="40" w:before="120"/>
        <w:jc w:val="center"/>
      </w:pPr>
      <w:r>
        <w:drawing>
          <wp:inline distT="0" distB="0" distL="0" distR="0">
            <wp:extent cx="4000500" cy="2533650"/>
            <wp:effectExtent t="0" r="0" b="0" l="0"/>
            <wp:docPr id="1" name="c_share.png" descr="c_share.png" title="c_sh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533650"/>
                    </a:xfrm>
                    <a:prstGeom prst="rect">
                      <a:avLst/>
                    </a:prstGeom>
                  </pic:spPr>
                </pic:pic>
              </a:graphicData>
            </a:graphic>
          </wp:inline>
        </w:drawing>
      </w:r>
    </w:p>
    <w:p>
      <w:pPr>
        <w:spacing w:after="200" w:before="60"/>
        <w:jc w:val="center"/>
      </w:pPr>
      <w:r>
        <w:rPr>
          <w:rFonts w:ascii="Calibri" w:cs="Calibri" w:eastAsia="Calibri" w:hAnsi="Calibri"/>
          <w:i/>
          <w:iCs/>
          <w:color w:val="555555"/>
          <w:sz w:val="19"/>
          <w:szCs w:val="19"/>
        </w:rPr>
        <w:t xml:space="preserve">Figure 3: Share of each category in total sales</w:t>
      </w:r>
    </w:p>
    <w:p>
      <w:pPr>
        <w:spacing w:after="120" w:line="300"/>
        <w:jc w:val="both"/>
      </w:pPr>
      <w:r>
        <w:rPr>
          <w:rFonts w:ascii="Calibri" w:cs="Calibri" w:eastAsia="Calibri" w:hAnsi="Calibri"/>
          <w:sz w:val="22"/>
          <w:szCs w:val="22"/>
        </w:rPr>
        <w:t xml:space="preserve">Beverages generate about 2.8 times the sales of Grains &amp; Cereals, so the portfolio depends heavily on a few strong categories while the smaller ones offer room for growth.</w:t>
      </w:r>
    </w:p>
    <w:p>
      <w:pPr>
        <w:pStyle w:val="Heading1"/>
        <w:spacing w:after="160" w:before="240"/>
      </w:pPr>
      <w:r>
        <w:rPr>
          <w:rFonts w:ascii="Calibri" w:cs="Calibri" w:eastAsia="Calibri" w:hAnsi="Calibri"/>
          <w:b/>
          <w:bCs/>
          <w:color w:val="1F4E79"/>
          <w:sz w:val="32"/>
          <w:szCs w:val="32"/>
        </w:rPr>
        <w:t xml:space="preserve">7. Monthly Order Trend</w:t>
      </w:r>
    </w:p>
    <w:p>
      <w:pPr>
        <w:spacing w:after="120" w:line="300"/>
        <w:jc w:val="both"/>
      </w:pPr>
      <w:r>
        <w:rPr>
          <w:rFonts w:ascii="Calibri" w:cs="Calibri" w:eastAsia="Calibri" w:hAnsi="Calibri"/>
          <w:sz w:val="22"/>
          <w:szCs w:val="22"/>
        </w:rPr>
        <w:t xml:space="preserve">The line chart of Total Orders by Month shows a clear seasonal pattern. Orders are high in the first four months, peaking in March at just over 100 orders, then fall sharply in May and June. They recover gradually through the second half of the year and rise again in December.</w:t>
      </w:r>
    </w:p>
    <w:p>
      <w:pPr>
        <w:spacing w:after="40" w:before="120"/>
        <w:jc w:val="center"/>
      </w:pPr>
      <w:r>
        <w:drawing>
          <wp:inline distT="0" distB="0" distL="0" distR="0">
            <wp:extent cx="5143500" cy="2495550"/>
            <wp:effectExtent t="0" r="0" b="0" l="0"/>
            <wp:docPr id="1" name="c_month.png" descr="c_month.png" title="c_mon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495550"/>
                    </a:xfrm>
                    <a:prstGeom prst="rect">
                      <a:avLst/>
                    </a:prstGeom>
                  </pic:spPr>
                </pic:pic>
              </a:graphicData>
            </a:graphic>
          </wp:inline>
        </w:drawing>
      </w:r>
    </w:p>
    <w:p>
      <w:pPr>
        <w:spacing w:after="200" w:before="60"/>
        <w:jc w:val="center"/>
      </w:pPr>
      <w:r>
        <w:rPr>
          <w:rFonts w:ascii="Calibri" w:cs="Calibri" w:eastAsia="Calibri" w:hAnsi="Calibri"/>
          <w:i/>
          <w:iCs/>
          <w:color w:val="555555"/>
          <w:sz w:val="19"/>
          <w:szCs w:val="19"/>
        </w:rPr>
        <w:t xml:space="preserve">Figure 4: Total Orders by Month (approximate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Period</w:t>
            </w:r>
          </w:p>
        </w:tc>
        <w:tc>
          <w:tcPr>
            <w:tcW w:type="dxa" w:w="2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Approx. Orders</w:t>
            </w:r>
          </w:p>
        </w:tc>
        <w:tc>
          <w:tcPr>
            <w:tcW w:type="dxa" w:w="44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Observation</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color w:val="000000"/>
                <w:sz w:val="20"/>
                <w:szCs w:val="20"/>
              </w:rPr>
              <w:t xml:space="preserve">January - April</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color w:val="000000"/>
                <w:sz w:val="20"/>
                <w:szCs w:val="20"/>
              </w:rPr>
              <w:t xml:space="preserve">83 - 103</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color w:val="000000"/>
                <w:sz w:val="20"/>
                <w:szCs w:val="20"/>
              </w:rPr>
              <w:t xml:space="preserve">Strongest period, peak in March</w:t>
            </w:r>
          </w:p>
        </w:tc>
      </w:tr>
      <w:tr>
        <w:tc>
          <w:tcPr>
            <w:tcW w:type="dxa" w:w="24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color w:val="000000"/>
                <w:sz w:val="20"/>
                <w:szCs w:val="20"/>
              </w:rPr>
              <w:t xml:space="preserve">May - June</w:t>
            </w:r>
          </w:p>
        </w:tc>
        <w:tc>
          <w:tcPr>
            <w:tcW w:type="dxa" w:w="22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color w:val="000000"/>
                <w:sz w:val="20"/>
                <w:szCs w:val="20"/>
              </w:rPr>
              <w:t xml:space="preserve">31 - 37</w:t>
            </w:r>
          </w:p>
        </w:tc>
        <w:tc>
          <w:tcPr>
            <w:tcW w:type="dxa" w:w="4426"/>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color w:val="000000"/>
                <w:sz w:val="20"/>
                <w:szCs w:val="20"/>
              </w:rPr>
              <w:t xml:space="preserve">Sharp fall, lowest point in June</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color w:val="000000"/>
                <w:sz w:val="20"/>
                <w:szCs w:val="20"/>
              </w:rPr>
              <w:t xml:space="preserve">July - November</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color w:val="000000"/>
                <w:sz w:val="20"/>
                <w:szCs w:val="20"/>
              </w:rPr>
              <w:t xml:space="preserve">55 - 64</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color w:val="000000"/>
                <w:sz w:val="20"/>
                <w:szCs w:val="20"/>
              </w:rPr>
              <w:t xml:space="preserve">Slow and steady recovery</w:t>
            </w:r>
          </w:p>
        </w:tc>
      </w:tr>
      <w:tr>
        <w:tc>
          <w:tcPr>
            <w:tcW w:type="dxa" w:w="24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color w:val="000000"/>
                <w:sz w:val="20"/>
                <w:szCs w:val="20"/>
              </w:rPr>
              <w:t xml:space="preserve">December</w:t>
            </w:r>
          </w:p>
        </w:tc>
        <w:tc>
          <w:tcPr>
            <w:tcW w:type="dxa" w:w="22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color w:val="000000"/>
                <w:sz w:val="20"/>
                <w:szCs w:val="20"/>
              </w:rPr>
              <w:t xml:space="preserve">79</w:t>
            </w:r>
          </w:p>
        </w:tc>
        <w:tc>
          <w:tcPr>
            <w:tcW w:type="dxa" w:w="4426"/>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color w:val="000000"/>
                <w:sz w:val="20"/>
                <w:szCs w:val="20"/>
              </w:rPr>
              <w:t xml:space="preserve">Year-end rise</w:t>
            </w:r>
          </w:p>
        </w:tc>
      </w:tr>
    </w:tbl>
    <w:p>
      <w:pPr>
        <w:spacing w:after="200" w:before="60"/>
        <w:jc w:val="center"/>
      </w:pPr>
      <w:r>
        <w:rPr>
          <w:rFonts w:ascii="Calibri" w:cs="Calibri" w:eastAsia="Calibri" w:hAnsi="Calibri"/>
          <w:i/>
          <w:iCs/>
          <w:color w:val="555555"/>
          <w:sz w:val="19"/>
          <w:szCs w:val="19"/>
        </w:rPr>
        <w:t xml:space="preserve">Table 5: Seasonal pattern of orders</w:t>
      </w:r>
    </w:p>
    <w:p>
      <w:pPr>
        <w:pStyle w:val="Heading1"/>
        <w:spacing w:after="160" w:before="240"/>
      </w:pPr>
      <w:r>
        <w:rPr>
          <w:rFonts w:ascii="Calibri" w:cs="Calibri" w:eastAsia="Calibri" w:hAnsi="Calibri"/>
          <w:b/>
          <w:bCs/>
          <w:color w:val="1F4E79"/>
          <w:sz w:val="32"/>
          <w:szCs w:val="32"/>
        </w:rPr>
        <w:t xml:space="preserve">8. Employee Performance Analysis</w:t>
      </w:r>
    </w:p>
    <w:p>
      <w:pPr>
        <w:spacing w:after="120" w:line="300"/>
        <w:jc w:val="both"/>
      </w:pPr>
      <w:r>
        <w:rPr>
          <w:rFonts w:ascii="Calibri" w:cs="Calibri" w:eastAsia="Calibri" w:hAnsi="Calibri"/>
          <w:sz w:val="22"/>
          <w:szCs w:val="22"/>
        </w:rPr>
        <w:t xml:space="preserve">Nine employee entries appear in the dashboard, including one blank entry for orders that are not linked to a named employee. Margaret Peacock handles the highest number of orders, followed by Janet Leverling and Nancy Davolio.</w:t>
      </w:r>
    </w:p>
    <w:p>
      <w:pPr>
        <w:spacing w:after="40" w:before="120"/>
        <w:jc w:val="center"/>
      </w:pPr>
      <w:r>
        <w:drawing>
          <wp:inline distT="0" distB="0" distL="0" distR="0">
            <wp:extent cx="5143500" cy="2790825"/>
            <wp:effectExtent t="0" r="0" b="0" l="0"/>
            <wp:docPr id="1" name="c_emp.png" descr="c_emp.png" title="c_e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790825"/>
                    </a:xfrm>
                    <a:prstGeom prst="rect">
                      <a:avLst/>
                    </a:prstGeom>
                  </pic:spPr>
                </pic:pic>
              </a:graphicData>
            </a:graphic>
          </wp:inline>
        </w:drawing>
      </w:r>
    </w:p>
    <w:p>
      <w:pPr>
        <w:spacing w:after="200" w:before="60"/>
        <w:jc w:val="center"/>
      </w:pPr>
      <w:r>
        <w:rPr>
          <w:rFonts w:ascii="Calibri" w:cs="Calibri" w:eastAsia="Calibri" w:hAnsi="Calibri"/>
          <w:i/>
          <w:iCs/>
          <w:color w:val="555555"/>
          <w:sz w:val="19"/>
          <w:szCs w:val="19"/>
        </w:rPr>
        <w:t xml:space="preserve">Figure 5: Total Orders by Employee (approximate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13"/>
        <w:gridCol w:w="2713"/>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Employee</w:t>
            </w:r>
          </w:p>
        </w:tc>
        <w:tc>
          <w:tcPr>
            <w:tcW w:type="dxa" w:w="271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Approx. Orders</w:t>
            </w:r>
          </w:p>
        </w:tc>
        <w:tc>
          <w:tcPr>
            <w:tcW w:type="dxa" w:w="271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Share of Orders</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color w:val="000000"/>
                <w:sz w:val="20"/>
                <w:szCs w:val="20"/>
              </w:rPr>
              <w:t xml:space="preserve">Margaret Peacock</w:t>
            </w:r>
          </w:p>
        </w:tc>
        <w:tc>
          <w:tcPr>
            <w:tcW w:type="dxa" w:w="27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color w:val="000000"/>
                <w:sz w:val="20"/>
                <w:szCs w:val="20"/>
              </w:rPr>
              <w:t xml:space="preserve">150</w:t>
            </w:r>
          </w:p>
        </w:tc>
        <w:tc>
          <w:tcPr>
            <w:tcW w:type="dxa" w:w="27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color w:val="000000"/>
                <w:sz w:val="20"/>
                <w:szCs w:val="20"/>
              </w:rPr>
              <w:t xml:space="preserve">18.5%</w:t>
            </w:r>
          </w:p>
        </w:tc>
      </w:tr>
      <w:tr>
        <w:tc>
          <w:tcPr>
            <w:tcW w:type="dxa" w:w="36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color w:val="000000"/>
                <w:sz w:val="20"/>
                <w:szCs w:val="20"/>
              </w:rPr>
              <w:t xml:space="preserve">Janet Leverling</w:t>
            </w:r>
          </w:p>
        </w:tc>
        <w:tc>
          <w:tcPr>
            <w:tcW w:type="dxa" w:w="2713"/>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right"/>
            </w:pPr>
            <w:r>
              <w:rPr>
                <w:rFonts w:ascii="Calibri" w:cs="Calibri" w:eastAsia="Calibri" w:hAnsi="Calibri"/>
                <w:color w:val="000000"/>
                <w:sz w:val="20"/>
                <w:szCs w:val="20"/>
              </w:rPr>
              <w:t xml:space="preserve">126</w:t>
            </w:r>
          </w:p>
        </w:tc>
        <w:tc>
          <w:tcPr>
            <w:tcW w:type="dxa" w:w="2713"/>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right"/>
            </w:pPr>
            <w:r>
              <w:rPr>
                <w:rFonts w:ascii="Calibri" w:cs="Calibri" w:eastAsia="Calibri" w:hAnsi="Calibri"/>
                <w:color w:val="000000"/>
                <w:sz w:val="20"/>
                <w:szCs w:val="20"/>
              </w:rPr>
              <w:t xml:space="preserve">15.6%</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color w:val="000000"/>
                <w:sz w:val="20"/>
                <w:szCs w:val="20"/>
              </w:rPr>
              <w:t xml:space="preserve">Nancy Davolio</w:t>
            </w:r>
          </w:p>
        </w:tc>
        <w:tc>
          <w:tcPr>
            <w:tcW w:type="dxa" w:w="27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color w:val="000000"/>
                <w:sz w:val="20"/>
                <w:szCs w:val="20"/>
              </w:rPr>
              <w:t xml:space="preserve">119</w:t>
            </w:r>
          </w:p>
        </w:tc>
        <w:tc>
          <w:tcPr>
            <w:tcW w:type="dxa" w:w="27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color w:val="000000"/>
                <w:sz w:val="20"/>
                <w:szCs w:val="20"/>
              </w:rPr>
              <w:t xml:space="preserve">14.7%</w:t>
            </w:r>
          </w:p>
        </w:tc>
      </w:tr>
      <w:tr>
        <w:tc>
          <w:tcPr>
            <w:tcW w:type="dxa" w:w="36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color w:val="000000"/>
                <w:sz w:val="20"/>
                <w:szCs w:val="20"/>
              </w:rPr>
              <w:t xml:space="preserve">Laura Callahan</w:t>
            </w:r>
          </w:p>
        </w:tc>
        <w:tc>
          <w:tcPr>
            <w:tcW w:type="dxa" w:w="2713"/>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right"/>
            </w:pPr>
            <w:r>
              <w:rPr>
                <w:rFonts w:ascii="Calibri" w:cs="Calibri" w:eastAsia="Calibri" w:hAnsi="Calibri"/>
                <w:color w:val="000000"/>
                <w:sz w:val="20"/>
                <w:szCs w:val="20"/>
              </w:rPr>
              <w:t xml:space="preserve">100</w:t>
            </w:r>
          </w:p>
        </w:tc>
        <w:tc>
          <w:tcPr>
            <w:tcW w:type="dxa" w:w="2713"/>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right"/>
            </w:pPr>
            <w:r>
              <w:rPr>
                <w:rFonts w:ascii="Calibri" w:cs="Calibri" w:eastAsia="Calibri" w:hAnsi="Calibri"/>
                <w:color w:val="000000"/>
                <w:sz w:val="20"/>
                <w:szCs w:val="20"/>
              </w:rPr>
              <w:t xml:space="preserve">12.4%</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color w:val="000000"/>
                <w:sz w:val="20"/>
                <w:szCs w:val="20"/>
              </w:rPr>
              <w:t xml:space="preserve">(Blank)</w:t>
            </w:r>
          </w:p>
        </w:tc>
        <w:tc>
          <w:tcPr>
            <w:tcW w:type="dxa" w:w="27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color w:val="000000"/>
                <w:sz w:val="20"/>
                <w:szCs w:val="20"/>
              </w:rPr>
              <w:t xml:space="preserve">93</w:t>
            </w:r>
          </w:p>
        </w:tc>
        <w:tc>
          <w:tcPr>
            <w:tcW w:type="dxa" w:w="27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color w:val="000000"/>
                <w:sz w:val="20"/>
                <w:szCs w:val="20"/>
              </w:rPr>
              <w:t xml:space="preserve">11.5%</w:t>
            </w:r>
          </w:p>
        </w:tc>
      </w:tr>
      <w:tr>
        <w:tc>
          <w:tcPr>
            <w:tcW w:type="dxa" w:w="36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color w:val="000000"/>
                <w:sz w:val="20"/>
                <w:szCs w:val="20"/>
              </w:rPr>
              <w:t xml:space="preserve">Robert King</w:t>
            </w:r>
          </w:p>
        </w:tc>
        <w:tc>
          <w:tcPr>
            <w:tcW w:type="dxa" w:w="2713"/>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right"/>
            </w:pPr>
            <w:r>
              <w:rPr>
                <w:rFonts w:ascii="Calibri" w:cs="Calibri" w:eastAsia="Calibri" w:hAnsi="Calibri"/>
                <w:color w:val="000000"/>
                <w:sz w:val="20"/>
                <w:szCs w:val="20"/>
              </w:rPr>
              <w:t xml:space="preserve">69</w:t>
            </w:r>
          </w:p>
        </w:tc>
        <w:tc>
          <w:tcPr>
            <w:tcW w:type="dxa" w:w="2713"/>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right"/>
            </w:pPr>
            <w:r>
              <w:rPr>
                <w:rFonts w:ascii="Calibri" w:cs="Calibri" w:eastAsia="Calibri" w:hAnsi="Calibri"/>
                <w:color w:val="000000"/>
                <w:sz w:val="20"/>
                <w:szCs w:val="20"/>
              </w:rPr>
              <w:t xml:space="preserve">8.5%</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color w:val="000000"/>
                <w:sz w:val="20"/>
                <w:szCs w:val="20"/>
              </w:rPr>
              <w:t xml:space="preserve">Michael Suyama</w:t>
            </w:r>
          </w:p>
        </w:tc>
        <w:tc>
          <w:tcPr>
            <w:tcW w:type="dxa" w:w="27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color w:val="000000"/>
                <w:sz w:val="20"/>
                <w:szCs w:val="20"/>
              </w:rPr>
              <w:t xml:space="preserve">65</w:t>
            </w:r>
          </w:p>
        </w:tc>
        <w:tc>
          <w:tcPr>
            <w:tcW w:type="dxa" w:w="27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color w:val="000000"/>
                <w:sz w:val="20"/>
                <w:szCs w:val="20"/>
              </w:rPr>
              <w:t xml:space="preserve">8.0%</w:t>
            </w:r>
          </w:p>
        </w:tc>
      </w:tr>
      <w:tr>
        <w:tc>
          <w:tcPr>
            <w:tcW w:type="dxa" w:w="36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color w:val="000000"/>
                <w:sz w:val="20"/>
                <w:szCs w:val="20"/>
              </w:rPr>
              <w:t xml:space="preserve">Anne Dodsworth</w:t>
            </w:r>
          </w:p>
        </w:tc>
        <w:tc>
          <w:tcPr>
            <w:tcW w:type="dxa" w:w="2713"/>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right"/>
            </w:pPr>
            <w:r>
              <w:rPr>
                <w:rFonts w:ascii="Calibri" w:cs="Calibri" w:eastAsia="Calibri" w:hAnsi="Calibri"/>
                <w:color w:val="000000"/>
                <w:sz w:val="20"/>
                <w:szCs w:val="20"/>
              </w:rPr>
              <w:t xml:space="preserve">42</w:t>
            </w:r>
          </w:p>
        </w:tc>
        <w:tc>
          <w:tcPr>
            <w:tcW w:type="dxa" w:w="2713"/>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right"/>
            </w:pPr>
            <w:r>
              <w:rPr>
                <w:rFonts w:ascii="Calibri" w:cs="Calibri" w:eastAsia="Calibri" w:hAnsi="Calibri"/>
                <w:color w:val="000000"/>
                <w:sz w:val="20"/>
                <w:szCs w:val="20"/>
              </w:rPr>
              <w:t xml:space="preserve">5.2%</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color w:val="000000"/>
                <w:sz w:val="20"/>
                <w:szCs w:val="20"/>
              </w:rPr>
              <w:t xml:space="preserve">Steven Buchanan</w:t>
            </w:r>
          </w:p>
        </w:tc>
        <w:tc>
          <w:tcPr>
            <w:tcW w:type="dxa" w:w="27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color w:val="000000"/>
                <w:sz w:val="20"/>
                <w:szCs w:val="20"/>
              </w:rPr>
              <w:t xml:space="preserve">42</w:t>
            </w:r>
          </w:p>
        </w:tc>
        <w:tc>
          <w:tcPr>
            <w:tcW w:type="dxa" w:w="27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color w:val="000000"/>
                <w:sz w:val="20"/>
                <w:szCs w:val="20"/>
              </w:rPr>
              <w:t xml:space="preserve">5.2%</w:t>
            </w:r>
          </w:p>
        </w:tc>
      </w:tr>
    </w:tbl>
    <w:p>
      <w:pPr>
        <w:spacing w:after="200" w:before="60"/>
        <w:jc w:val="center"/>
      </w:pPr>
      <w:r>
        <w:rPr>
          <w:rFonts w:ascii="Calibri" w:cs="Calibri" w:eastAsia="Calibri" w:hAnsi="Calibri"/>
          <w:i/>
          <w:iCs/>
          <w:color w:val="555555"/>
          <w:sz w:val="19"/>
          <w:szCs w:val="19"/>
        </w:rPr>
        <w:t xml:space="preserve">Table 6: Employee-wise order volume</w:t>
      </w:r>
    </w:p>
    <w:p>
      <w:pPr>
        <w:spacing w:after="120" w:line="300"/>
        <w:jc w:val="both"/>
      </w:pPr>
      <w:r>
        <w:rPr>
          <w:rFonts w:ascii="Calibri" w:cs="Calibri" w:eastAsia="Calibri" w:hAnsi="Calibri"/>
          <w:sz w:val="22"/>
          <w:szCs w:val="22"/>
        </w:rPr>
        <w:t xml:space="preserve">The top three employees handle close to half of all orders. About 11% of orders have no employee name, which is a data-quality gap that should be corrected.</w:t>
      </w:r>
    </w:p>
    <w:p>
      <w:pPr>
        <w:pStyle w:val="Heading1"/>
        <w:spacing w:after="160" w:before="240"/>
      </w:pPr>
      <w:r>
        <w:rPr>
          <w:rFonts w:ascii="Calibri" w:cs="Calibri" w:eastAsia="Calibri" w:hAnsi="Calibri"/>
          <w:b/>
          <w:bCs/>
          <w:color w:val="1F4E79"/>
          <w:sz w:val="32"/>
          <w:szCs w:val="32"/>
        </w:rPr>
        <w:t xml:space="preserve">9. Customer Analysis by Country</w:t>
      </w:r>
    </w:p>
    <w:p>
      <w:pPr>
        <w:spacing w:after="120" w:line="300"/>
        <w:jc w:val="both"/>
      </w:pPr>
      <w:r>
        <w:rPr>
          <w:rFonts w:ascii="Calibri" w:cs="Calibri" w:eastAsia="Calibri" w:hAnsi="Calibri"/>
          <w:sz w:val="22"/>
          <w:szCs w:val="22"/>
        </w:rPr>
        <w:t xml:space="preserve">Northwind serves 91 customers in 21 countries. The United States has the largest number with 13 customers, followed by France and Germany with 11 each and Brazil with 9. These four countries account for 44 customers, nearly half of the total.</w:t>
      </w:r>
    </w:p>
    <w:p>
      <w:pPr>
        <w:spacing w:after="40" w:before="120"/>
        <w:jc w:val="center"/>
      </w:pPr>
      <w:r>
        <w:drawing>
          <wp:inline distT="0" distB="0" distL="0" distR="0">
            <wp:extent cx="4762500" cy="3533775"/>
            <wp:effectExtent t="0" r="0" b="0" l="0"/>
            <wp:docPr id="1" name="c_country.png" descr="c_country.png" title="c_count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533775"/>
                    </a:xfrm>
                    <a:prstGeom prst="rect">
                      <a:avLst/>
                    </a:prstGeom>
                  </pic:spPr>
                </pic:pic>
              </a:graphicData>
            </a:graphic>
          </wp:inline>
        </w:drawing>
      </w:r>
    </w:p>
    <w:p>
      <w:pPr>
        <w:spacing w:after="200" w:before="60"/>
        <w:jc w:val="center"/>
      </w:pPr>
      <w:r>
        <w:rPr>
          <w:rFonts w:ascii="Calibri" w:cs="Calibri" w:eastAsia="Calibri" w:hAnsi="Calibri"/>
          <w:i/>
          <w:iCs/>
          <w:color w:val="555555"/>
          <w:sz w:val="19"/>
          <w:szCs w:val="19"/>
        </w:rPr>
        <w:t xml:space="preserve">Figure 6: Number of Customers by Country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Customer Group</w:t>
            </w:r>
          </w:p>
        </w:tc>
        <w:tc>
          <w:tcPr>
            <w:tcW w:type="dxa" w:w="301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Countries</w:t>
            </w:r>
          </w:p>
        </w:tc>
        <w:tc>
          <w:tcPr>
            <w:tcW w:type="dxa" w:w="301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Customers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10 or more customers</w:t>
            </w:r>
          </w:p>
        </w:tc>
        <w:tc>
          <w:tcPr>
            <w:tcW w:type="dxa" w:w="30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USA, France, Germany</w:t>
            </w:r>
          </w:p>
        </w:tc>
        <w:tc>
          <w:tcPr>
            <w:tcW w:type="dxa" w:w="30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35</w:t>
            </w:r>
          </w:p>
        </w:tc>
      </w:tr>
      <w:tr>
        <w:tc>
          <w:tcPr>
            <w:tcW w:type="dxa" w:w="30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5 to 9 customers</w:t>
            </w:r>
          </w:p>
        </w:tc>
        <w:tc>
          <w:tcPr>
            <w:tcW w:type="dxa" w:w="3013"/>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Brazil, UK, Mexico, Spain</w:t>
            </w:r>
          </w:p>
        </w:tc>
        <w:tc>
          <w:tcPr>
            <w:tcW w:type="dxa" w:w="3013"/>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26</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3 to 4 customers</w:t>
            </w:r>
          </w:p>
        </w:tc>
        <w:tc>
          <w:tcPr>
            <w:tcW w:type="dxa" w:w="30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Venezuela, Argentina, Canada, Italy</w:t>
            </w:r>
          </w:p>
        </w:tc>
        <w:tc>
          <w:tcPr>
            <w:tcW w:type="dxa" w:w="30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13</w:t>
            </w:r>
          </w:p>
        </w:tc>
      </w:tr>
      <w:tr>
        <w:tc>
          <w:tcPr>
            <w:tcW w:type="dxa" w:w="30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2 customers</w:t>
            </w:r>
          </w:p>
        </w:tc>
        <w:tc>
          <w:tcPr>
            <w:tcW w:type="dxa" w:w="3013"/>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Austria, Belgium, Denmark, Finland, Portugal, Sweden, Switzerland</w:t>
            </w:r>
          </w:p>
        </w:tc>
        <w:tc>
          <w:tcPr>
            <w:tcW w:type="dxa" w:w="3013"/>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14</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1 customer</w:t>
            </w:r>
          </w:p>
        </w:tc>
        <w:tc>
          <w:tcPr>
            <w:tcW w:type="dxa" w:w="30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Ireland, Norway, Poland</w:t>
            </w:r>
          </w:p>
        </w:tc>
        <w:tc>
          <w:tcPr>
            <w:tcW w:type="dxa" w:w="30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3</w:t>
            </w:r>
          </w:p>
        </w:tc>
      </w:tr>
      <w:tr>
        <w:tc>
          <w:tcPr>
            <w:tcW w:type="dxa" w:w="30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b/>
                <w:bCs/>
                <w:color w:val="000000"/>
                <w:sz w:val="20"/>
                <w:szCs w:val="20"/>
              </w:rPr>
              <w:t xml:space="preserve">Total</w:t>
            </w:r>
          </w:p>
        </w:tc>
        <w:tc>
          <w:tcPr>
            <w:tcW w:type="dxa" w:w="3013"/>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b/>
                <w:bCs/>
                <w:color w:val="000000"/>
                <w:sz w:val="20"/>
                <w:szCs w:val="20"/>
              </w:rPr>
              <w:t xml:space="preserve">21 countries</w:t>
            </w:r>
          </w:p>
        </w:tc>
        <w:tc>
          <w:tcPr>
            <w:tcW w:type="dxa" w:w="3013"/>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right"/>
            </w:pPr>
            <w:r>
              <w:rPr>
                <w:rFonts w:ascii="Calibri" w:cs="Calibri" w:eastAsia="Calibri" w:hAnsi="Calibri"/>
                <w:b/>
                <w:bCs/>
                <w:color w:val="000000"/>
                <w:sz w:val="20"/>
                <w:szCs w:val="20"/>
              </w:rPr>
              <w:t xml:space="preserve">91</w:t>
            </w:r>
          </w:p>
        </w:tc>
      </w:tr>
    </w:tbl>
    <w:p>
      <w:pPr>
        <w:spacing w:after="200" w:before="60"/>
        <w:jc w:val="center"/>
      </w:pPr>
      <w:r>
        <w:rPr>
          <w:rFonts w:ascii="Calibri" w:cs="Calibri" w:eastAsia="Calibri" w:hAnsi="Calibri"/>
          <w:i/>
          <w:iCs/>
          <w:color w:val="555555"/>
          <w:sz w:val="19"/>
          <w:szCs w:val="19"/>
        </w:rPr>
        <w:t xml:space="preserve">Table 7: Customer concentration by country</w:t>
      </w:r>
    </w:p>
    <w:p>
      <w:pPr>
        <w:pStyle w:val="Heading1"/>
        <w:spacing w:after="160" w:before="240"/>
      </w:pPr>
      <w:r>
        <w:rPr>
          <w:rFonts w:ascii="Calibri" w:cs="Calibri" w:eastAsia="Calibri" w:hAnsi="Calibri"/>
          <w:b/>
          <w:bCs/>
          <w:color w:val="1F4E79"/>
          <w:sz w:val="32"/>
          <w:szCs w:val="32"/>
        </w:rPr>
        <w:t xml:space="preserve">10. Product-Level Analysis</w:t>
      </w:r>
    </w:p>
    <w:p>
      <w:pPr>
        <w:spacing w:after="120" w:line="300"/>
        <w:jc w:val="both"/>
      </w:pPr>
      <w:r>
        <w:rPr>
          <w:rFonts w:ascii="Calibri" w:cs="Calibri" w:eastAsia="Calibri" w:hAnsi="Calibri"/>
          <w:sz w:val="22"/>
          <w:szCs w:val="22"/>
        </w:rPr>
        <w:t xml:space="preserve">The Products &amp; Customer analysis page contains a detailed table listing every product with its category, total sales and total quantity sold. The table below shows the ten highest-selling products among the rows visible in the dashboard 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2063"/>
        <w:gridCol w:w="2063"/>
      </w:tblGrid>
      <w:tr>
        <w:trPr>
          <w:tblHeader/>
        </w:trPr>
        <w:tc>
          <w:tcPr>
            <w:tcW w:type="dxa" w:w="2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Product</w:t>
            </w:r>
          </w:p>
        </w:tc>
        <w:tc>
          <w:tcPr>
            <w:tcW w:type="dxa" w:w="2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Category</w:t>
            </w:r>
          </w:p>
        </w:tc>
        <w:tc>
          <w:tcPr>
            <w:tcW w:type="dxa" w:w="206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Total Sales</w:t>
            </w:r>
          </w:p>
        </w:tc>
        <w:tc>
          <w:tcPr>
            <w:tcW w:type="dxa" w:w="206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Qty Sold</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Côte de Blaye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Beverages</w:t>
            </w:r>
          </w:p>
        </w:tc>
        <w:tc>
          <w:tcPr>
            <w:tcW w:type="dxa" w:w="20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141,396.74</w:t>
            </w:r>
          </w:p>
        </w:tc>
        <w:tc>
          <w:tcPr>
            <w:tcW w:type="dxa" w:w="20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623</w:t>
            </w:r>
          </w:p>
        </w:tc>
      </w:tr>
      <w:tr>
        <w:tc>
          <w:tcPr>
            <w:tcW w:type="dxa" w:w="29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Camembert Pierrot</w:t>
            </w:r>
          </w:p>
        </w:tc>
        <w:tc>
          <w:tcPr>
            <w:tcW w:type="dxa" w:w="20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Dairy Products</w:t>
            </w:r>
          </w:p>
        </w:tc>
        <w:tc>
          <w:tcPr>
            <w:tcW w:type="dxa" w:w="2063"/>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46,825.48</w:t>
            </w:r>
          </w:p>
        </w:tc>
        <w:tc>
          <w:tcPr>
            <w:tcW w:type="dxa" w:w="2063"/>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1,577</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Gnocchi di nonna Alice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Grains &amp; Cereals</w:t>
            </w:r>
          </w:p>
        </w:tc>
        <w:tc>
          <w:tcPr>
            <w:tcW w:type="dxa" w:w="20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42,593.06</w:t>
            </w:r>
          </w:p>
        </w:tc>
        <w:tc>
          <w:tcPr>
            <w:tcW w:type="dxa" w:w="20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1,263</w:t>
            </w:r>
          </w:p>
        </w:tc>
      </w:tr>
      <w:tr>
        <w:tc>
          <w:tcPr>
            <w:tcW w:type="dxa" w:w="29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Alice Mutton</w:t>
            </w:r>
          </w:p>
        </w:tc>
        <w:tc>
          <w:tcPr>
            <w:tcW w:type="dxa" w:w="20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Meat &amp; Poultry</w:t>
            </w:r>
          </w:p>
        </w:tc>
        <w:tc>
          <w:tcPr>
            <w:tcW w:type="dxa" w:w="2063"/>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32,698.38</w:t>
            </w:r>
          </w:p>
        </w:tc>
        <w:tc>
          <w:tcPr>
            <w:tcW w:type="dxa" w:w="2063"/>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978</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Carnarvon Tigers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Seafood</w:t>
            </w:r>
          </w:p>
        </w:tc>
        <w:tc>
          <w:tcPr>
            <w:tcW w:type="dxa" w:w="20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29,171.88</w:t>
            </w:r>
          </w:p>
        </w:tc>
        <w:tc>
          <w:tcPr>
            <w:tcW w:type="dxa" w:w="20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539</w:t>
            </w:r>
          </w:p>
        </w:tc>
      </w:tr>
      <w:tr>
        <w:tc>
          <w:tcPr>
            <w:tcW w:type="dxa" w:w="29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Ipoh Coffee</w:t>
            </w:r>
          </w:p>
        </w:tc>
        <w:tc>
          <w:tcPr>
            <w:tcW w:type="dxa" w:w="20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Beverages</w:t>
            </w:r>
          </w:p>
        </w:tc>
        <w:tc>
          <w:tcPr>
            <w:tcW w:type="dxa" w:w="2063"/>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23,526.70</w:t>
            </w:r>
          </w:p>
        </w:tc>
        <w:tc>
          <w:tcPr>
            <w:tcW w:type="dxa" w:w="2063"/>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580</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Gudbrandsdalsost</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Dairy Products</w:t>
            </w:r>
          </w:p>
        </w:tc>
        <w:tc>
          <w:tcPr>
            <w:tcW w:type="dxa" w:w="20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21,942.36</w:t>
            </w:r>
          </w:p>
        </w:tc>
        <w:tc>
          <w:tcPr>
            <w:tcW w:type="dxa" w:w="20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714</w:t>
            </w:r>
          </w:p>
        </w:tc>
      </w:tr>
      <w:tr>
        <w:tc>
          <w:tcPr>
            <w:tcW w:type="dxa" w:w="29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Ikura</w:t>
            </w:r>
          </w:p>
        </w:tc>
        <w:tc>
          <w:tcPr>
            <w:tcW w:type="dxa" w:w="20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Seafood</w:t>
            </w:r>
          </w:p>
        </w:tc>
        <w:tc>
          <w:tcPr>
            <w:tcW w:type="dxa" w:w="2063"/>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20,867.34</w:t>
            </w:r>
          </w:p>
        </w:tc>
        <w:tc>
          <w:tcPr>
            <w:tcW w:type="dxa" w:w="2063"/>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742</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Gumbär Gummibärchen</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Confections</w:t>
            </w:r>
          </w:p>
        </w:tc>
        <w:tc>
          <w:tcPr>
            <w:tcW w:type="dxa" w:w="20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19,849.14</w:t>
            </w:r>
          </w:p>
        </w:tc>
        <w:tc>
          <w:tcPr>
            <w:tcW w:type="dxa" w:w="20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753</w:t>
            </w:r>
          </w:p>
        </w:tc>
      </w:tr>
      <w:tr>
        <w:tc>
          <w:tcPr>
            <w:tcW w:type="dxa" w:w="29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Flotemysost</w:t>
            </w:r>
          </w:p>
        </w:tc>
        <w:tc>
          <w:tcPr>
            <w:tcW w:type="dxa" w:w="20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Dairy Products</w:t>
            </w:r>
          </w:p>
        </w:tc>
        <w:tc>
          <w:tcPr>
            <w:tcW w:type="dxa" w:w="2063"/>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19,551.03</w:t>
            </w:r>
          </w:p>
        </w:tc>
        <w:tc>
          <w:tcPr>
            <w:tcW w:type="dxa" w:w="2063"/>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1,057</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bCs/>
                <w:color w:val="000000"/>
                <w:sz w:val="20"/>
                <w:szCs w:val="20"/>
              </w:rPr>
              <w:t xml:space="preserve">Grand Total (all products)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bCs/>
                <w:color w:val="000000"/>
                <w:sz w:val="20"/>
                <w:szCs w:val="20"/>
              </w:rPr>
              <w:t xml:space="preserve"/>
            </w:r>
          </w:p>
        </w:tc>
        <w:tc>
          <w:tcPr>
            <w:tcW w:type="dxa" w:w="20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bCs/>
                <w:color w:val="000000"/>
                <w:sz w:val="20"/>
                <w:szCs w:val="20"/>
              </w:rPr>
              <w:t xml:space="preserve">1,265,793.04</w:t>
            </w:r>
          </w:p>
        </w:tc>
        <w:tc>
          <w:tcPr>
            <w:tcW w:type="dxa" w:w="20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bCs/>
                <w:color w:val="000000"/>
                <w:sz w:val="20"/>
                <w:szCs w:val="20"/>
              </w:rPr>
              <w:t xml:space="preserve">51,317</w:t>
            </w:r>
          </w:p>
        </w:tc>
      </w:tr>
    </w:tbl>
    <w:p>
      <w:pPr>
        <w:spacing w:after="200" w:before="60"/>
        <w:jc w:val="center"/>
      </w:pPr>
      <w:r>
        <w:rPr>
          <w:rFonts w:ascii="Calibri" w:cs="Calibri" w:eastAsia="Calibri" w:hAnsi="Calibri"/>
          <w:i/>
          <w:iCs/>
          <w:color w:val="555555"/>
          <w:sz w:val="19"/>
          <w:szCs w:val="19"/>
        </w:rPr>
        <w:t xml:space="preserve">Table 8: Top products by sales among the visible rows of the product table</w:t>
      </w:r>
    </w:p>
    <w:p>
      <w:pPr>
        <w:spacing w:after="120" w:line="300"/>
        <w:jc w:val="both"/>
      </w:pPr>
      <w:r>
        <w:rPr>
          <w:rFonts w:ascii="Calibri" w:cs="Calibri" w:eastAsia="Calibri" w:hAnsi="Calibri"/>
          <w:sz w:val="22"/>
          <w:szCs w:val="22"/>
        </w:rPr>
        <w:t xml:space="preserve">Côte de Blaye alone contributes more than 141 thousand, over 11% of total company sales, from only 623 units, so it is a very high-value item. In contrast, products such as Camembert Pierrot and Gorgonzola Telino sell in much larger quantities at lower value per unit.</w:t>
      </w:r>
    </w:p>
    <w:p>
      <w:pPr>
        <w:pStyle w:val="Heading1"/>
        <w:spacing w:after="160" w:before="240"/>
      </w:pPr>
      <w:r>
        <w:rPr>
          <w:rFonts w:ascii="Calibri" w:cs="Calibri" w:eastAsia="Calibri" w:hAnsi="Calibri"/>
          <w:b/>
          <w:bCs/>
          <w:color w:val="1F4E79"/>
          <w:sz w:val="32"/>
          <w:szCs w:val="32"/>
        </w:rPr>
        <w:t xml:space="preserve">11. Dashboard Design and Interactivity</w:t>
      </w:r>
    </w:p>
    <w:p>
      <w:pPr>
        <w:spacing w:after="120" w:line="300"/>
        <w:jc w:val="both"/>
      </w:pPr>
      <w:r>
        <w:rPr>
          <w:rFonts w:ascii="Calibri" w:cs="Calibri" w:eastAsia="Calibri" w:hAnsi="Calibri"/>
          <w:sz w:val="22"/>
          <w:szCs w:val="22"/>
        </w:rPr>
        <w:t xml:space="preserve">The dashboard is organised into four report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Page</w:t>
            </w:r>
          </w:p>
        </w:tc>
        <w:tc>
          <w:tcPr>
            <w:tcW w:type="dxa" w:w="64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Purpose</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color w:val="000000"/>
                <w:sz w:val="20"/>
                <w:szCs w:val="20"/>
              </w:rPr>
              <w:t xml:space="preserve">Sales Overviews</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color w:val="000000"/>
                <w:sz w:val="20"/>
                <w:szCs w:val="20"/>
              </w:rPr>
              <w:t xml:space="preserve">Six KPI cards, monthly order line chart, orders by employee and sales by category</w:t>
            </w:r>
          </w:p>
        </w:tc>
      </w:tr>
      <w:tr>
        <w:tc>
          <w:tcPr>
            <w:tcW w:type="dxa" w:w="26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color w:val="000000"/>
                <w:sz w:val="20"/>
                <w:szCs w:val="20"/>
              </w:rPr>
              <w:t xml:space="preserve">Products &amp; Customer analysis</w:t>
            </w:r>
          </w:p>
        </w:tc>
        <w:tc>
          <w:tcPr>
            <w:tcW w:type="dxa" w:w="6426"/>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color w:val="000000"/>
                <w:sz w:val="20"/>
                <w:szCs w:val="20"/>
              </w:rPr>
              <w:t xml:space="preserve">Customers by country and the product-wise sales table with totals</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color w:val="000000"/>
                <w:sz w:val="20"/>
                <w:szCs w:val="20"/>
              </w:rPr>
              <w:t xml:space="preserve">Sales Dashboard</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color w:val="000000"/>
                <w:sz w:val="20"/>
                <w:szCs w:val="20"/>
              </w:rPr>
              <w:t xml:space="preserve">Titled presentation page with the same visuals plus Year, Country and Category filters</w:t>
            </w:r>
          </w:p>
        </w:tc>
      </w:tr>
      <w:tr>
        <w:tc>
          <w:tcPr>
            <w:tcW w:type="dxa" w:w="26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color w:val="000000"/>
                <w:sz w:val="20"/>
                <w:szCs w:val="20"/>
              </w:rPr>
              <w:t xml:space="preserve">Tool tips</w:t>
            </w:r>
          </w:p>
        </w:tc>
        <w:tc>
          <w:tcPr>
            <w:tcW w:type="dxa" w:w="6426"/>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color w:val="000000"/>
                <w:sz w:val="20"/>
                <w:szCs w:val="20"/>
              </w:rPr>
              <w:t xml:space="preserve">Small pop-up card showing Total Orders, Total Sales and Total Quantity Sold on hover</w:t>
            </w:r>
          </w:p>
        </w:tc>
      </w:tr>
    </w:tbl>
    <w:p>
      <w:pPr>
        <w:spacing w:after="200" w:before="60"/>
        <w:jc w:val="center"/>
      </w:pPr>
      <w:r>
        <w:rPr>
          <w:rFonts w:ascii="Calibri" w:cs="Calibri" w:eastAsia="Calibri" w:hAnsi="Calibri"/>
          <w:i/>
          <w:iCs/>
          <w:color w:val="555555"/>
          <w:sz w:val="19"/>
          <w:szCs w:val="19"/>
        </w:rPr>
        <w:t xml:space="preserve">Table 9: Pages of the Northwind dashboard</w:t>
      </w:r>
    </w:p>
    <w:p>
      <w:pPr>
        <w:spacing w:after="120" w:line="300"/>
        <w:jc w:val="both"/>
      </w:pPr>
      <w:r>
        <w:rPr>
          <w:rFonts w:ascii="Calibri" w:cs="Calibri" w:eastAsia="Calibri" w:hAnsi="Calibri"/>
          <w:sz w:val="22"/>
          <w:szCs w:val="22"/>
        </w:rPr>
        <w:t xml:space="preserve">On the Sales Dashboard page, three slicers allow users to filter every visual at once: a Year slider (2014 to 2015), a Country drop-down and a Category drop-down. When the year filter is applied, the KPIs change to 657 orders and 1.03M in sales. The Tool tips page gives extra detail when a user hovers over a chart element, keeping the main pages clean.</w:t>
      </w:r>
    </w:p>
    <w:p>
      <w:pPr>
        <w:pStyle w:val="Heading1"/>
        <w:spacing w:after="160" w:before="240"/>
      </w:pPr>
      <w:r>
        <w:rPr>
          <w:rFonts w:ascii="Calibri" w:cs="Calibri" w:eastAsia="Calibri" w:hAnsi="Calibri"/>
          <w:b/>
          <w:bCs/>
          <w:color w:val="1F4E79"/>
          <w:sz w:val="32"/>
          <w:szCs w:val="32"/>
        </w:rPr>
        <w:t xml:space="preserve">12. Key Findings</w:t>
      </w:r>
    </w:p>
    <w:p>
      <w:pPr>
        <w:pStyle w:val="ListParagraph"/>
        <w:numPr>
          <w:ilvl w:val="0"/>
          <w:numId w:val="2"/>
        </w:numPr>
        <w:spacing w:after="80" w:line="290"/>
      </w:pPr>
      <w:r>
        <w:rPr>
          <w:rFonts w:ascii="Calibri" w:cs="Calibri" w:eastAsia="Calibri" w:hAnsi="Calibri"/>
          <w:b/>
          <w:bCs/>
          <w:sz w:val="22"/>
          <w:szCs w:val="22"/>
        </w:rPr>
        <w:t xml:space="preserve">Overall performance:</w:t>
      </w:r>
      <w:r>
        <w:rPr>
          <w:rFonts w:ascii="Calibri" w:cs="Calibri" w:eastAsia="Calibri" w:hAnsi="Calibri"/>
          <w:sz w:val="22"/>
          <w:szCs w:val="22"/>
        </w:rPr>
        <w:t xml:space="preserve"> Total sales of 1.27M from 809 orders and 51K units sold to 91 customers.</w:t>
      </w:r>
    </w:p>
    <w:p>
      <w:pPr>
        <w:pStyle w:val="ListParagraph"/>
        <w:numPr>
          <w:ilvl w:val="0"/>
          <w:numId w:val="2"/>
        </w:numPr>
        <w:spacing w:after="80" w:line="290"/>
      </w:pPr>
      <w:r>
        <w:rPr>
          <w:rFonts w:ascii="Calibri" w:cs="Calibri" w:eastAsia="Calibri" w:hAnsi="Calibri"/>
          <w:b/>
          <w:bCs/>
          <w:sz w:val="22"/>
          <w:szCs w:val="22"/>
        </w:rPr>
        <w:t xml:space="preserve">Category concentration:</w:t>
      </w:r>
      <w:r>
        <w:rPr>
          <w:rFonts w:ascii="Calibri" w:cs="Calibri" w:eastAsia="Calibri" w:hAnsi="Calibri"/>
          <w:sz w:val="22"/>
          <w:szCs w:val="22"/>
        </w:rPr>
        <w:t xml:space="preserve"> Beverages and Dairy Products together contribute about 40% of sales.</w:t>
      </w:r>
    </w:p>
    <w:p>
      <w:pPr>
        <w:pStyle w:val="ListParagraph"/>
        <w:numPr>
          <w:ilvl w:val="0"/>
          <w:numId w:val="2"/>
        </w:numPr>
        <w:spacing w:after="80" w:line="290"/>
      </w:pPr>
      <w:r>
        <w:rPr>
          <w:rFonts w:ascii="Calibri" w:cs="Calibri" w:eastAsia="Calibri" w:hAnsi="Calibri"/>
          <w:b/>
          <w:bCs/>
          <w:sz w:val="22"/>
          <w:szCs w:val="22"/>
        </w:rPr>
        <w:t xml:space="preserve">Seasonality:</w:t>
      </w:r>
      <w:r>
        <w:rPr>
          <w:rFonts w:ascii="Calibri" w:cs="Calibri" w:eastAsia="Calibri" w:hAnsi="Calibri"/>
          <w:sz w:val="22"/>
          <w:szCs w:val="22"/>
        </w:rPr>
        <w:t xml:space="preserve"> Orders peak from January to April and fall sharply in May and June.</w:t>
      </w:r>
    </w:p>
    <w:p>
      <w:pPr>
        <w:pStyle w:val="ListParagraph"/>
        <w:numPr>
          <w:ilvl w:val="0"/>
          <w:numId w:val="2"/>
        </w:numPr>
        <w:spacing w:after="80" w:line="290"/>
      </w:pPr>
      <w:r>
        <w:rPr>
          <w:rFonts w:ascii="Calibri" w:cs="Calibri" w:eastAsia="Calibri" w:hAnsi="Calibri"/>
          <w:b/>
          <w:bCs/>
          <w:sz w:val="22"/>
          <w:szCs w:val="22"/>
        </w:rPr>
        <w:t xml:space="preserve">Employees:</w:t>
      </w:r>
      <w:r>
        <w:rPr>
          <w:rFonts w:ascii="Calibri" w:cs="Calibri" w:eastAsia="Calibri" w:hAnsi="Calibri"/>
          <w:sz w:val="22"/>
          <w:szCs w:val="22"/>
        </w:rPr>
        <w:t xml:space="preserve"> Order volume is uneven; the top three staff handle nearly half of all orders.</w:t>
      </w:r>
    </w:p>
    <w:p>
      <w:pPr>
        <w:pStyle w:val="ListParagraph"/>
        <w:numPr>
          <w:ilvl w:val="0"/>
          <w:numId w:val="2"/>
        </w:numPr>
        <w:spacing w:after="80" w:line="290"/>
      </w:pPr>
      <w:r>
        <w:rPr>
          <w:rFonts w:ascii="Calibri" w:cs="Calibri" w:eastAsia="Calibri" w:hAnsi="Calibri"/>
          <w:b/>
          <w:bCs/>
          <w:sz w:val="22"/>
          <w:szCs w:val="22"/>
        </w:rPr>
        <w:t xml:space="preserve">Customers:</w:t>
      </w:r>
      <w:r>
        <w:rPr>
          <w:rFonts w:ascii="Calibri" w:cs="Calibri" w:eastAsia="Calibri" w:hAnsi="Calibri"/>
          <w:sz w:val="22"/>
          <w:szCs w:val="22"/>
        </w:rPr>
        <w:t xml:space="preserve"> The USA, France and Germany hold 35 of 91 customers.</w:t>
      </w:r>
    </w:p>
    <w:p>
      <w:pPr>
        <w:pStyle w:val="ListParagraph"/>
        <w:numPr>
          <w:ilvl w:val="0"/>
          <w:numId w:val="2"/>
        </w:numPr>
        <w:spacing w:after="80" w:line="290"/>
      </w:pPr>
      <w:r>
        <w:rPr>
          <w:rFonts w:ascii="Calibri" w:cs="Calibri" w:eastAsia="Calibri" w:hAnsi="Calibri"/>
          <w:b/>
          <w:bCs/>
          <w:sz w:val="22"/>
          <w:szCs w:val="22"/>
        </w:rPr>
        <w:t xml:space="preserve">Freight:</w:t>
      </w:r>
      <w:r>
        <w:rPr>
          <w:rFonts w:ascii="Calibri" w:cs="Calibri" w:eastAsia="Calibri" w:hAnsi="Calibri"/>
          <w:sz w:val="22"/>
          <w:szCs w:val="22"/>
        </w:rPr>
        <w:t xml:space="preserve"> Freight is about 5% of sales with an average cost of 79.05 per order.</w:t>
      </w:r>
    </w:p>
    <w:p>
      <w:pPr>
        <w:pStyle w:val="ListParagraph"/>
        <w:numPr>
          <w:ilvl w:val="0"/>
          <w:numId w:val="2"/>
        </w:numPr>
        <w:spacing w:after="80" w:line="290"/>
      </w:pPr>
      <w:r>
        <w:rPr>
          <w:rFonts w:ascii="Calibri" w:cs="Calibri" w:eastAsia="Calibri" w:hAnsi="Calibri"/>
          <w:b/>
          <w:bCs/>
          <w:sz w:val="22"/>
          <w:szCs w:val="22"/>
        </w:rPr>
        <w:t xml:space="preserve">Data quality:</w:t>
      </w:r>
      <w:r>
        <w:rPr>
          <w:rFonts w:ascii="Calibri" w:cs="Calibri" w:eastAsia="Calibri" w:hAnsi="Calibri"/>
          <w:sz w:val="22"/>
          <w:szCs w:val="22"/>
        </w:rPr>
        <w:t xml:space="preserve"> Some orders have no employee assigned.</w:t>
      </w:r>
    </w:p>
    <w:p>
      <w:pPr>
        <w:pStyle w:val="Heading1"/>
        <w:spacing w:after="160" w:before="240"/>
      </w:pPr>
      <w:r>
        <w:rPr>
          <w:rFonts w:ascii="Calibri" w:cs="Calibri" w:eastAsia="Calibri" w:hAnsi="Calibri"/>
          <w:b/>
          <w:bCs/>
          <w:color w:val="1F4E79"/>
          <w:sz w:val="32"/>
          <w:szCs w:val="32"/>
        </w:rPr>
        <w:t xml:space="preserve">13. Recommendations</w:t>
      </w:r>
    </w:p>
    <w:p>
      <w:pPr>
        <w:pStyle w:val="ListParagraph"/>
        <w:numPr>
          <w:ilvl w:val="0"/>
          <w:numId w:val="2"/>
        </w:numPr>
        <w:spacing w:after="80" w:line="290"/>
      </w:pPr>
      <w:r>
        <w:rPr>
          <w:rFonts w:ascii="Calibri" w:cs="Calibri" w:eastAsia="Calibri" w:hAnsi="Calibri"/>
          <w:b/>
          <w:bCs/>
          <w:sz w:val="22"/>
          <w:szCs w:val="22"/>
        </w:rPr>
        <w:t xml:space="preserve">Smooth the seasonal dip.</w:t>
      </w:r>
      <w:r>
        <w:rPr>
          <w:rFonts w:ascii="Calibri" w:cs="Calibri" w:eastAsia="Calibri" w:hAnsi="Calibri"/>
          <w:sz w:val="22"/>
          <w:szCs w:val="22"/>
        </w:rPr>
        <w:t xml:space="preserve"> Run promotions and bundle offers in May and June to lift the low-demand months.</w:t>
      </w:r>
    </w:p>
    <w:p>
      <w:pPr>
        <w:pStyle w:val="ListParagraph"/>
        <w:numPr>
          <w:ilvl w:val="0"/>
          <w:numId w:val="2"/>
        </w:numPr>
        <w:spacing w:after="80" w:line="290"/>
      </w:pPr>
      <w:r>
        <w:rPr>
          <w:rFonts w:ascii="Calibri" w:cs="Calibri" w:eastAsia="Calibri" w:hAnsi="Calibri"/>
          <w:b/>
          <w:bCs/>
          <w:sz w:val="22"/>
          <w:szCs w:val="22"/>
        </w:rPr>
        <w:t xml:space="preserve">Grow smaller categories.</w:t>
      </w:r>
      <w:r>
        <w:rPr>
          <w:rFonts w:ascii="Calibri" w:cs="Calibri" w:eastAsia="Calibri" w:hAnsi="Calibri"/>
          <w:sz w:val="22"/>
          <w:szCs w:val="22"/>
        </w:rPr>
        <w:t xml:space="preserve"> Promote Produce, Grains &amp; Cereals and Condiments through cross-selling with the strong categories.</w:t>
      </w:r>
    </w:p>
    <w:p>
      <w:pPr>
        <w:pStyle w:val="ListParagraph"/>
        <w:numPr>
          <w:ilvl w:val="0"/>
          <w:numId w:val="2"/>
        </w:numPr>
        <w:spacing w:after="80" w:line="290"/>
      </w:pPr>
      <w:r>
        <w:rPr>
          <w:rFonts w:ascii="Calibri" w:cs="Calibri" w:eastAsia="Calibri" w:hAnsi="Calibri"/>
          <w:b/>
          <w:bCs/>
          <w:sz w:val="22"/>
          <w:szCs w:val="22"/>
        </w:rPr>
        <w:t xml:space="preserve">Protect top sellers.</w:t>
      </w:r>
      <w:r>
        <w:rPr>
          <w:rFonts w:ascii="Calibri" w:cs="Calibri" w:eastAsia="Calibri" w:hAnsi="Calibri"/>
          <w:sz w:val="22"/>
          <w:szCs w:val="22"/>
        </w:rPr>
        <w:t xml:space="preserve"> Keep Beverages and Dairy well stocked and protect high-value items such as Côte de Blaye.</w:t>
      </w:r>
    </w:p>
    <w:p>
      <w:pPr>
        <w:pStyle w:val="ListParagraph"/>
        <w:numPr>
          <w:ilvl w:val="0"/>
          <w:numId w:val="2"/>
        </w:numPr>
        <w:spacing w:after="80" w:line="290"/>
      </w:pPr>
      <w:r>
        <w:rPr>
          <w:rFonts w:ascii="Calibri" w:cs="Calibri" w:eastAsia="Calibri" w:hAnsi="Calibri"/>
          <w:b/>
          <w:bCs/>
          <w:sz w:val="22"/>
          <w:szCs w:val="22"/>
        </w:rPr>
        <w:t xml:space="preserve">Diversify customers.</w:t>
      </w:r>
      <w:r>
        <w:rPr>
          <w:rFonts w:ascii="Calibri" w:cs="Calibri" w:eastAsia="Calibri" w:hAnsi="Calibri"/>
          <w:sz w:val="22"/>
          <w:szCs w:val="22"/>
        </w:rPr>
        <w:t xml:space="preserve"> Reduce dependence on a few countries by targeting markets with only one or two customers.</w:t>
      </w:r>
    </w:p>
    <w:p>
      <w:pPr>
        <w:pStyle w:val="ListParagraph"/>
        <w:numPr>
          <w:ilvl w:val="0"/>
          <w:numId w:val="2"/>
        </w:numPr>
        <w:spacing w:after="80" w:line="290"/>
      </w:pPr>
      <w:r>
        <w:rPr>
          <w:rFonts w:ascii="Calibri" w:cs="Calibri" w:eastAsia="Calibri" w:hAnsi="Calibri"/>
          <w:b/>
          <w:bCs/>
          <w:sz w:val="22"/>
          <w:szCs w:val="22"/>
        </w:rPr>
        <w:t xml:space="preserve">Balance employee workload.</w:t>
      </w:r>
      <w:r>
        <w:rPr>
          <w:rFonts w:ascii="Calibri" w:cs="Calibri" w:eastAsia="Calibri" w:hAnsi="Calibri"/>
          <w:sz w:val="22"/>
          <w:szCs w:val="22"/>
        </w:rPr>
        <w:t xml:space="preserve"> Share workload more evenly and use the best performers' methods for training others.</w:t>
      </w:r>
    </w:p>
    <w:p>
      <w:pPr>
        <w:pStyle w:val="ListParagraph"/>
        <w:numPr>
          <w:ilvl w:val="0"/>
          <w:numId w:val="2"/>
        </w:numPr>
        <w:spacing w:after="80" w:line="290"/>
      </w:pPr>
      <w:r>
        <w:rPr>
          <w:rFonts w:ascii="Calibri" w:cs="Calibri" w:eastAsia="Calibri" w:hAnsi="Calibri"/>
          <w:b/>
          <w:bCs/>
          <w:sz w:val="22"/>
          <w:szCs w:val="22"/>
        </w:rPr>
        <w:t xml:space="preserve">Control freight cost.</w:t>
      </w:r>
      <w:r>
        <w:rPr>
          <w:rFonts w:ascii="Calibri" w:cs="Calibri" w:eastAsia="Calibri" w:hAnsi="Calibri"/>
          <w:sz w:val="22"/>
          <w:szCs w:val="22"/>
        </w:rPr>
        <w:t xml:space="preserve"> Negotiate freight rates, consolidate shipments and review cost for high-freight destinations.</w:t>
      </w:r>
    </w:p>
    <w:p>
      <w:pPr>
        <w:pStyle w:val="ListParagraph"/>
        <w:numPr>
          <w:ilvl w:val="0"/>
          <w:numId w:val="2"/>
        </w:numPr>
        <w:spacing w:after="80" w:line="290"/>
      </w:pPr>
      <w:r>
        <w:rPr>
          <w:rFonts w:ascii="Calibri" w:cs="Calibri" w:eastAsia="Calibri" w:hAnsi="Calibri"/>
          <w:b/>
          <w:bCs/>
          <w:sz w:val="22"/>
          <w:szCs w:val="22"/>
        </w:rPr>
        <w:t xml:space="preserve">Fix data quality.</w:t>
      </w:r>
      <w:r>
        <w:rPr>
          <w:rFonts w:ascii="Calibri" w:cs="Calibri" w:eastAsia="Calibri" w:hAnsi="Calibri"/>
          <w:sz w:val="22"/>
          <w:szCs w:val="22"/>
        </w:rPr>
        <w:t xml:space="preserve"> Ensure every order is linked to an employee so performance reporting is complete.</w:t>
      </w:r>
    </w:p>
    <w:p>
      <w:pPr>
        <w:pStyle w:val="Heading1"/>
        <w:spacing w:after="160" w:before="240"/>
      </w:pPr>
      <w:r>
        <w:rPr>
          <w:rFonts w:ascii="Calibri" w:cs="Calibri" w:eastAsia="Calibri" w:hAnsi="Calibri"/>
          <w:b/>
          <w:bCs/>
          <w:color w:val="1F4E79"/>
          <w:sz w:val="32"/>
          <w:szCs w:val="32"/>
        </w:rPr>
        <w:t xml:space="preserve">14. Relevance to FinTech and AI</w:t>
      </w:r>
    </w:p>
    <w:p>
      <w:pPr>
        <w:spacing w:after="120" w:line="300"/>
        <w:jc w:val="both"/>
      </w:pPr>
      <w:r>
        <w:rPr>
          <w:rFonts w:ascii="Calibri" w:cs="Calibri" w:eastAsia="Calibri" w:hAnsi="Calibri"/>
          <w:sz w:val="22"/>
          <w:szCs w:val="22"/>
        </w:rPr>
        <w:t xml:space="preserve">As a B.Com FinTech with AI student, this project connects directly to modern finance and technology practice:</w:t>
      </w:r>
    </w:p>
    <w:p>
      <w:pPr>
        <w:pStyle w:val="ListParagraph"/>
        <w:numPr>
          <w:ilvl w:val="0"/>
          <w:numId w:val="2"/>
        </w:numPr>
        <w:spacing w:after="80" w:line="290"/>
      </w:pPr>
      <w:r>
        <w:rPr>
          <w:rFonts w:ascii="Calibri" w:cs="Calibri" w:eastAsia="Calibri" w:hAnsi="Calibri"/>
          <w:b/>
          <w:bCs/>
          <w:sz w:val="22"/>
          <w:szCs w:val="22"/>
        </w:rPr>
        <w:t xml:space="preserve">Financial reporting:</w:t>
      </w:r>
      <w:r>
        <w:rPr>
          <w:rFonts w:ascii="Calibri" w:cs="Calibri" w:eastAsia="Calibri" w:hAnsi="Calibri"/>
          <w:sz w:val="22"/>
          <w:szCs w:val="22"/>
        </w:rPr>
        <w:t xml:space="preserve"> Dashboards give finance teams real-time visibility of revenue, cost and profitability drivers.</w:t>
      </w:r>
    </w:p>
    <w:p>
      <w:pPr>
        <w:pStyle w:val="ListParagraph"/>
        <w:numPr>
          <w:ilvl w:val="0"/>
          <w:numId w:val="2"/>
        </w:numPr>
        <w:spacing w:after="80" w:line="290"/>
      </w:pPr>
      <w:r>
        <w:rPr>
          <w:rFonts w:ascii="Calibri" w:cs="Calibri" w:eastAsia="Calibri" w:hAnsi="Calibri"/>
          <w:b/>
          <w:bCs/>
          <w:sz w:val="22"/>
          <w:szCs w:val="22"/>
        </w:rPr>
        <w:t xml:space="preserve">Forecasting with AI:</w:t>
      </w:r>
      <w:r>
        <w:rPr>
          <w:rFonts w:ascii="Calibri" w:cs="Calibri" w:eastAsia="Calibri" w:hAnsi="Calibri"/>
          <w:sz w:val="22"/>
          <w:szCs w:val="22"/>
        </w:rPr>
        <w:t xml:space="preserve"> Monthly order and sales history can feed machine-learning models to forecast demand and cash flow.</w:t>
      </w:r>
    </w:p>
    <w:p>
      <w:pPr>
        <w:pStyle w:val="ListParagraph"/>
        <w:numPr>
          <w:ilvl w:val="0"/>
          <w:numId w:val="2"/>
        </w:numPr>
        <w:spacing w:after="80" w:line="290"/>
      </w:pPr>
      <w:r>
        <w:rPr>
          <w:rFonts w:ascii="Calibri" w:cs="Calibri" w:eastAsia="Calibri" w:hAnsi="Calibri"/>
          <w:b/>
          <w:bCs/>
          <w:sz w:val="22"/>
          <w:szCs w:val="22"/>
        </w:rPr>
        <w:t xml:space="preserve">Risk analysis:</w:t>
      </w:r>
      <w:r>
        <w:rPr>
          <w:rFonts w:ascii="Calibri" w:cs="Calibri" w:eastAsia="Calibri" w:hAnsi="Calibri"/>
          <w:sz w:val="22"/>
          <w:szCs w:val="22"/>
        </w:rPr>
        <w:t xml:space="preserve"> Customer concentration by country supports credit-risk and exposure analysis.</w:t>
      </w:r>
    </w:p>
    <w:p>
      <w:pPr>
        <w:pStyle w:val="ListParagraph"/>
        <w:numPr>
          <w:ilvl w:val="0"/>
          <w:numId w:val="2"/>
        </w:numPr>
        <w:spacing w:after="80" w:line="290"/>
      </w:pPr>
      <w:r>
        <w:rPr>
          <w:rFonts w:ascii="Calibri" w:cs="Calibri" w:eastAsia="Calibri" w:hAnsi="Calibri"/>
          <w:b/>
          <w:bCs/>
          <w:sz w:val="22"/>
          <w:szCs w:val="22"/>
        </w:rPr>
        <w:t xml:space="preserve">Cost management:</w:t>
      </w:r>
      <w:r>
        <w:rPr>
          <w:rFonts w:ascii="Calibri" w:cs="Calibri" w:eastAsia="Calibri" w:hAnsi="Calibri"/>
          <w:sz w:val="22"/>
          <w:szCs w:val="22"/>
        </w:rPr>
        <w:t xml:space="preserve"> Freight-to-sales ratios and product profitability support pricing and cost-control decisions.</w:t>
      </w:r>
    </w:p>
    <w:p>
      <w:pPr>
        <w:pStyle w:val="ListParagraph"/>
        <w:numPr>
          <w:ilvl w:val="0"/>
          <w:numId w:val="2"/>
        </w:numPr>
        <w:spacing w:after="80" w:line="290"/>
      </w:pPr>
      <w:r>
        <w:rPr>
          <w:rFonts w:ascii="Calibri" w:cs="Calibri" w:eastAsia="Calibri" w:hAnsi="Calibri"/>
          <w:b/>
          <w:bCs/>
          <w:sz w:val="22"/>
          <w:szCs w:val="22"/>
        </w:rPr>
        <w:t xml:space="preserve">Data quality and fraud checks:</w:t>
      </w:r>
      <w:r>
        <w:rPr>
          <w:rFonts w:ascii="Calibri" w:cs="Calibri" w:eastAsia="Calibri" w:hAnsi="Calibri"/>
          <w:sz w:val="22"/>
          <w:szCs w:val="22"/>
        </w:rPr>
        <w:t xml:space="preserve"> Missing employee entries and unusual spikes can be flagged automatically by anomaly-detection tools.</w:t>
      </w:r>
    </w:p>
    <w:p>
      <w:pPr>
        <w:pStyle w:val="Heading1"/>
        <w:spacing w:after="160" w:before="240"/>
      </w:pPr>
      <w:r>
        <w:rPr>
          <w:rFonts w:ascii="Calibri" w:cs="Calibri" w:eastAsia="Calibri" w:hAnsi="Calibri"/>
          <w:b/>
          <w:bCs/>
          <w:color w:val="1F4E79"/>
          <w:sz w:val="32"/>
          <w:szCs w:val="32"/>
        </w:rPr>
        <w:t xml:space="preserve">15. Conclusion</w:t>
      </w:r>
    </w:p>
    <w:p>
      <w:pPr>
        <w:spacing w:after="120" w:line="300"/>
        <w:jc w:val="both"/>
      </w:pPr>
      <w:r>
        <w:rPr>
          <w:rFonts w:ascii="Calibri" w:cs="Calibri" w:eastAsia="Calibri" w:hAnsi="Calibri"/>
          <w:sz w:val="22"/>
          <w:szCs w:val="22"/>
        </w:rPr>
        <w:t xml:space="preserve">The Northwind Sales Dashboard successfully turns raw trading data into clear, actionable insight. Northwind Trade earned 1.27M in sales from 809 orders across 91 customers in 21 countries. Sales are led by Beverages and Dairy Products, orders show a strong seasonal dip in May and June, and a small group of employees and countries account for a large share of activity.</w:t>
      </w:r>
    </w:p>
    <w:p>
      <w:pPr>
        <w:spacing w:after="120" w:line="300"/>
        <w:jc w:val="both"/>
      </w:pPr>
      <w:r>
        <w:rPr>
          <w:rFonts w:ascii="Calibri" w:cs="Calibri" w:eastAsia="Calibri" w:hAnsi="Calibri"/>
          <w:sz w:val="22"/>
          <w:szCs w:val="22"/>
        </w:rPr>
        <w:t xml:space="preserve">By acting on the recommendations given in this report, namely smoothing seasonality, growing smaller categories, diversifying customers and controlling freight, the company can improve both revenue and efficiency. The project also shows how business-intelligence tools and AI-driven analytics can strengthen decision-making in modern finance.</w:t>
      </w:r>
    </w:p>
    <w:p>
      <w:r>
        <w:br w:type="page"/>
      </w:r>
    </w:p>
    <w:p>
      <w:pPr>
        <w:pStyle w:val="Heading1"/>
        <w:spacing w:after="160" w:before="240"/>
      </w:pPr>
      <w:r>
        <w:rPr>
          <w:rFonts w:ascii="Calibri" w:cs="Calibri" w:eastAsia="Calibri" w:hAnsi="Calibri"/>
          <w:b/>
          <w:bCs/>
          <w:color w:val="1F4E79"/>
          <w:sz w:val="32"/>
          <w:szCs w:val="32"/>
        </w:rPr>
        <w:t xml:space="preserve">Appendix: Dashboard Screenshots</w:t>
      </w:r>
    </w:p>
    <w:p>
      <w:pPr>
        <w:spacing w:after="40" w:before="120"/>
        <w:jc w:val="center"/>
      </w:pPr>
      <w:r>
        <w:drawing>
          <wp:inline distT="0" distB="0" distL="0" distR="0">
            <wp:extent cx="5143500" cy="2238375"/>
            <wp:effectExtent t="0" r="0" b="0" l="0"/>
            <wp:docPr id="1" name="/mnt/user-data/uploads/Screenshot_2026-10-08_162530.png" descr="/mnt/user-data/uploads/Screenshot_2026-10-08_162530.png" title="/mnt/user-data/uploads/Screenshot_2026-10-08_1625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238375"/>
                    </a:xfrm>
                    <a:prstGeom prst="rect">
                      <a:avLst/>
                    </a:prstGeom>
                  </pic:spPr>
                </pic:pic>
              </a:graphicData>
            </a:graphic>
          </wp:inline>
        </w:drawing>
      </w:r>
    </w:p>
    <w:p>
      <w:pPr>
        <w:spacing w:after="200" w:before="60"/>
        <w:jc w:val="center"/>
      </w:pPr>
      <w:r>
        <w:rPr>
          <w:rFonts w:ascii="Calibri" w:cs="Calibri" w:eastAsia="Calibri" w:hAnsi="Calibri"/>
          <w:i/>
          <w:iCs/>
          <w:color w:val="555555"/>
          <w:sz w:val="19"/>
          <w:szCs w:val="19"/>
        </w:rPr>
        <w:t xml:space="preserve">Screenshot 1: Sales Overviews page</w:t>
      </w:r>
    </w:p>
    <w:p>
      <w:pPr>
        <w:spacing w:after="40" w:before="120"/>
        <w:jc w:val="center"/>
      </w:pPr>
      <w:r>
        <w:drawing>
          <wp:inline distT="0" distB="0" distL="0" distR="0">
            <wp:extent cx="4191000" cy="2419350"/>
            <wp:effectExtent t="0" r="0" b="0" l="0"/>
            <wp:docPr id="1" name="/mnt/user-data/uploads/Screenshot_2026-10-08_162605.png" descr="/mnt/user-data/uploads/Screenshot_2026-10-08_162605.png" title="/mnt/user-data/uploads/Screenshot_2026-10-08_1626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2419350"/>
                    </a:xfrm>
                    <a:prstGeom prst="rect">
                      <a:avLst/>
                    </a:prstGeom>
                  </pic:spPr>
                </pic:pic>
              </a:graphicData>
            </a:graphic>
          </wp:inline>
        </w:drawing>
      </w:r>
    </w:p>
    <w:p>
      <w:pPr>
        <w:spacing w:after="200" w:before="60"/>
        <w:jc w:val="center"/>
      </w:pPr>
      <w:r>
        <w:rPr>
          <w:rFonts w:ascii="Calibri" w:cs="Calibri" w:eastAsia="Calibri" w:hAnsi="Calibri"/>
          <w:i/>
          <w:iCs/>
          <w:color w:val="555555"/>
          <w:sz w:val="19"/>
          <w:szCs w:val="19"/>
        </w:rPr>
        <w:t xml:space="preserve">Screenshot 2: Products &amp; Customer analysis page</w:t>
      </w:r>
    </w:p>
    <w:p>
      <w:pPr>
        <w:spacing w:after="40" w:before="120"/>
        <w:jc w:val="center"/>
      </w:pPr>
      <w:r>
        <w:drawing>
          <wp:inline distT="0" distB="0" distL="0" distR="0">
            <wp:extent cx="5143500" cy="2838450"/>
            <wp:effectExtent t="0" r="0" b="0" l="0"/>
            <wp:docPr id="1" name="/mnt/user-data/uploads/Screenshot_2026-10-08_162631.png" descr="/mnt/user-data/uploads/Screenshot_2026-10-08_162631.png" title="/mnt/user-data/uploads/Screenshot_2026-10-08_1626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838450"/>
                    </a:xfrm>
                    <a:prstGeom prst="rect">
                      <a:avLst/>
                    </a:prstGeom>
                  </pic:spPr>
                </pic:pic>
              </a:graphicData>
            </a:graphic>
          </wp:inline>
        </w:drawing>
      </w:r>
    </w:p>
    <w:p>
      <w:pPr>
        <w:spacing w:after="200" w:before="60"/>
        <w:jc w:val="center"/>
      </w:pPr>
      <w:r>
        <w:rPr>
          <w:rFonts w:ascii="Calibri" w:cs="Calibri" w:eastAsia="Calibri" w:hAnsi="Calibri"/>
          <w:i/>
          <w:iCs/>
          <w:color w:val="555555"/>
          <w:sz w:val="19"/>
          <w:szCs w:val="19"/>
        </w:rPr>
        <w:t xml:space="preserve">Screenshot 3: Sales Dashboard page with filters</w:t>
      </w:r>
    </w:p>
    <w:p>
      <w:pPr>
        <w:spacing w:after="40" w:before="120"/>
        <w:jc w:val="center"/>
      </w:pPr>
      <w:r>
        <w:drawing>
          <wp:inline distT="0" distB="0" distL="0" distR="0">
            <wp:extent cx="4191000" cy="2295525"/>
            <wp:effectExtent t="0" r="0" b="0" l="0"/>
            <wp:docPr id="1" name="/mnt/user-data/uploads/Screenshot_2026-10-08_162653.png" descr="/mnt/user-data/uploads/Screenshot_2026-10-08_162653.png" title="/mnt/user-data/uploads/Screenshot_2026-10-08_1626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2295525"/>
                    </a:xfrm>
                    <a:prstGeom prst="rect">
                      <a:avLst/>
                    </a:prstGeom>
                  </pic:spPr>
                </pic:pic>
              </a:graphicData>
            </a:graphic>
          </wp:inline>
        </w:drawing>
      </w:r>
    </w:p>
    <w:p>
      <w:pPr>
        <w:spacing w:after="200" w:before="60"/>
        <w:jc w:val="center"/>
      </w:pPr>
      <w:r>
        <w:rPr>
          <w:rFonts w:ascii="Calibri" w:cs="Calibri" w:eastAsia="Calibri" w:hAnsi="Calibri"/>
          <w:i/>
          <w:iCs/>
          <w:color w:val="555555"/>
          <w:sz w:val="19"/>
          <w:szCs w:val="19"/>
        </w:rPr>
        <w:t xml:space="preserve">Screenshot 4: Tool tips page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jc w:val="right"/>
    </w:pPr>
    <w:r>
      <w:rPr>
        <w:rFonts w:ascii="Calibri" w:cs="Calibri" w:eastAsia="Calibri" w:hAnsi="Calibri"/>
        <w:color w:val="7F7F7F"/>
        <w:sz w:val="18"/>
        <w:szCs w:val="18"/>
      </w:rPr>
      <w:t xml:space="preserve">Northwind Trade | G. Saranraj | B.Com FinTech with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00" w:before="16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91c8866522b61ec4757bf7e4538d6a0442f6bc4.png"/><Relationship Id="rId10" Type="http://schemas.openxmlformats.org/officeDocument/2006/relationships/image" Target="media/ea63231fb54f916516f4e1d31b859105f7d65061.png"/><Relationship Id="rId11" Type="http://schemas.openxmlformats.org/officeDocument/2006/relationships/image" Target="media/34b1930ee9cb0d0e2fc6a907bd892f2bfd52099f.png"/><Relationship Id="rId12" Type="http://schemas.openxmlformats.org/officeDocument/2006/relationships/image" Target="media/d26efc9959c91350309af605ce3185aefe5d2a1c.png"/><Relationship Id="rId13" Type="http://schemas.openxmlformats.org/officeDocument/2006/relationships/image" Target="media/514c202f9501c47a39c54b53af407b01038553c8.png"/><Relationship Id="rId14" Type="http://schemas.openxmlformats.org/officeDocument/2006/relationships/image" Target="media/d1360d6dcb778398dd15b10753d8a887ee930958.png"/><Relationship Id="rId15" Type="http://schemas.openxmlformats.org/officeDocument/2006/relationships/image" Target="media/045d7e1146ff0aa982b8a96f4e6fa0ec210a5be2.png"/><Relationship Id="rId16" Type="http://schemas.openxmlformats.org/officeDocument/2006/relationships/image" Target="media/17318ad36521bd1a1e864bb1f4121e260d8df911.png"/><Relationship Id="rId17" Type="http://schemas.openxmlformats.org/officeDocument/2006/relationships/image" Target="media/96f5d1c9bba257ce1776ac07635cabd5459d2da8.png"/><Relationship Id="rId18" Type="http://schemas.openxmlformats.org/officeDocument/2006/relationships/image" Target="media/aaae4d4284712794c1f17d39181f1092659cdf96.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2026-10-14T07:13:58.489Z</dcterms:created>
  <dcterms:modified xsi:type="dcterms:W3CDTF">2026-10-14T07:13:58.494Z</dcterms:modified>
</cp:coreProperties>
</file>

<file path=docProps/custom.xml><?xml version="1.0" encoding="utf-8"?>
<Properties xmlns="http://schemas.openxmlformats.org/officeDocument/2006/custom-properties" xmlns:vt="http://schemas.openxmlformats.org/officeDocument/2006/docPropsVTypes"/>
</file>