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after="560"/>
        <w:jc w:val="center"/>
      </w:pPr>
      <w:r>
        <w:rPr>
          <w:rFonts w:ascii="Calibri" w:hAnsi="Calibri"/>
          <w:b/>
          <w:color w:val="0F2E5C"/>
          <w:sz w:val="44"/>
        </w:rPr>
        <w:t>IBM INTERNSHIP REPORT</w:t>
      </w:r>
    </w:p>
    <w:p>
      <w:pPr>
        <w:spacing w:after="560"/>
        <w:jc w:val="center"/>
      </w:pPr>
      <w:r>
        <w:rPr>
          <w:rFonts w:ascii="Calibri" w:hAnsi="Calibri"/>
          <w:b/>
          <w:color w:val="0043CE"/>
          <w:sz w:val="28"/>
        </w:rPr>
        <w:t>――――――――――――――――――――――――――――</w:t>
      </w:r>
    </w:p>
    <w:p>
      <w:pPr>
        <w:spacing w:after="1280"/>
        <w:jc w:val="center"/>
      </w:pPr>
      <w:r>
        <w:rPr>
          <w:rFonts w:ascii="Calibri" w:hAnsi="Calibri"/>
          <w:b/>
          <w:color w:val="0043CE"/>
          <w:sz w:val="56"/>
        </w:rPr>
        <w:t>AI IT HELPDESK AGENT</w:t>
      </w:r>
    </w:p>
    <w:p>
      <w:pPr>
        <w:spacing w:after="240"/>
        <w:jc w:val="center"/>
      </w:pPr>
      <w:r>
        <w:rPr>
          <w:rFonts w:ascii="Calibri" w:hAnsi="Calibri"/>
          <w:b/>
          <w:color w:val="1E293B"/>
          <w:sz w:val="36"/>
        </w:rPr>
        <w:t>Saran Raj U</w:t>
      </w:r>
    </w:p>
    <w:p>
      <w:pPr>
        <w:spacing w:after="0"/>
        <w:jc w:val="center"/>
      </w:pPr>
      <w:r>
        <w:rPr>
          <w:rFonts w:ascii="Calibri" w:hAnsi="Calibri"/>
          <w:color w:val="64748B"/>
          <w:sz w:val="30"/>
        </w:rPr>
        <w:t>Chettinad College of Engineering and Technology</w:t>
      </w:r>
    </w:p>
    <w:p>
      <w:r>
        <w:br w:type="page"/>
      </w:r>
    </w:p>
    <w:p>
      <w:pPr>
        <w:pStyle w:val="Heading1"/>
        <w:keepNext/>
        <w:spacing w:before="360" w:after="120"/>
      </w:pPr>
      <w:r>
        <w:rPr>
          <w:rFonts w:ascii="Calibri" w:hAnsi="Calibri"/>
          <w:b/>
          <w:color w:val="0F2E5C"/>
          <w:sz w:val="32"/>
        </w:rPr>
        <w:t>1. PROJECT OVERVIEW</w:t>
      </w:r>
    </w:p>
    <w:p>
      <w:pPr>
        <w:pStyle w:val="Heading2"/>
        <w:keepNext/>
        <w:spacing w:before="280" w:after="80"/>
      </w:pPr>
      <w:r>
        <w:rPr>
          <w:rFonts w:ascii="Calibri" w:hAnsi="Calibri"/>
          <w:b/>
          <w:color w:val="0043CE"/>
          <w:sz w:val="26"/>
        </w:rPr>
        <w:t>1.1 Project Title</w:t>
      </w:r>
    </w:p>
    <w:p>
      <w:pPr>
        <w:spacing w:before="0" w:after="120" w:line="276" w:lineRule="auto"/>
      </w:pPr>
      <w:r>
        <w:rPr>
          <w:rFonts w:ascii="Calibri" w:hAnsi="Calibri"/>
          <w:b/>
          <w:color w:val="1E293B"/>
          <w:sz w:val="21"/>
        </w:rPr>
        <w:t xml:space="preserve">AI IT HELPDESK AGENT: </w:t>
      </w:r>
      <w:r>
        <w:rPr>
          <w:rFonts w:ascii="Calibri" w:hAnsi="Calibri"/>
          <w:color w:val="1E293B"/>
          <w:sz w:val="21"/>
        </w:rPr>
        <w:t>The project is entitled AI IT HELPDESK AGENT. It represents an enterprise-grade, autonomous Tier-1 IT support and incident resolution platform engineered to streamline helpdesk workflows. By marrying StateGraph agentic orchestration with dense-vector Retrieval-Augmented Generation (RAG) and high-concurrency relational data persistence, the system delivers real-time, authoritative technical resolutions, classifies user intent, detects ticket severity, and executes human-in-the-loop support ticket escalations.</w:t>
      </w:r>
    </w:p>
    <w:p>
      <w:pPr>
        <w:pStyle w:val="Heading2"/>
        <w:keepNext/>
        <w:spacing w:before="280" w:after="80"/>
      </w:pPr>
      <w:r>
        <w:rPr>
          <w:rFonts w:ascii="Calibri" w:hAnsi="Calibri"/>
          <w:b/>
          <w:color w:val="0043CE"/>
          <w:sz w:val="26"/>
        </w:rPr>
        <w:t>1.2 Problem Statement</w:t>
      </w:r>
    </w:p>
    <w:p>
      <w:pPr>
        <w:spacing w:before="0" w:after="120" w:line="276" w:lineRule="auto"/>
      </w:pPr>
      <w:r>
        <w:rPr>
          <w:rFonts w:ascii="Calibri" w:hAnsi="Calibri"/>
          <w:color w:val="1E293B"/>
          <w:sz w:val="21"/>
        </w:rPr>
        <w:t>Modern corporate IT departments face an overwhelming influx of daily support tickets. Industry benchmarks indicate that up to 60% of all submitted helpdesk requests are routine, repetitive Tier-1 issues such as password resets, Wi-Fi reconnections, Outlook client crashes, and VPN certificate failures. Traditional helpdesk environments suffer from severe systemic bottlenecks that impede technical operations and degrade organizational productivity:</w:t>
      </w:r>
    </w:p>
    <w:p>
      <w:pPr>
        <w:pStyle w:val="ListBullet"/>
        <w:spacing w:before="0" w:after="80" w:line="276" w:lineRule="auto"/>
      </w:pPr>
      <w:r>
        <w:rPr>
          <w:rFonts w:ascii="Calibri" w:hAnsi="Calibri"/>
          <w:b/>
          <w:color w:val="1E293B"/>
          <w:sz w:val="21"/>
        </w:rPr>
        <w:t xml:space="preserve">Manual Ticket Classification: </w:t>
      </w:r>
      <w:r>
        <w:rPr>
          <w:rFonts w:ascii="Calibri" w:hAnsi="Calibri"/>
          <w:color w:val="1E293B"/>
          <w:sz w:val="21"/>
        </w:rPr>
        <w:t>Human dispatchers must manually read, tag, and route inbound issues. This manual triage causes substantial queue backlog and introduces categorization inaccuracies.</w:t>
      </w:r>
    </w:p>
    <w:p>
      <w:pPr>
        <w:pStyle w:val="ListBullet"/>
        <w:spacing w:before="0" w:after="80" w:line="276" w:lineRule="auto"/>
      </w:pPr>
      <w:r>
        <w:rPr>
          <w:rFonts w:ascii="Calibri" w:hAnsi="Calibri"/>
          <w:b/>
          <w:color w:val="1E293B"/>
          <w:sz w:val="21"/>
        </w:rPr>
        <w:t xml:space="preserve">Prolonged Resolution Latency: </w:t>
      </w:r>
      <w:r>
        <w:rPr>
          <w:rFonts w:ascii="Calibri" w:hAnsi="Calibri"/>
          <w:color w:val="1E293B"/>
          <w:sz w:val="21"/>
        </w:rPr>
        <w:t>End-users frequently wait hours or days for straightforward technical guidance that already exists in organizational knowledge repositories.</w:t>
      </w:r>
    </w:p>
    <w:p>
      <w:pPr>
        <w:pStyle w:val="ListBullet"/>
        <w:spacing w:before="0" w:after="80" w:line="276" w:lineRule="auto"/>
      </w:pPr>
      <w:r>
        <w:rPr>
          <w:rFonts w:ascii="Calibri" w:hAnsi="Calibri"/>
          <w:b/>
          <w:color w:val="1E293B"/>
          <w:sz w:val="21"/>
        </w:rPr>
        <w:t xml:space="preserve">Subjective Priority Assessment: </w:t>
      </w:r>
      <w:r>
        <w:rPr>
          <w:rFonts w:ascii="Calibri" w:hAnsi="Calibri"/>
          <w:color w:val="1E293B"/>
          <w:sz w:val="21"/>
        </w:rPr>
        <w:t>Users frequently misclassify trivial issues as 'Urgent' or fail to signal catastrophic failures (such as reboot loops or security breaches), delaying critical incident response.</w:t>
      </w:r>
    </w:p>
    <w:p>
      <w:pPr>
        <w:pStyle w:val="ListBullet"/>
        <w:spacing w:before="0" w:after="80" w:line="276" w:lineRule="auto"/>
      </w:pPr>
      <w:r>
        <w:rPr>
          <w:rFonts w:ascii="Calibri" w:hAnsi="Calibri"/>
          <w:b/>
          <w:color w:val="1E293B"/>
          <w:sz w:val="21"/>
        </w:rPr>
        <w:t xml:space="preserve">Heavy Cognitive Load on Engineers: </w:t>
      </w:r>
      <w:r>
        <w:rPr>
          <w:rFonts w:ascii="Calibri" w:hAnsi="Calibri"/>
          <w:color w:val="1E293B"/>
          <w:sz w:val="21"/>
        </w:rPr>
        <w:t>Skilled IT specialists are forced to spend disproportionate hours answering identical troubleshooting queries rather than addressing strategic infrastructure challenges.</w:t>
      </w:r>
    </w:p>
    <w:p>
      <w:pPr>
        <w:pStyle w:val="ListBullet"/>
        <w:spacing w:before="0" w:after="80" w:line="276" w:lineRule="auto"/>
      </w:pPr>
      <w:r>
        <w:rPr>
          <w:rFonts w:ascii="Calibri" w:hAnsi="Calibri"/>
          <w:b/>
          <w:color w:val="1E293B"/>
          <w:sz w:val="21"/>
        </w:rPr>
        <w:t xml:space="preserve">Static and Fragmented Documentation: </w:t>
      </w:r>
      <w:r>
        <w:rPr>
          <w:rFonts w:ascii="Calibri" w:hAnsi="Calibri"/>
          <w:color w:val="1E293B"/>
          <w:sz w:val="21"/>
        </w:rPr>
        <w:t>Conventional static knowledge bases and PDF manuals are difficult for non-technical employees to navigate, leading to documentation abandonment and unnecessary ticket creation.</w:t>
      </w:r>
    </w:p>
    <w:p>
      <w:pPr>
        <w:pStyle w:val="ListBullet"/>
        <w:spacing w:before="0" w:after="80" w:line="276" w:lineRule="auto"/>
      </w:pPr>
      <w:r>
        <w:rPr>
          <w:rFonts w:ascii="Calibri" w:hAnsi="Calibri"/>
          <w:b/>
          <w:color w:val="1E293B"/>
          <w:sz w:val="21"/>
        </w:rPr>
        <w:t xml:space="preserve">Delayed Escalation of Critical Failures: </w:t>
      </w:r>
      <w:r>
        <w:rPr>
          <w:rFonts w:ascii="Calibri" w:hAnsi="Calibri"/>
          <w:color w:val="1E293B"/>
          <w:sz w:val="21"/>
        </w:rPr>
        <w:t>Without automated priority detection, high-severity issues (e.g., system crashes, data loss risks, ransomware alerts) sit unattended in standard queues alongside low-priority requests.</w:t>
      </w:r>
    </w:p>
    <w:p>
      <w:pPr>
        <w:pStyle w:val="Heading2"/>
        <w:keepNext/>
        <w:spacing w:before="280" w:after="80"/>
      </w:pPr>
      <w:r>
        <w:rPr>
          <w:rFonts w:ascii="Calibri" w:hAnsi="Calibri"/>
          <w:b/>
          <w:color w:val="0043CE"/>
          <w:sz w:val="26"/>
        </w:rPr>
        <w:t>1.3 Brief Description of the Project</w:t>
      </w:r>
    </w:p>
    <w:p>
      <w:pPr>
        <w:spacing w:before="0" w:after="120" w:line="276" w:lineRule="auto"/>
      </w:pPr>
      <w:r>
        <w:rPr>
          <w:rFonts w:ascii="Calibri" w:hAnsi="Calibri"/>
          <w:color w:val="1E293B"/>
          <w:sz w:val="21"/>
        </w:rPr>
        <w:t>The AI IT Helpdesk Agent is an intelligent autonomous software system designed to serve as an organization's first line of technical support. Intended for enterprise employees and IT helpdesk administrators alike, the system provides a modern, conversational command center that accepts natural-language IT queries, autonomously analyzes underlying intent, retrieves verified technical resolutions from an embedded knowledge vector store, and governs support ticket lifecycles.</w:t>
      </w:r>
    </w:p>
    <w:p>
      <w:pPr>
        <w:spacing w:before="0" w:after="120" w:line="276" w:lineRule="auto"/>
      </w:pPr>
      <w:r>
        <w:rPr>
          <w:rFonts w:ascii="Calibri" w:hAnsi="Calibri"/>
          <w:color w:val="1E293B"/>
          <w:sz w:val="21"/>
        </w:rPr>
        <w:t>Unlike basic question-answering chatbots, the AI IT Helpdesk Agent implements a compiled LangGraph state machine. Every user message triggers an automated decision pipeline: intent classification routes the request to dedicated specialist agent nodes (Technical Troubleshooting, Ticket Lifecycle, or General/Memory). When a technical problem is identified, the system performs semantic dense-vector retrieval against a multi-format knowledge base, synthesizes step-by-step instructions via a multi-tier LLM framework (primary Cloud API with local Ollama fallback), and cites authoritative source files. When an unresolved or high-severity incident is detected, the agent autonomously executes a Human-in-the-Loop (HITL) confirmation protocol, generates a uniquely identified ticket in a Write-Ahead Logging (WAL) SQLite database, and presents actionable management metrics in real time.</w:t>
      </w:r>
    </w:p>
    <w:p>
      <w:pPr>
        <w:pStyle w:val="Heading1"/>
        <w:keepNext/>
        <w:spacing w:before="360" w:after="120"/>
      </w:pPr>
      <w:r>
        <w:rPr>
          <w:rFonts w:ascii="Calibri" w:hAnsi="Calibri"/>
          <w:b/>
          <w:color w:val="0F2E5C"/>
          <w:sz w:val="32"/>
        </w:rPr>
        <w:t>2. OBJECTIVES &amp; PROPOSED SOLUTION</w:t>
      </w:r>
    </w:p>
    <w:p>
      <w:pPr>
        <w:pStyle w:val="Heading2"/>
        <w:keepNext/>
        <w:spacing w:before="280" w:after="80"/>
      </w:pPr>
      <w:r>
        <w:rPr>
          <w:rFonts w:ascii="Calibri" w:hAnsi="Calibri"/>
          <w:b/>
          <w:color w:val="0043CE"/>
          <w:sz w:val="26"/>
        </w:rPr>
        <w:t>2.1 Project Objectives</w:t>
      </w:r>
    </w:p>
    <w:p>
      <w:pPr>
        <w:spacing w:before="0" w:after="120" w:line="276" w:lineRule="auto"/>
      </w:pPr>
      <w:r>
        <w:rPr>
          <w:rFonts w:ascii="Calibri" w:hAnsi="Calibri"/>
          <w:color w:val="1E293B"/>
          <w:sz w:val="21"/>
        </w:rPr>
        <w:t>The project was designed and implemented to fulfill the following technical and operational objectives:</w:t>
      </w:r>
    </w:p>
    <w:p>
      <w:pPr>
        <w:pStyle w:val="ListBullet"/>
        <w:spacing w:before="0" w:after="80" w:line="276" w:lineRule="auto"/>
      </w:pPr>
      <w:r>
        <w:rPr>
          <w:rFonts w:ascii="Calibri" w:hAnsi="Calibri"/>
          <w:b/>
          <w:color w:val="1E293B"/>
          <w:sz w:val="21"/>
        </w:rPr>
        <w:t xml:space="preserve">Automate First-Level IT Triage: </w:t>
      </w:r>
      <w:r>
        <w:rPr>
          <w:rFonts w:ascii="Calibri" w:hAnsi="Calibri"/>
          <w:color w:val="1E293B"/>
          <w:sz w:val="21"/>
        </w:rPr>
        <w:t>Provide instantaneous, 24/7 automated resolution for routine IT issues without requiring human dispatcher intervention.</w:t>
      </w:r>
    </w:p>
    <w:p>
      <w:pPr>
        <w:pStyle w:val="ListBullet"/>
        <w:spacing w:before="0" w:after="80" w:line="276" w:lineRule="auto"/>
      </w:pPr>
      <w:r>
        <w:rPr>
          <w:rFonts w:ascii="Calibri" w:hAnsi="Calibri"/>
          <w:b/>
          <w:color w:val="1E293B"/>
          <w:sz w:val="21"/>
        </w:rPr>
        <w:t xml:space="preserve">Semantic Intent Understanding: </w:t>
      </w:r>
      <w:r>
        <w:rPr>
          <w:rFonts w:ascii="Calibri" w:hAnsi="Calibri"/>
          <w:color w:val="1E293B"/>
          <w:sz w:val="21"/>
        </w:rPr>
        <w:t>Accurately comprehend colloquial and non-technical user descriptions across hardware, network, software, and administrative domains.</w:t>
      </w:r>
    </w:p>
    <w:p>
      <w:pPr>
        <w:pStyle w:val="ListBullet"/>
        <w:spacing w:before="0" w:after="80" w:line="276" w:lineRule="auto"/>
      </w:pPr>
      <w:r>
        <w:rPr>
          <w:rFonts w:ascii="Calibri" w:hAnsi="Calibri"/>
          <w:b/>
          <w:color w:val="1E293B"/>
          <w:sz w:val="21"/>
        </w:rPr>
        <w:t xml:space="preserve">Specialized Multi-Agent Routing: </w:t>
      </w:r>
      <w:r>
        <w:rPr>
          <w:rFonts w:ascii="Calibri" w:hAnsi="Calibri"/>
          <w:color w:val="1E293B"/>
          <w:sz w:val="21"/>
        </w:rPr>
        <w:t>Decompose complex helpdesk operations into discrete, modular agent roles coordinated via an explicit finite state graph.</w:t>
      </w:r>
    </w:p>
    <w:p>
      <w:pPr>
        <w:pStyle w:val="ListBullet"/>
        <w:spacing w:before="0" w:after="80" w:line="276" w:lineRule="auto"/>
      </w:pPr>
      <w:r>
        <w:rPr>
          <w:rFonts w:ascii="Calibri" w:hAnsi="Calibri"/>
          <w:b/>
          <w:color w:val="1E293B"/>
          <w:sz w:val="21"/>
        </w:rPr>
        <w:t xml:space="preserve">Deterministic Priority Detection: </w:t>
      </w:r>
      <w:r>
        <w:rPr>
          <w:rFonts w:ascii="Calibri" w:hAnsi="Calibri"/>
          <w:color w:val="1E293B"/>
          <w:sz w:val="21"/>
        </w:rPr>
        <w:t>Evaluate issue descriptions against enterprise severity heuristics to categorize incidents into HIGH, MEDIUM, and LOW priority levels.</w:t>
      </w:r>
    </w:p>
    <w:p>
      <w:pPr>
        <w:pStyle w:val="ListBullet"/>
        <w:spacing w:before="0" w:after="80" w:line="276" w:lineRule="auto"/>
      </w:pPr>
      <w:r>
        <w:rPr>
          <w:rFonts w:ascii="Calibri" w:hAnsi="Calibri"/>
          <w:b/>
          <w:color w:val="1E293B"/>
          <w:sz w:val="21"/>
        </w:rPr>
        <w:t xml:space="preserve">Authoritative Knowledge Grounding (RAG): </w:t>
      </w:r>
      <w:r>
        <w:rPr>
          <w:rFonts w:ascii="Calibri" w:hAnsi="Calibri"/>
          <w:color w:val="1E293B"/>
          <w:sz w:val="21"/>
        </w:rPr>
        <w:t>Eliminate LLM hallucinations by retrieving verified troubleshooting context from internal vector stores before generating answers.</w:t>
      </w:r>
    </w:p>
    <w:p>
      <w:pPr>
        <w:pStyle w:val="ListBullet"/>
        <w:spacing w:before="0" w:after="80" w:line="276" w:lineRule="auto"/>
      </w:pPr>
      <w:r>
        <w:rPr>
          <w:rFonts w:ascii="Calibri" w:hAnsi="Calibri"/>
          <w:b/>
          <w:color w:val="1E293B"/>
          <w:sz w:val="21"/>
        </w:rPr>
        <w:t xml:space="preserve">High-Availability Multi-Tier LLM Execution: </w:t>
      </w:r>
      <w:r>
        <w:rPr>
          <w:rFonts w:ascii="Calibri" w:hAnsi="Calibri"/>
          <w:color w:val="1E293B"/>
          <w:sz w:val="21"/>
        </w:rPr>
        <w:t>Deliver uninterrupted intelligence through primary cloud-hosted inference (Groq/OpenAI) backed by secondary local offline models (Ollama) and tertiary pure-RAG fallbacks.</w:t>
      </w:r>
    </w:p>
    <w:p>
      <w:pPr>
        <w:pStyle w:val="ListBullet"/>
        <w:spacing w:before="0" w:after="80" w:line="276" w:lineRule="auto"/>
      </w:pPr>
      <w:r>
        <w:rPr>
          <w:rFonts w:ascii="Calibri" w:hAnsi="Calibri"/>
          <w:b/>
          <w:color w:val="1E293B"/>
          <w:sz w:val="21"/>
        </w:rPr>
        <w:t xml:space="preserve">Human-in-the-Loop Support Escalation: </w:t>
      </w:r>
      <w:r>
        <w:rPr>
          <w:rFonts w:ascii="Calibri" w:hAnsi="Calibri"/>
          <w:color w:val="1E293B"/>
          <w:sz w:val="21"/>
        </w:rPr>
        <w:t>Safeguard database integrity and prevent unauthorized ticket spamming through interactive confirmation UI modals.</w:t>
      </w:r>
    </w:p>
    <w:p>
      <w:pPr>
        <w:pStyle w:val="ListBullet"/>
        <w:spacing w:before="0" w:after="80" w:line="276" w:lineRule="auto"/>
      </w:pPr>
      <w:r>
        <w:rPr>
          <w:rFonts w:ascii="Calibri" w:hAnsi="Calibri"/>
          <w:b/>
          <w:color w:val="1E293B"/>
          <w:sz w:val="21"/>
        </w:rPr>
        <w:t xml:space="preserve">Long-Term Contextual Memory &amp; Auditability: </w:t>
      </w:r>
      <w:r>
        <w:rPr>
          <w:rFonts w:ascii="Calibri" w:hAnsi="Calibri"/>
          <w:color w:val="1E293B"/>
          <w:sz w:val="21"/>
        </w:rPr>
        <w:t>Persist user identities, chat histories, ticket lifecycles, and resolution metrics in a concurrent SQLite database.</w:t>
      </w:r>
    </w:p>
    <w:p>
      <w:pPr>
        <w:pStyle w:val="Heading2"/>
        <w:keepNext/>
        <w:spacing w:before="280" w:after="80"/>
      </w:pPr>
      <w:r>
        <w:rPr>
          <w:rFonts w:ascii="Calibri" w:hAnsi="Calibri"/>
          <w:b/>
          <w:color w:val="0043CE"/>
          <w:sz w:val="26"/>
        </w:rPr>
        <w:t>2.2 How the Agentic AI Solution Works</w:t>
      </w:r>
    </w:p>
    <w:p>
      <w:pPr>
        <w:spacing w:before="0" w:after="120" w:line="276" w:lineRule="auto"/>
      </w:pPr>
      <w:r>
        <w:rPr>
          <w:rFonts w:ascii="Calibri" w:hAnsi="Calibri"/>
          <w:color w:val="1E293B"/>
          <w:sz w:val="21"/>
        </w:rPr>
        <w:t>A foundational design principle of this project is that it functions as an Agentic AI system rather than a naive, monolithic LLM wrapper. In a conventional chatbot, user input is passed directly to an LLM with a single static prompt, making it prone to hallucinations, unable to trigger deterministic database transactions, and incapable of structured multi-step reasoning. In contrast, this agentic system operates as a directed acyclic workflow governed by an explicit LangGraph StateGraph.</w:t>
      </w:r>
    </w:p>
    <w:tbl>
      <w:tblPr>
        <w:tblW w:type="auto" w:w="0"/>
        <w:jc w:val="center"/>
        <w:tblLayout w:type="fixed"/>
        <w:tblLook w:firstColumn="1" w:firstRow="1" w:lastColumn="0" w:lastRow="0" w:noHBand="0" w:noVBand="1" w:val="04A0"/>
      </w:tblPr>
      <w:tblGrid>
        <w:gridCol w:w="9360"/>
      </w:tblGrid>
      <w:tr>
        <w:tc>
          <w:tcPr>
            <w:tcW w:type="dxa" w:w="9360"/>
            <w:shd w:fill="F0F4F8"/>
            <w:tcMar>
              <w:top w:w="160" w:type="dxa"/>
              <w:bottom w:w="160" w:type="dxa"/>
              <w:left w:w="240" w:type="dxa"/>
              <w:right w:w="200" w:type="dxa"/>
            </w:tcMar>
            <w:tcBorders>
              <w:top w:val="none"/>
              <w:left w:val="single" w:sz="36" w:space="0" w:color="0043CE"/>
              <w:bottom w:val="none"/>
              <w:right w:val="none"/>
            </w:tcBorders>
          </w:tcPr>
          <w:p>
            <w:pPr>
              <w:spacing w:before="0" w:after="80" w:line="276" w:lineRule="auto"/>
            </w:pPr>
            <w:r>
              <w:rPr>
                <w:rFonts w:ascii="Calibri" w:hAnsi="Calibri"/>
                <w:b/>
                <w:color w:val="0F2E5C"/>
                <w:sz w:val="21"/>
              </w:rPr>
              <w:t>📌 Agentic Workflow &amp; State Orchestration Pipeline</w:t>
              <w:br/>
            </w:r>
            <w:r>
              <w:rPr>
                <w:rFonts w:ascii="Calibri" w:hAnsi="Calibri"/>
                <w:i/>
                <w:color w:val="1E293B"/>
                <w:sz w:val="20"/>
              </w:rPr>
              <w:t>User Issue  ──&gt;  Classifier Node (Intent Triage)  ──&gt;  Conditional Edge Routing</w:t>
              <w:br/>
              <w:t xml:space="preserve">                                                       ├─&gt; Technical Agent (ChromaDB RAG + Multi-Tier LLM)</w:t>
              <w:br/>
              <w:t xml:space="preserve">                                                       ├─&gt; Ticket Agent (Priority Detection + HITL Confirmation)</w:t>
              <w:br/>
              <w:t xml:space="preserve">                                                       └─&gt; General Agent (Long-Term Memory + Conversational Chat)</w:t>
              <w:br/>
              <w:t xml:space="preserve">                                                                  │</w:t>
              <w:br/>
              <w:t xml:space="preserve">                                              SQLite Persistence (WAL Mode)  ──&gt;  Response &amp; Action UI</w:t>
            </w:r>
          </w:p>
        </w:tc>
      </w:tr>
    </w:tbl>
    <w:p>
      <w:pPr>
        <w:spacing w:before="0" w:after="80"/>
      </w:pPr>
    </w:p>
    <w:p>
      <w:pPr>
        <w:spacing w:before="0" w:after="120" w:line="276" w:lineRule="auto"/>
      </w:pPr>
      <w:r>
        <w:rPr>
          <w:rFonts w:ascii="Calibri" w:hAnsi="Calibri"/>
          <w:color w:val="1E293B"/>
          <w:sz w:val="21"/>
        </w:rPr>
        <w:t>The system implements four distinct agent nodes, each with precisely bounded scopes and contracts:</w:t>
      </w:r>
    </w:p>
    <w:p>
      <w:pPr>
        <w:pStyle w:val="ListBullet"/>
        <w:spacing w:before="0" w:after="80" w:line="276" w:lineRule="auto"/>
      </w:pPr>
      <w:r>
        <w:rPr>
          <w:rFonts w:ascii="Calibri" w:hAnsi="Calibri"/>
          <w:b/>
          <w:color w:val="1E293B"/>
          <w:sz w:val="21"/>
        </w:rPr>
        <w:t xml:space="preserve">1. Query Classifier Agent (run_classifier_node): </w:t>
      </w:r>
      <w:r>
        <w:rPr>
          <w:rFonts w:ascii="Calibri" w:hAnsi="Calibri"/>
          <w:color w:val="1E293B"/>
          <w:sz w:val="21"/>
        </w:rPr>
        <w:t>Acts as the front-line orchestrator. It evaluates incoming user text through a hybrid strategy: regex heuristic triggers for rapid matching of ticket actions and small talk, coupled with zero-shot LLM classification for ambiguous inputs. It populates state['classification'] with 'technical', 'ticket', or 'general', directing workflow traffic along conditional graph edges.</w:t>
      </w:r>
    </w:p>
    <w:p>
      <w:pPr>
        <w:pStyle w:val="ListBullet"/>
        <w:spacing w:before="0" w:after="80" w:line="276" w:lineRule="auto"/>
      </w:pPr>
      <w:r>
        <w:rPr>
          <w:rFonts w:ascii="Calibri" w:hAnsi="Calibri"/>
          <w:b/>
          <w:color w:val="1E293B"/>
          <w:sz w:val="21"/>
        </w:rPr>
        <w:t xml:space="preserve">2. Technical Troubleshooting Agent (run_technical_agent_node): </w:t>
      </w:r>
      <w:r>
        <w:rPr>
          <w:rFonts w:ascii="Calibri" w:hAnsi="Calibri"/>
          <w:color w:val="1E293B"/>
          <w:sz w:val="21"/>
        </w:rPr>
        <w:t>Handles diagnostic queries. It invokes the RAG pipeline to query ChromaDB for top-3 relevant documentation chunks, formats an authoritative system prompt enforcing grounded reasoning, executes inference through the tiered LLM wrapper, and appends source citations (*Sources: wifi.txt*) and runtime provider badges. If all LLMs are unreachable, it returns the raw knowledge base chunk deterministically.</w:t>
      </w:r>
    </w:p>
    <w:p>
      <w:pPr>
        <w:pStyle w:val="ListBullet"/>
        <w:spacing w:before="0" w:after="80" w:line="276" w:lineRule="auto"/>
      </w:pPr>
      <w:r>
        <w:rPr>
          <w:rFonts w:ascii="Calibri" w:hAnsi="Calibri"/>
          <w:b/>
          <w:color w:val="1E293B"/>
          <w:sz w:val="21"/>
        </w:rPr>
        <w:t xml:space="preserve">3. Ticket Processing Agent (run_ticket_agent_node): </w:t>
      </w:r>
      <w:r>
        <w:rPr>
          <w:rFonts w:ascii="Calibri" w:hAnsi="Calibri"/>
          <w:color w:val="1E293B"/>
          <w:sz w:val="21"/>
        </w:rPr>
        <w:t>Governs the support ticket lifecycle. It intercepts requests to list open tickets, close existing tickets by ID, or check ticket status. When a new incident is reported, it invokes detect_priority() to assign a HIGH, MEDIUM, or LOW severity badge, stages a pending ticket structure, and triggers a Human-in-the-Loop confirmation banner in the UI before committing data to SQLite.</w:t>
      </w:r>
    </w:p>
    <w:p>
      <w:pPr>
        <w:pStyle w:val="ListBullet"/>
        <w:spacing w:before="0" w:after="80" w:line="276" w:lineRule="auto"/>
      </w:pPr>
      <w:r>
        <w:rPr>
          <w:rFonts w:ascii="Calibri" w:hAnsi="Calibri"/>
          <w:b/>
          <w:color w:val="1E293B"/>
          <w:sz w:val="21"/>
        </w:rPr>
        <w:t xml:space="preserve">4. General Conversation &amp; Memory Agent (run_general_agent_node): </w:t>
      </w:r>
      <w:r>
        <w:rPr>
          <w:rFonts w:ascii="Calibri" w:hAnsi="Calibri"/>
          <w:color w:val="1E293B"/>
          <w:sz w:val="21"/>
        </w:rPr>
        <w:t>Manages interpersonal interaction and user context. It extracts user facts (such as names and departments) using regex pattern matchers, stores them in the user_memory table, provides system time/date queries, and formats long-term profile facts into LLM system prompts for personalized support.</w:t>
      </w:r>
    </w:p>
    <w:p>
      <w:pPr>
        <w:pStyle w:val="Heading2"/>
        <w:keepNext/>
        <w:spacing w:before="280" w:after="80"/>
      </w:pPr>
      <w:r>
        <w:rPr>
          <w:rFonts w:ascii="Calibri" w:hAnsi="Calibri"/>
          <w:b/>
          <w:color w:val="0043CE"/>
          <w:sz w:val="26"/>
        </w:rPr>
        <w:t>2.3 Key Features</w:t>
      </w:r>
    </w:p>
    <w:p>
      <w:pPr>
        <w:pStyle w:val="ListBullet"/>
        <w:spacing w:before="0" w:after="80" w:line="276" w:lineRule="auto"/>
      </w:pPr>
      <w:r>
        <w:rPr>
          <w:rFonts w:ascii="Calibri" w:hAnsi="Calibri"/>
          <w:b/>
          <w:color w:val="1E293B"/>
          <w:sz w:val="21"/>
        </w:rPr>
        <w:t xml:space="preserve">Multi-Tier LLM Resilience: </w:t>
      </w:r>
      <w:r>
        <w:rPr>
          <w:rFonts w:ascii="Calibri" w:hAnsi="Calibri"/>
          <w:color w:val="1E293B"/>
          <w:sz w:val="21"/>
        </w:rPr>
        <w:t>Primary Cloud API execution (Groq openai/gpt-oss-120b) with automated failover to local ChatOllama (llama3.2) and tertiary direct RAG fallback.</w:t>
      </w:r>
    </w:p>
    <w:p>
      <w:pPr>
        <w:pStyle w:val="ListBullet"/>
        <w:spacing w:before="0" w:after="80" w:line="276" w:lineRule="auto"/>
      </w:pPr>
      <w:r>
        <w:rPr>
          <w:rFonts w:ascii="Calibri" w:hAnsi="Calibri"/>
          <w:b/>
          <w:color w:val="1E293B"/>
          <w:sz w:val="21"/>
        </w:rPr>
        <w:t xml:space="preserve">Grounded RAG Pipeline: </w:t>
      </w:r>
      <w:r>
        <w:rPr>
          <w:rFonts w:ascii="Calibri" w:hAnsi="Calibri"/>
          <w:color w:val="1E293B"/>
          <w:sz w:val="21"/>
        </w:rPr>
        <w:t>Semantic similarity search powered by sentence-transformers/all-MiniLM-L6-v2 embeddings and ChromaDB vector storage across 8 enterprise IT domains.</w:t>
      </w:r>
    </w:p>
    <w:p>
      <w:pPr>
        <w:pStyle w:val="ListBullet"/>
        <w:spacing w:before="0" w:after="80" w:line="276" w:lineRule="auto"/>
      </w:pPr>
      <w:r>
        <w:rPr>
          <w:rFonts w:ascii="Calibri" w:hAnsi="Calibri"/>
          <w:b/>
          <w:color w:val="1E293B"/>
          <w:sz w:val="21"/>
        </w:rPr>
        <w:t xml:space="preserve">Deterministic Priority Engine: </w:t>
      </w:r>
      <w:r>
        <w:rPr>
          <w:rFonts w:ascii="Calibri" w:hAnsi="Calibri"/>
          <w:color w:val="1E293B"/>
          <w:sz w:val="21"/>
        </w:rPr>
        <w:t>Keyword-based severity rules classifying issues into HIGH, MEDIUM, and LOW priority categories with visual color-coded badges.</w:t>
      </w:r>
    </w:p>
    <w:p>
      <w:pPr>
        <w:pStyle w:val="ListBullet"/>
        <w:spacing w:before="0" w:after="80" w:line="276" w:lineRule="auto"/>
      </w:pPr>
      <w:r>
        <w:rPr>
          <w:rFonts w:ascii="Calibri" w:hAnsi="Calibri"/>
          <w:b/>
          <w:color w:val="1E293B"/>
          <w:sz w:val="21"/>
        </w:rPr>
        <w:t xml:space="preserve">Human-in-the-Loop (HITL) Gating: </w:t>
      </w:r>
      <w:r>
        <w:rPr>
          <w:rFonts w:ascii="Calibri" w:hAnsi="Calibri"/>
          <w:color w:val="1E293B"/>
          <w:sz w:val="21"/>
        </w:rPr>
        <w:t>Interactive confirmation modals preventing spurious ticket insertion and allowing users to review detected severity before database commit.</w:t>
      </w:r>
    </w:p>
    <w:p>
      <w:pPr>
        <w:pStyle w:val="ListBullet"/>
        <w:spacing w:before="0" w:after="80" w:line="276" w:lineRule="auto"/>
      </w:pPr>
      <w:r>
        <w:rPr>
          <w:rFonts w:ascii="Calibri" w:hAnsi="Calibri"/>
          <w:b/>
          <w:color w:val="1E293B"/>
          <w:sz w:val="21"/>
        </w:rPr>
        <w:t xml:space="preserve">High-Concurrency SQLite Database: </w:t>
      </w:r>
      <w:r>
        <w:rPr>
          <w:rFonts w:ascii="Calibri" w:hAnsi="Calibri"/>
          <w:color w:val="1E293B"/>
          <w:sz w:val="21"/>
        </w:rPr>
        <w:t>Enabled Write-Ahead Logging (WAL mode) with thread-safe connection pooling, automated rollback context management, and foreign key cascades.</w:t>
      </w:r>
    </w:p>
    <w:p>
      <w:pPr>
        <w:pStyle w:val="ListBullet"/>
        <w:spacing w:before="0" w:after="80" w:line="276" w:lineRule="auto"/>
      </w:pPr>
      <w:r>
        <w:rPr>
          <w:rFonts w:ascii="Calibri" w:hAnsi="Calibri"/>
          <w:b/>
          <w:color w:val="1E293B"/>
          <w:sz w:val="21"/>
        </w:rPr>
        <w:t xml:space="preserve">Persistent Session Switching: </w:t>
      </w:r>
      <w:r>
        <w:rPr>
          <w:rFonts w:ascii="Calibri" w:hAnsi="Calibri"/>
          <w:color w:val="1E293B"/>
          <w:sz w:val="21"/>
        </w:rPr>
        <w:t>Multi-session management enabling users to maintain concurrent independent troubleshooting threads and restore previous dialogues.</w:t>
      </w:r>
    </w:p>
    <w:p>
      <w:pPr>
        <w:pStyle w:val="ListBullet"/>
        <w:spacing w:before="0" w:after="80" w:line="276" w:lineRule="auto"/>
      </w:pPr>
      <w:r>
        <w:rPr>
          <w:rFonts w:ascii="Calibri" w:hAnsi="Calibri"/>
          <w:b/>
          <w:color w:val="1E293B"/>
          <w:sz w:val="21"/>
        </w:rPr>
        <w:t xml:space="preserve">Stored XSS Neutralization: </w:t>
      </w:r>
      <w:r>
        <w:rPr>
          <w:rFonts w:ascii="Calibri" w:hAnsi="Calibri"/>
          <w:color w:val="1E293B"/>
          <w:sz w:val="21"/>
        </w:rPr>
        <w:t>Complete HTML sanitization (html.escape) across all user-rendered strings, ticket IDs, and priority badges to eliminate injection vectors.</w:t>
      </w:r>
    </w:p>
    <w:p>
      <w:pPr>
        <w:pStyle w:val="ListBullet"/>
        <w:spacing w:before="0" w:after="80" w:line="276" w:lineRule="auto"/>
      </w:pPr>
      <w:r>
        <w:rPr>
          <w:rFonts w:ascii="Calibri" w:hAnsi="Calibri"/>
          <w:b/>
          <w:color w:val="1E293B"/>
          <w:sz w:val="21"/>
        </w:rPr>
        <w:t xml:space="preserve">Dynamic Knowledge Re-Indexing: </w:t>
      </w:r>
      <w:r>
        <w:rPr>
          <w:rFonts w:ascii="Calibri" w:hAnsi="Calibri"/>
          <w:color w:val="1E293B"/>
          <w:sz w:val="21"/>
        </w:rPr>
        <w:t>One-click UI re-indexing capability supporting both .txt and .md technical documentation without restarting the application server.</w:t>
      </w:r>
    </w:p>
    <w:p>
      <w:pPr>
        <w:pStyle w:val="Heading1"/>
        <w:keepNext/>
        <w:spacing w:before="360" w:after="120"/>
      </w:pPr>
      <w:r>
        <w:rPr>
          <w:rFonts w:ascii="Calibri" w:hAnsi="Calibri"/>
          <w:b/>
          <w:color w:val="0F2E5C"/>
          <w:sz w:val="32"/>
        </w:rPr>
        <w:t>3. IMPLEMENTATION &amp; RESULTS</w:t>
      </w:r>
    </w:p>
    <w:p>
      <w:pPr>
        <w:pStyle w:val="Heading2"/>
        <w:keepNext/>
        <w:spacing w:before="280" w:after="80"/>
      </w:pPr>
      <w:r>
        <w:rPr>
          <w:rFonts w:ascii="Calibri" w:hAnsi="Calibri"/>
          <w:b/>
          <w:color w:val="0043CE"/>
          <w:sz w:val="26"/>
        </w:rPr>
        <w:t>3.1 Technologies / Tools Used</w:t>
      </w:r>
    </w:p>
    <w:p>
      <w:pPr>
        <w:spacing w:before="0" w:after="120" w:line="276" w:lineRule="auto"/>
      </w:pPr>
      <w:r>
        <w:rPr>
          <w:rFonts w:ascii="Calibri" w:hAnsi="Calibri"/>
          <w:color w:val="1E293B"/>
          <w:sz w:val="21"/>
        </w:rPr>
        <w:t>The AI IT Helpdesk Agent is constructed using a robust, production-grade technology stack organized across functional tiers:</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0F2E5C"/>
            <w:tcMar>
              <w:top w:w="140" w:type="dxa"/>
              <w:bottom w:w="140" w:type="dxa"/>
              <w:left w:w="160" w:type="dxa"/>
              <w:right w:w="160" w:type="dxa"/>
            </w:tcMar>
          </w:tcPr>
          <w:p>
            <w:pPr>
              <w:jc w:val="left"/>
            </w:pPr>
            <w:r>
              <w:rPr>
                <w:rFonts w:ascii="Calibri" w:hAnsi="Calibri"/>
                <w:b/>
                <w:color w:val="FFFFFF"/>
                <w:sz w:val="20"/>
              </w:rPr>
              <w:t>Functional Tier</w:t>
            </w:r>
          </w:p>
        </w:tc>
        <w:tc>
          <w:tcPr>
            <w:tcW w:type="dxa" w:w="2880"/>
            <w:shd w:fill="0F2E5C"/>
            <w:tcMar>
              <w:top w:w="140" w:type="dxa"/>
              <w:bottom w:w="140" w:type="dxa"/>
              <w:left w:w="160" w:type="dxa"/>
              <w:right w:w="160" w:type="dxa"/>
            </w:tcMar>
          </w:tcPr>
          <w:p>
            <w:pPr>
              <w:jc w:val="left"/>
            </w:pPr>
            <w:r>
              <w:rPr>
                <w:rFonts w:ascii="Calibri" w:hAnsi="Calibri"/>
                <w:b/>
                <w:color w:val="FFFFFF"/>
                <w:sz w:val="20"/>
              </w:rPr>
              <w:t>Technology / Framework</w:t>
            </w:r>
          </w:p>
        </w:tc>
        <w:tc>
          <w:tcPr>
            <w:tcW w:type="dxa" w:w="3888"/>
            <w:shd w:fill="0F2E5C"/>
            <w:tcMar>
              <w:top w:w="140" w:type="dxa"/>
              <w:bottom w:w="140" w:type="dxa"/>
              <w:left w:w="160" w:type="dxa"/>
              <w:right w:w="160" w:type="dxa"/>
            </w:tcMar>
          </w:tcPr>
          <w:p>
            <w:pPr>
              <w:jc w:val="left"/>
            </w:pPr>
            <w:r>
              <w:rPr>
                <w:rFonts w:ascii="Calibri" w:hAnsi="Calibri"/>
                <w:b/>
                <w:color w:val="FFFFFF"/>
                <w:sz w:val="20"/>
              </w:rPr>
              <w:t>Specific Role &amp; Implementation Details</w:t>
            </w:r>
          </w:p>
        </w:tc>
      </w:tr>
      <w:tr>
        <w:tc>
          <w:tcPr>
            <w:tcW w:type="dxa" w:w="2592"/>
            <w:shd w:fill="FFFFFF"/>
            <w:tcMar>
              <w:top w:w="100" w:type="dxa"/>
              <w:bottom w:w="100" w:type="dxa"/>
              <w:left w:w="140" w:type="dxa"/>
              <w:right w:w="140" w:type="dxa"/>
            </w:tcMar>
          </w:tcPr>
          <w:p>
            <w:pPr>
              <w:jc w:val="left"/>
            </w:pPr>
            <w:r>
              <w:rPr>
                <w:rFonts w:ascii="Calibri" w:hAnsi="Calibri"/>
                <w:b/>
                <w:color w:val="1E293B"/>
                <w:sz w:val="19"/>
              </w:rPr>
              <w:t>Frontend &amp; UI</w:t>
            </w:r>
          </w:p>
        </w:tc>
        <w:tc>
          <w:tcPr>
            <w:tcW w:type="dxa" w:w="2880"/>
            <w:shd w:fill="FFFFFF"/>
            <w:tcMar>
              <w:top w:w="100" w:type="dxa"/>
              <w:bottom w:w="100" w:type="dxa"/>
              <w:left w:w="140" w:type="dxa"/>
              <w:right w:w="140" w:type="dxa"/>
            </w:tcMar>
          </w:tcPr>
          <w:p>
            <w:pPr>
              <w:jc w:val="left"/>
            </w:pPr>
            <w:r>
              <w:rPr>
                <w:rFonts w:ascii="Calibri" w:hAnsi="Calibri"/>
                <w:color w:val="1E293B"/>
                <w:sz w:val="19"/>
              </w:rPr>
              <w:t>Streamlit 1.37+</w:t>
              <w:br/>
              <w:t>Custom Glassmorphism CSS</w:t>
            </w:r>
          </w:p>
        </w:tc>
        <w:tc>
          <w:tcPr>
            <w:tcW w:type="dxa" w:w="3888"/>
            <w:shd w:fill="FFFFFF"/>
            <w:tcMar>
              <w:top w:w="100" w:type="dxa"/>
              <w:bottom w:w="100" w:type="dxa"/>
              <w:left w:w="140" w:type="dxa"/>
              <w:right w:w="140" w:type="dxa"/>
            </w:tcMar>
          </w:tcPr>
          <w:p>
            <w:pPr>
              <w:jc w:val="left"/>
            </w:pPr>
            <w:r>
              <w:rPr>
                <w:rFonts w:ascii="Calibri" w:hAnsi="Calibri"/>
                <w:color w:val="1E293B"/>
                <w:sz w:val="19"/>
              </w:rPr>
              <w:t>Interactive reactive web dashboard, dark cyber canvas (#070b14), pulsing status beacons, ticket card components, session drawers, and quick action chips.</w:t>
            </w:r>
          </w:p>
        </w:tc>
      </w:tr>
      <w:tr>
        <w:tc>
          <w:tcPr>
            <w:tcW w:type="dxa" w:w="2592"/>
            <w:shd w:fill="F8FAFC"/>
            <w:tcMar>
              <w:top w:w="100" w:type="dxa"/>
              <w:bottom w:w="100" w:type="dxa"/>
              <w:left w:w="140" w:type="dxa"/>
              <w:right w:w="140" w:type="dxa"/>
            </w:tcMar>
          </w:tcPr>
          <w:p>
            <w:pPr>
              <w:jc w:val="left"/>
            </w:pPr>
            <w:r>
              <w:rPr>
                <w:rFonts w:ascii="Calibri" w:hAnsi="Calibri"/>
                <w:b/>
                <w:color w:val="1E293B"/>
                <w:sz w:val="19"/>
              </w:rPr>
              <w:t>Agent Orchestration</w:t>
            </w:r>
          </w:p>
        </w:tc>
        <w:tc>
          <w:tcPr>
            <w:tcW w:type="dxa" w:w="2880"/>
            <w:shd w:fill="F8FAFC"/>
            <w:tcMar>
              <w:top w:w="100" w:type="dxa"/>
              <w:bottom w:w="100" w:type="dxa"/>
              <w:left w:w="140" w:type="dxa"/>
              <w:right w:w="140" w:type="dxa"/>
            </w:tcMar>
          </w:tcPr>
          <w:p>
            <w:pPr>
              <w:jc w:val="left"/>
            </w:pPr>
            <w:r>
              <w:rPr>
                <w:rFonts w:ascii="Calibri" w:hAnsi="Calibri"/>
                <w:color w:val="1E293B"/>
                <w:sz w:val="19"/>
              </w:rPr>
              <w:t>LangGraph 0.1+</w:t>
              <w:br/>
              <w:t>LangChain Core</w:t>
            </w:r>
          </w:p>
        </w:tc>
        <w:tc>
          <w:tcPr>
            <w:tcW w:type="dxa" w:w="3888"/>
            <w:shd w:fill="F8FAFC"/>
            <w:tcMar>
              <w:top w:w="100" w:type="dxa"/>
              <w:bottom w:w="100" w:type="dxa"/>
              <w:left w:w="140" w:type="dxa"/>
              <w:right w:w="140" w:type="dxa"/>
            </w:tcMar>
          </w:tcPr>
          <w:p>
            <w:pPr>
              <w:jc w:val="left"/>
            </w:pPr>
            <w:r>
              <w:rPr>
                <w:rFonts w:ascii="Calibri" w:hAnsi="Calibri"/>
                <w:color w:val="1E293B"/>
                <w:sz w:val="19"/>
              </w:rPr>
              <w:t>Explicit state graph workflow (StateGraph), typed state management (HelpdeskState), conditional edge routing, and standardized @tool interfaces.</w:t>
            </w:r>
          </w:p>
        </w:tc>
      </w:tr>
      <w:tr>
        <w:tc>
          <w:tcPr>
            <w:tcW w:type="dxa" w:w="2592"/>
            <w:shd w:fill="FFFFFF"/>
            <w:tcMar>
              <w:top w:w="100" w:type="dxa"/>
              <w:bottom w:w="100" w:type="dxa"/>
              <w:left w:w="140" w:type="dxa"/>
              <w:right w:w="140" w:type="dxa"/>
            </w:tcMar>
          </w:tcPr>
          <w:p>
            <w:pPr>
              <w:jc w:val="left"/>
            </w:pPr>
            <w:r>
              <w:rPr>
                <w:rFonts w:ascii="Calibri" w:hAnsi="Calibri"/>
                <w:b/>
                <w:color w:val="1E293B"/>
                <w:sz w:val="19"/>
              </w:rPr>
              <w:t>Primary Cloud LLM</w:t>
            </w:r>
          </w:p>
        </w:tc>
        <w:tc>
          <w:tcPr>
            <w:tcW w:type="dxa" w:w="2880"/>
            <w:shd w:fill="FFFFFF"/>
            <w:tcMar>
              <w:top w:w="100" w:type="dxa"/>
              <w:bottom w:w="100" w:type="dxa"/>
              <w:left w:w="140" w:type="dxa"/>
              <w:right w:w="140" w:type="dxa"/>
            </w:tcMar>
          </w:tcPr>
          <w:p>
            <w:pPr>
              <w:jc w:val="left"/>
            </w:pPr>
            <w:r>
              <w:rPr>
                <w:rFonts w:ascii="Calibri" w:hAnsi="Calibri"/>
                <w:color w:val="1E293B"/>
                <w:sz w:val="19"/>
              </w:rPr>
              <w:t>Groq Cloud API</w:t>
              <w:br/>
              <w:t>openai/gpt-oss-120b</w:t>
            </w:r>
          </w:p>
        </w:tc>
        <w:tc>
          <w:tcPr>
            <w:tcW w:type="dxa" w:w="3888"/>
            <w:shd w:fill="FFFFFF"/>
            <w:tcMar>
              <w:top w:w="100" w:type="dxa"/>
              <w:bottom w:w="100" w:type="dxa"/>
              <w:left w:w="140" w:type="dxa"/>
              <w:right w:w="140" w:type="dxa"/>
            </w:tcMar>
          </w:tcPr>
          <w:p>
            <w:pPr>
              <w:jc w:val="left"/>
            </w:pPr>
            <w:r>
              <w:rPr>
                <w:rFonts w:ascii="Calibri" w:hAnsi="Calibri"/>
                <w:color w:val="1E293B"/>
                <w:sz w:val="19"/>
              </w:rPr>
              <w:t>High-speed primary inference provider. Delivers sub-second response times for complex diagnostic queries and natural language reasoning.</w:t>
            </w:r>
          </w:p>
        </w:tc>
      </w:tr>
      <w:tr>
        <w:tc>
          <w:tcPr>
            <w:tcW w:type="dxa" w:w="2592"/>
            <w:shd w:fill="F8FAFC"/>
            <w:tcMar>
              <w:top w:w="100" w:type="dxa"/>
              <w:bottom w:w="100" w:type="dxa"/>
              <w:left w:w="140" w:type="dxa"/>
              <w:right w:w="140" w:type="dxa"/>
            </w:tcMar>
          </w:tcPr>
          <w:p>
            <w:pPr>
              <w:jc w:val="left"/>
            </w:pPr>
            <w:r>
              <w:rPr>
                <w:rFonts w:ascii="Calibri" w:hAnsi="Calibri"/>
                <w:b/>
                <w:color w:val="1E293B"/>
                <w:sz w:val="19"/>
              </w:rPr>
              <w:t>Secondary Local LLM</w:t>
            </w:r>
          </w:p>
        </w:tc>
        <w:tc>
          <w:tcPr>
            <w:tcW w:type="dxa" w:w="2880"/>
            <w:shd w:fill="F8FAFC"/>
            <w:tcMar>
              <w:top w:w="100" w:type="dxa"/>
              <w:bottom w:w="100" w:type="dxa"/>
              <w:left w:w="140" w:type="dxa"/>
              <w:right w:w="140" w:type="dxa"/>
            </w:tcMar>
          </w:tcPr>
          <w:p>
            <w:pPr>
              <w:jc w:val="left"/>
            </w:pPr>
            <w:r>
              <w:rPr>
                <w:rFonts w:ascii="Calibri" w:hAnsi="Calibri"/>
                <w:color w:val="1E293B"/>
                <w:sz w:val="19"/>
              </w:rPr>
              <w:t>Ollama (Local)</w:t>
              <w:br/>
              <w:t>llama3.2 (1B/3B)</w:t>
            </w:r>
          </w:p>
        </w:tc>
        <w:tc>
          <w:tcPr>
            <w:tcW w:type="dxa" w:w="3888"/>
            <w:shd w:fill="F8FAFC"/>
            <w:tcMar>
              <w:top w:w="100" w:type="dxa"/>
              <w:bottom w:w="100" w:type="dxa"/>
              <w:left w:w="140" w:type="dxa"/>
              <w:right w:w="140" w:type="dxa"/>
            </w:tcMar>
          </w:tcPr>
          <w:p>
            <w:pPr>
              <w:jc w:val="left"/>
            </w:pPr>
            <w:r>
              <w:rPr>
                <w:rFonts w:ascii="Calibri" w:hAnsi="Calibri"/>
                <w:color w:val="1E293B"/>
                <w:sz w:val="19"/>
              </w:rPr>
              <w:t>Zero-cost, privacy-preserving local offline inference fallback running on localhost:11434 via ChatOllama client wrapper.</w:t>
            </w:r>
          </w:p>
        </w:tc>
      </w:tr>
      <w:tr>
        <w:tc>
          <w:tcPr>
            <w:tcW w:type="dxa" w:w="2592"/>
            <w:shd w:fill="FFFFFF"/>
            <w:tcMar>
              <w:top w:w="100" w:type="dxa"/>
              <w:bottom w:w="100" w:type="dxa"/>
              <w:left w:w="140" w:type="dxa"/>
              <w:right w:w="140" w:type="dxa"/>
            </w:tcMar>
          </w:tcPr>
          <w:p>
            <w:pPr>
              <w:jc w:val="left"/>
            </w:pPr>
            <w:r>
              <w:rPr>
                <w:rFonts w:ascii="Calibri" w:hAnsi="Calibri"/>
                <w:b/>
                <w:color w:val="1E293B"/>
                <w:sz w:val="19"/>
              </w:rPr>
              <w:t>Embedding Model</w:t>
            </w:r>
          </w:p>
        </w:tc>
        <w:tc>
          <w:tcPr>
            <w:tcW w:type="dxa" w:w="2880"/>
            <w:shd w:fill="FFFFFF"/>
            <w:tcMar>
              <w:top w:w="100" w:type="dxa"/>
              <w:bottom w:w="100" w:type="dxa"/>
              <w:left w:w="140" w:type="dxa"/>
              <w:right w:w="140" w:type="dxa"/>
            </w:tcMar>
          </w:tcPr>
          <w:p>
            <w:pPr>
              <w:jc w:val="left"/>
            </w:pPr>
            <w:r>
              <w:rPr>
                <w:rFonts w:ascii="Calibri" w:hAnsi="Calibri"/>
                <w:color w:val="1E293B"/>
                <w:sz w:val="19"/>
              </w:rPr>
              <w:t>Hugging Face</w:t>
              <w:br/>
              <w:t>sentence-transformers/all-MiniLM-L6-v2</w:t>
            </w:r>
          </w:p>
        </w:tc>
        <w:tc>
          <w:tcPr>
            <w:tcW w:type="dxa" w:w="3888"/>
            <w:shd w:fill="FFFFFF"/>
            <w:tcMar>
              <w:top w:w="100" w:type="dxa"/>
              <w:bottom w:w="100" w:type="dxa"/>
              <w:left w:w="140" w:type="dxa"/>
              <w:right w:w="140" w:type="dxa"/>
            </w:tcMar>
          </w:tcPr>
          <w:p>
            <w:pPr>
              <w:jc w:val="left"/>
            </w:pPr>
            <w:r>
              <w:rPr>
                <w:rFonts w:ascii="Calibri" w:hAnsi="Calibri"/>
                <w:color w:val="1E293B"/>
                <w:sz w:val="19"/>
              </w:rPr>
              <w:t>Dense vector embeddings generating 384-dimensional vector representations from IT documentation chunks.</w:t>
            </w:r>
          </w:p>
        </w:tc>
      </w:tr>
      <w:tr>
        <w:tc>
          <w:tcPr>
            <w:tcW w:type="dxa" w:w="2592"/>
            <w:shd w:fill="F8FAFC"/>
            <w:tcMar>
              <w:top w:w="100" w:type="dxa"/>
              <w:bottom w:w="100" w:type="dxa"/>
              <w:left w:w="140" w:type="dxa"/>
              <w:right w:w="140" w:type="dxa"/>
            </w:tcMar>
          </w:tcPr>
          <w:p>
            <w:pPr>
              <w:jc w:val="left"/>
            </w:pPr>
            <w:r>
              <w:rPr>
                <w:rFonts w:ascii="Calibri" w:hAnsi="Calibri"/>
                <w:b/>
                <w:color w:val="1E293B"/>
                <w:sz w:val="19"/>
              </w:rPr>
              <w:t>Vector Store &amp; RAG</w:t>
            </w:r>
          </w:p>
        </w:tc>
        <w:tc>
          <w:tcPr>
            <w:tcW w:type="dxa" w:w="2880"/>
            <w:shd w:fill="F8FAFC"/>
            <w:tcMar>
              <w:top w:w="100" w:type="dxa"/>
              <w:bottom w:w="100" w:type="dxa"/>
              <w:left w:w="140" w:type="dxa"/>
              <w:right w:w="140" w:type="dxa"/>
            </w:tcMar>
          </w:tcPr>
          <w:p>
            <w:pPr>
              <w:jc w:val="left"/>
            </w:pPr>
            <w:r>
              <w:rPr>
                <w:rFonts w:ascii="Calibri" w:hAnsi="Calibri"/>
                <w:color w:val="1E293B"/>
                <w:sz w:val="19"/>
              </w:rPr>
              <w:t>ChromaDB 0.5+</w:t>
              <w:br/>
              <w:t>SimpleFallbackVectorStore</w:t>
            </w:r>
          </w:p>
        </w:tc>
        <w:tc>
          <w:tcPr>
            <w:tcW w:type="dxa" w:w="3888"/>
            <w:shd w:fill="F8FAFC"/>
            <w:tcMar>
              <w:top w:w="100" w:type="dxa"/>
              <w:bottom w:w="100" w:type="dxa"/>
              <w:left w:w="140" w:type="dxa"/>
              <w:right w:w="140" w:type="dxa"/>
            </w:tcMar>
          </w:tcPr>
          <w:p>
            <w:pPr>
              <w:jc w:val="left"/>
            </w:pPr>
            <w:r>
              <w:rPr>
                <w:rFonts w:ascii="Calibri" w:hAnsi="Calibri"/>
                <w:color w:val="1E293B"/>
                <w:sz w:val="19"/>
              </w:rPr>
              <w:t>Persistent on-disk vector database (data/chroma_db) paired with custom in-memory NumPy cosine similarity fallback for fault-tolerant search.</w:t>
            </w:r>
          </w:p>
        </w:tc>
      </w:tr>
      <w:tr>
        <w:tc>
          <w:tcPr>
            <w:tcW w:type="dxa" w:w="2592"/>
            <w:shd w:fill="FFFFFF"/>
            <w:tcMar>
              <w:top w:w="100" w:type="dxa"/>
              <w:bottom w:w="100" w:type="dxa"/>
              <w:left w:w="140" w:type="dxa"/>
              <w:right w:w="140" w:type="dxa"/>
            </w:tcMar>
          </w:tcPr>
          <w:p>
            <w:pPr>
              <w:jc w:val="left"/>
            </w:pPr>
            <w:r>
              <w:rPr>
                <w:rFonts w:ascii="Calibri" w:hAnsi="Calibri"/>
                <w:b/>
                <w:color w:val="1E293B"/>
                <w:sz w:val="19"/>
              </w:rPr>
              <w:t>Document Processing</w:t>
            </w:r>
          </w:p>
        </w:tc>
        <w:tc>
          <w:tcPr>
            <w:tcW w:type="dxa" w:w="2880"/>
            <w:shd w:fill="FFFFFF"/>
            <w:tcMar>
              <w:top w:w="100" w:type="dxa"/>
              <w:bottom w:w="100" w:type="dxa"/>
              <w:left w:w="140" w:type="dxa"/>
              <w:right w:w="140" w:type="dxa"/>
            </w:tcMar>
          </w:tcPr>
          <w:p>
            <w:pPr>
              <w:jc w:val="left"/>
            </w:pPr>
            <w:r>
              <w:rPr>
                <w:rFonts w:ascii="Calibri" w:hAnsi="Calibri"/>
                <w:color w:val="1E293B"/>
                <w:sz w:val="19"/>
              </w:rPr>
              <w:t>LangChain Community</w:t>
              <w:br/>
              <w:t>RecursiveCharacterTextSplitter</w:t>
            </w:r>
          </w:p>
        </w:tc>
        <w:tc>
          <w:tcPr>
            <w:tcW w:type="dxa" w:w="3888"/>
            <w:shd w:fill="FFFFFF"/>
            <w:tcMar>
              <w:top w:w="100" w:type="dxa"/>
              <w:bottom w:w="100" w:type="dxa"/>
              <w:left w:w="140" w:type="dxa"/>
              <w:right w:w="140" w:type="dxa"/>
            </w:tcMar>
          </w:tcPr>
          <w:p>
            <w:pPr>
              <w:jc w:val="left"/>
            </w:pPr>
            <w:r>
              <w:rPr>
                <w:rFonts w:ascii="Calibri" w:hAnsi="Calibri"/>
                <w:color w:val="1E293B"/>
                <w:sz w:val="19"/>
              </w:rPr>
              <w:t>DirectoryLoader and TextLoader supporting .txt and .md files; chunk_size=500, chunk_overlap=50, top_k=3 retrieval parameterization.</w:t>
            </w:r>
          </w:p>
        </w:tc>
      </w:tr>
      <w:tr>
        <w:tc>
          <w:tcPr>
            <w:tcW w:type="dxa" w:w="2592"/>
            <w:shd w:fill="F8FAFC"/>
            <w:tcMar>
              <w:top w:w="100" w:type="dxa"/>
              <w:bottom w:w="100" w:type="dxa"/>
              <w:left w:w="140" w:type="dxa"/>
              <w:right w:w="140" w:type="dxa"/>
            </w:tcMar>
          </w:tcPr>
          <w:p>
            <w:pPr>
              <w:jc w:val="left"/>
            </w:pPr>
            <w:r>
              <w:rPr>
                <w:rFonts w:ascii="Calibri" w:hAnsi="Calibri"/>
                <w:b/>
                <w:color w:val="1E293B"/>
                <w:sz w:val="19"/>
              </w:rPr>
              <w:t>Relational Database</w:t>
            </w:r>
          </w:p>
        </w:tc>
        <w:tc>
          <w:tcPr>
            <w:tcW w:type="dxa" w:w="2880"/>
            <w:shd w:fill="F8FAFC"/>
            <w:tcMar>
              <w:top w:w="100" w:type="dxa"/>
              <w:bottom w:w="100" w:type="dxa"/>
              <w:left w:w="140" w:type="dxa"/>
              <w:right w:w="140" w:type="dxa"/>
            </w:tcMar>
          </w:tcPr>
          <w:p>
            <w:pPr>
              <w:jc w:val="left"/>
            </w:pPr>
            <w:r>
              <w:rPr>
                <w:rFonts w:ascii="Calibri" w:hAnsi="Calibri"/>
                <w:color w:val="1E293B"/>
                <w:sz w:val="19"/>
              </w:rPr>
              <w:t>SQLite 3 (WAL Mode)</w:t>
              <w:br/>
              <w:t>Python sqlite3 engine</w:t>
            </w:r>
          </w:p>
        </w:tc>
        <w:tc>
          <w:tcPr>
            <w:tcW w:type="dxa" w:w="3888"/>
            <w:shd w:fill="F8FAFC"/>
            <w:tcMar>
              <w:top w:w="100" w:type="dxa"/>
              <w:bottom w:w="100" w:type="dxa"/>
              <w:left w:w="140" w:type="dxa"/>
              <w:right w:w="140" w:type="dxa"/>
            </w:tcMar>
          </w:tcPr>
          <w:p>
            <w:pPr>
              <w:jc w:val="left"/>
            </w:pPr>
            <w:r>
              <w:rPr>
                <w:rFonts w:ascii="Calibri" w:hAnsi="Calibri"/>
                <w:color w:val="1E293B"/>
                <w:sz w:val="19"/>
              </w:rPr>
              <w:t>ACID-compliant storage for tickets, user facts, chat sessions, and messages. Write-Ahead Logging ensures concurrent, lock-free reads and writes.</w:t>
            </w:r>
          </w:p>
        </w:tc>
      </w:tr>
      <w:tr>
        <w:tc>
          <w:tcPr>
            <w:tcW w:type="dxa" w:w="2592"/>
            <w:shd w:fill="FFFFFF"/>
            <w:tcMar>
              <w:top w:w="100" w:type="dxa"/>
              <w:bottom w:w="100" w:type="dxa"/>
              <w:left w:w="140" w:type="dxa"/>
              <w:right w:w="140" w:type="dxa"/>
            </w:tcMar>
          </w:tcPr>
          <w:p>
            <w:pPr>
              <w:jc w:val="left"/>
            </w:pPr>
            <w:r>
              <w:rPr>
                <w:rFonts w:ascii="Calibri" w:hAnsi="Calibri"/>
                <w:b/>
                <w:color w:val="1E293B"/>
                <w:sz w:val="19"/>
              </w:rPr>
              <w:t>Testing &amp; Verification</w:t>
            </w:r>
          </w:p>
        </w:tc>
        <w:tc>
          <w:tcPr>
            <w:tcW w:type="dxa" w:w="2880"/>
            <w:shd w:fill="FFFFFF"/>
            <w:tcMar>
              <w:top w:w="100" w:type="dxa"/>
              <w:bottom w:w="100" w:type="dxa"/>
              <w:left w:w="140" w:type="dxa"/>
              <w:right w:w="140" w:type="dxa"/>
            </w:tcMar>
          </w:tcPr>
          <w:p>
            <w:pPr>
              <w:jc w:val="left"/>
            </w:pPr>
            <w:r>
              <w:rPr>
                <w:rFonts w:ascii="Calibri" w:hAnsi="Calibri"/>
                <w:color w:val="1E293B"/>
                <w:sz w:val="19"/>
              </w:rPr>
              <w:t>Playwright 1.62</w:t>
              <w:br/>
              <w:t>Pytest &amp; Custom Checkers</w:t>
            </w:r>
          </w:p>
        </w:tc>
        <w:tc>
          <w:tcPr>
            <w:tcW w:type="dxa" w:w="3888"/>
            <w:shd w:fill="FFFFFF"/>
            <w:tcMar>
              <w:top w:w="100" w:type="dxa"/>
              <w:bottom w:w="100" w:type="dxa"/>
              <w:left w:w="140" w:type="dxa"/>
              <w:right w:w="140" w:type="dxa"/>
            </w:tcMar>
          </w:tcPr>
          <w:p>
            <w:pPr>
              <w:jc w:val="left"/>
            </w:pPr>
            <w:r>
              <w:rPr>
                <w:rFonts w:ascii="Calibri" w:hAnsi="Calibri"/>
                <w:color w:val="1E293B"/>
                <w:sz w:val="19"/>
              </w:rPr>
              <w:t>Headless Chromium browser automation for end-to-end UI verification, user journey simulation, and automated regression testing.</w:t>
            </w:r>
          </w:p>
        </w:tc>
      </w:tr>
    </w:tbl>
    <w:p>
      <w:pPr>
        <w:spacing w:before="0" w:after="160" w:line="276" w:lineRule="auto"/>
      </w:pPr>
      <w:r>
        <w:rPr>
          <w:rFonts w:ascii="Calibri" w:hAnsi="Calibri"/>
          <w:color w:val="1E293B"/>
          <w:sz w:val="21"/>
        </w:rPr>
      </w:r>
    </w:p>
    <w:p>
      <w:pPr>
        <w:pStyle w:val="Heading2"/>
        <w:keepNext/>
        <w:spacing w:before="280" w:after="80"/>
      </w:pPr>
      <w:r>
        <w:rPr>
          <w:rFonts w:ascii="Calibri" w:hAnsi="Calibri"/>
          <w:b/>
          <w:color w:val="0043CE"/>
          <w:sz w:val="26"/>
        </w:rPr>
        <w:t>3.2 Working Process &amp; Architecture</w:t>
      </w:r>
    </w:p>
    <w:p>
      <w:pPr>
        <w:spacing w:before="0" w:after="120" w:line="276" w:lineRule="auto"/>
      </w:pPr>
      <w:r>
        <w:rPr>
          <w:rFonts w:ascii="Calibri" w:hAnsi="Calibri"/>
          <w:color w:val="1E293B"/>
          <w:sz w:val="21"/>
        </w:rPr>
        <w:t>From the user's perspective, the system operates as a seamless, high-responsiveness support portal. Behind the interface, each interaction executes a deterministic nine-stage lifecycle:</w:t>
      </w:r>
    </w:p>
    <w:p>
      <w:pPr>
        <w:pStyle w:val="ListBullet"/>
        <w:spacing w:before="0" w:after="80" w:line="276" w:lineRule="auto"/>
      </w:pPr>
      <w:r>
        <w:rPr>
          <w:rFonts w:ascii="Calibri" w:hAnsi="Calibri"/>
          <w:b/>
          <w:color w:val="1E293B"/>
          <w:sz w:val="21"/>
        </w:rPr>
        <w:t xml:space="preserve">Step 1 — Query Ingestion: </w:t>
      </w:r>
      <w:r>
        <w:rPr>
          <w:rFonts w:ascii="Calibri" w:hAnsi="Calibri"/>
          <w:color w:val="1E293B"/>
          <w:sz w:val="21"/>
        </w:rPr>
        <w:t>The user submits an issue via the floating glassmorphic chat input or clicks a Quick Help Request chip (e.g., '🌐 WiFi Issues').</w:t>
      </w:r>
    </w:p>
    <w:p>
      <w:pPr>
        <w:pStyle w:val="ListBullet"/>
        <w:spacing w:before="0" w:after="80" w:line="276" w:lineRule="auto"/>
      </w:pPr>
      <w:r>
        <w:rPr>
          <w:rFonts w:ascii="Calibri" w:hAnsi="Calibri"/>
          <w:b/>
          <w:color w:val="1E293B"/>
          <w:sz w:val="21"/>
        </w:rPr>
        <w:t xml:space="preserve">Step 2 — Session &amp; State Binding: </w:t>
      </w:r>
      <w:r>
        <w:rPr>
          <w:rFonts w:ascii="Calibri" w:hAnsi="Calibri"/>
          <w:color w:val="1E293B"/>
          <w:sz w:val="21"/>
        </w:rPr>
        <w:t>The message is persisted into chat_messages under the active session_id in SQLite, and initialized into the HelpdeskState dictionary.</w:t>
      </w:r>
    </w:p>
    <w:p>
      <w:pPr>
        <w:pStyle w:val="ListBullet"/>
        <w:spacing w:before="0" w:after="80" w:line="276" w:lineRule="auto"/>
      </w:pPr>
      <w:r>
        <w:rPr>
          <w:rFonts w:ascii="Calibri" w:hAnsi="Calibri"/>
          <w:b/>
          <w:color w:val="1E293B"/>
          <w:sz w:val="21"/>
        </w:rPr>
        <w:t xml:space="preserve">Step 3 — Autonomous Intent Classification: </w:t>
      </w:r>
      <w:r>
        <w:rPr>
          <w:rFonts w:ascii="Calibri" w:hAnsi="Calibri"/>
          <w:color w:val="1E293B"/>
          <w:sz w:val="21"/>
        </w:rPr>
        <w:t>The StateGraph invokes run_classifier_node. Rule-based triggers evaluate keywords; if ambiguous, the primary LLM performs zero-shot tagging.</w:t>
      </w:r>
    </w:p>
    <w:p>
      <w:pPr>
        <w:pStyle w:val="ListBullet"/>
        <w:spacing w:before="0" w:after="80" w:line="276" w:lineRule="auto"/>
      </w:pPr>
      <w:r>
        <w:rPr>
          <w:rFonts w:ascii="Calibri" w:hAnsi="Calibri"/>
          <w:b/>
          <w:color w:val="1E293B"/>
          <w:sz w:val="21"/>
        </w:rPr>
        <w:t xml:space="preserve">Step 4 — Graph Edge Routing: </w:t>
      </w:r>
      <w:r>
        <w:rPr>
          <w:rFonts w:ascii="Calibri" w:hAnsi="Calibri"/>
          <w:color w:val="1E293B"/>
          <w:sz w:val="21"/>
        </w:rPr>
        <w:t>Conditional routing evaluates state['classification']. Technical queries branch to technical_agent; ticket management to ticket_agent; small talk to general_agent.</w:t>
      </w:r>
    </w:p>
    <w:p>
      <w:pPr>
        <w:pStyle w:val="ListBullet"/>
        <w:spacing w:before="0" w:after="80" w:line="276" w:lineRule="auto"/>
      </w:pPr>
      <w:r>
        <w:rPr>
          <w:rFonts w:ascii="Calibri" w:hAnsi="Calibri"/>
          <w:b/>
          <w:color w:val="1E293B"/>
          <w:sz w:val="21"/>
        </w:rPr>
        <w:t xml:space="preserve">Step 5 — Vector Similarity Retrieval (RAG): </w:t>
      </w:r>
      <w:r>
        <w:rPr>
          <w:rFonts w:ascii="Calibri" w:hAnsi="Calibri"/>
          <w:color w:val="1E293B"/>
          <w:sz w:val="21"/>
        </w:rPr>
        <w:t>For technical issues, the query string is converted to a 384-dimensional vector and matched against ChromaDB embeddings to fetch the top-3 documentation chunks.</w:t>
      </w:r>
    </w:p>
    <w:p>
      <w:pPr>
        <w:pStyle w:val="ListBullet"/>
        <w:spacing w:before="0" w:after="80" w:line="276" w:lineRule="auto"/>
      </w:pPr>
      <w:r>
        <w:rPr>
          <w:rFonts w:ascii="Calibri" w:hAnsi="Calibri"/>
          <w:b/>
          <w:color w:val="1E293B"/>
          <w:sz w:val="21"/>
        </w:rPr>
        <w:t xml:space="preserve">Step 6 — Multi-Tier LLM Synthesis: </w:t>
      </w:r>
      <w:r>
        <w:rPr>
          <w:rFonts w:ascii="Calibri" w:hAnsi="Calibri"/>
          <w:color w:val="1E293B"/>
          <w:sz w:val="21"/>
        </w:rPr>
        <w:t>The system executes CloudLLMWrapper against Groq API. If network timeout or quota exhaustion occurs, it seamlessly fails over to local Ollama; if both are offline, it renders the raw chunk.</w:t>
      </w:r>
    </w:p>
    <w:p>
      <w:pPr>
        <w:pStyle w:val="ListBullet"/>
        <w:spacing w:before="0" w:after="80" w:line="276" w:lineRule="auto"/>
      </w:pPr>
      <w:r>
        <w:rPr>
          <w:rFonts w:ascii="Calibri" w:hAnsi="Calibri"/>
          <w:b/>
          <w:color w:val="1E293B"/>
          <w:sz w:val="21"/>
        </w:rPr>
        <w:t xml:space="preserve">Step 7 — Priority Detection &amp; Gating: </w:t>
      </w:r>
      <w:r>
        <w:rPr>
          <w:rFonts w:ascii="Calibri" w:hAnsi="Calibri"/>
          <w:color w:val="1E293B"/>
          <w:sz w:val="21"/>
        </w:rPr>
        <w:t>If a ticket request is detected, detect_priority() scans for critical indicators (e.g., 'restarting', 'blue screen') to classify severity into HIGH, MEDIUM, or LOW.</w:t>
      </w:r>
    </w:p>
    <w:p>
      <w:pPr>
        <w:pStyle w:val="ListBullet"/>
        <w:spacing w:before="0" w:after="80" w:line="276" w:lineRule="auto"/>
      </w:pPr>
      <w:r>
        <w:rPr>
          <w:rFonts w:ascii="Calibri" w:hAnsi="Calibri"/>
          <w:b/>
          <w:color w:val="1E293B"/>
          <w:sz w:val="21"/>
        </w:rPr>
        <w:t xml:space="preserve">Step 8 — Human-in-the-Loop Confirmation: </w:t>
      </w:r>
      <w:r>
        <w:rPr>
          <w:rFonts w:ascii="Calibri" w:hAnsi="Calibri"/>
          <w:color w:val="1E293B"/>
          <w:sz w:val="21"/>
        </w:rPr>
        <w:t>For ticket generation, the UI renders an amber warning modal. Ticket insertion is paused until the user explicitly clicks 'YES – Create Ticket'.</w:t>
      </w:r>
    </w:p>
    <w:p>
      <w:pPr>
        <w:pStyle w:val="ListBullet"/>
        <w:spacing w:before="0" w:after="80" w:line="276" w:lineRule="auto"/>
      </w:pPr>
      <w:r>
        <w:rPr>
          <w:rFonts w:ascii="Calibri" w:hAnsi="Calibri"/>
          <w:b/>
          <w:color w:val="1E293B"/>
          <w:sz w:val="21"/>
        </w:rPr>
        <w:t xml:space="preserve">Step 9 — Database Commitment &amp; Dynamic UI Update: </w:t>
      </w:r>
      <w:r>
        <w:rPr>
          <w:rFonts w:ascii="Calibri" w:hAnsi="Calibri"/>
          <w:color w:val="1E293B"/>
          <w:sz w:val="21"/>
        </w:rPr>
        <w:t>The ticket record (TKT-2026-XXXXX) is committed to SQLite, support metric counters increment, and a holographic ticket card is rendered in the chat stream.</w:t>
      </w:r>
    </w:p>
    <w:p>
      <w:pPr>
        <w:pStyle w:val="Heading3"/>
        <w:keepNext/>
        <w:spacing w:before="200" w:after="60"/>
      </w:pPr>
      <w:r>
        <w:rPr>
          <w:rFonts w:ascii="Calibri" w:hAnsi="Calibri"/>
          <w:b/>
          <w:color w:val="1E293B"/>
          <w:sz w:val="22"/>
        </w:rPr>
        <w:t>Detailed Analysis: Ticket Priority Detection Workflow</w:t>
      </w:r>
    </w:p>
    <w:p>
      <w:pPr>
        <w:spacing w:before="0" w:after="120" w:line="276" w:lineRule="auto"/>
      </w:pPr>
      <w:r>
        <w:rPr>
          <w:rFonts w:ascii="Calibri" w:hAnsi="Calibri"/>
          <w:color w:val="1E293B"/>
          <w:sz w:val="21"/>
        </w:rPr>
        <w:t>Priority detection is a mission-critical governance feature of the AI IT Helpdesk Agent. Uncontrolled automated ticket creation can easily saturate support queues with misleading urgency tags. The system enforces a strict dual-layer prioritization architecture:</w:t>
      </w:r>
    </w:p>
    <w:p>
      <w:pPr>
        <w:pStyle w:val="ListBullet"/>
        <w:spacing w:before="0" w:after="80" w:line="276" w:lineRule="auto"/>
      </w:pPr>
      <w:r>
        <w:rPr>
          <w:rFonts w:ascii="Calibri" w:hAnsi="Calibri"/>
          <w:b/>
          <w:color w:val="1E293B"/>
          <w:sz w:val="21"/>
        </w:rPr>
        <w:t xml:space="preserve">HIGH Priority Tier (Critical Incidents): </w:t>
      </w:r>
      <w:r>
        <w:rPr>
          <w:rFonts w:ascii="Calibri" w:hAnsi="Calibri"/>
          <w:color w:val="1E293B"/>
          <w:sz w:val="21"/>
        </w:rPr>
        <w:t>Assigned to system-halting failures, repeated crash loops, security incidents, or impending data loss. Keyword triggers include: 'restarting', 'rebooting', 'system down', 'completely down', 'security issue', 'data loss', 'critical failure', 'crash loop', 'blue screen', 'bsod', 'hacked', 'ransomware', and 'cannot boot'. High priority tickets display a crimson holographic left border and red status pill.</w:t>
      </w:r>
    </w:p>
    <w:p>
      <w:pPr>
        <w:pStyle w:val="ListBullet"/>
        <w:spacing w:before="0" w:after="80" w:line="276" w:lineRule="auto"/>
      </w:pPr>
      <w:r>
        <w:rPr>
          <w:rFonts w:ascii="Calibri" w:hAnsi="Calibri"/>
          <w:b/>
          <w:color w:val="1E293B"/>
          <w:sz w:val="21"/>
        </w:rPr>
        <w:t xml:space="preserve">MEDIUM Priority Tier (Degraded Functionality): </w:t>
      </w:r>
      <w:r>
        <w:rPr>
          <w:rFonts w:ascii="Calibri" w:hAnsi="Calibri"/>
          <w:color w:val="1E293B"/>
          <w:sz w:val="21"/>
        </w:rPr>
        <w:t>Assigned to operational impairments where workaround procedures exist. Keyword triggers include: 'wifi', 'wi-fi', 'internet', 'software', 'vpn', 'email', 'outlook', 'slow', 'network', 'connection', 'login', and 'password'. Represented with amber badges.</w:t>
      </w:r>
    </w:p>
    <w:p>
      <w:pPr>
        <w:pStyle w:val="ListBullet"/>
        <w:spacing w:before="0" w:after="80" w:line="276" w:lineRule="auto"/>
      </w:pPr>
      <w:r>
        <w:rPr>
          <w:rFonts w:ascii="Calibri" w:hAnsi="Calibri"/>
          <w:b/>
          <w:color w:val="1E293B"/>
          <w:sz w:val="21"/>
        </w:rPr>
        <w:t xml:space="preserve">LOW Priority Tier (Routine Requests): </w:t>
      </w:r>
      <w:r>
        <w:rPr>
          <w:rFonts w:ascii="Calibri" w:hAnsi="Calibri"/>
          <w:color w:val="1E293B"/>
          <w:sz w:val="21"/>
        </w:rPr>
        <w:t>Assigned to non-critical peripheral inquiries, printer issues, general software licensing queries, or minor UI requests. Represented with emerald green badges.</w:t>
      </w:r>
    </w:p>
    <w:p>
      <w:pPr>
        <w:pStyle w:val="Heading2"/>
        <w:keepNext/>
        <w:spacing w:before="280" w:after="80"/>
      </w:pPr>
      <w:r>
        <w:rPr>
          <w:rFonts w:ascii="Calibri" w:hAnsi="Calibri"/>
          <w:b/>
          <w:color w:val="0043CE"/>
          <w:sz w:val="26"/>
        </w:rPr>
        <w:t>3.3 Screenshots / Output</w:t>
      </w:r>
    </w:p>
    <w:p>
      <w:pPr>
        <w:spacing w:before="0" w:after="120" w:line="276" w:lineRule="auto"/>
      </w:pPr>
      <w:r>
        <w:rPr>
          <w:rFonts w:ascii="Calibri" w:hAnsi="Calibri"/>
          <w:color w:val="1E293B"/>
          <w:sz w:val="21"/>
        </w:rPr>
        <w:t>The following screenshots document the actual, running AI IT Helpdesk Agent application executing on localhost:8501. All visual evidence was captured directly through automated Playwright headless browser sessions exercising real-world IT support workflows:</w:t>
      </w:r>
    </w:p>
    <w:p>
      <w:pPr>
        <w:spacing w:before="240" w:after="120"/>
        <w:jc w:val="center"/>
      </w:pPr>
      <w:r>
        <w:drawing>
          <wp:inline xmlns:a="http://schemas.openxmlformats.org/drawingml/2006/main" xmlns:pic="http://schemas.openxmlformats.org/drawingml/2006/picture">
            <wp:extent cx="5669280" cy="3740150"/>
            <wp:docPr id="1" name="Picture 1"/>
            <wp:cNvGraphicFramePr>
              <a:graphicFrameLocks noChangeAspect="1"/>
            </wp:cNvGraphicFramePr>
            <a:graphic>
              <a:graphicData uri="http://schemas.openxmlformats.org/drawingml/2006/picture">
                <pic:pic>
                  <pic:nvPicPr>
                    <pic:cNvPr id="0" name="fig1_command_center_dashboard.png"/>
                    <pic:cNvPicPr/>
                  </pic:nvPicPr>
                  <pic:blipFill>
                    <a:blip r:embed="rId11"/>
                    <a:stretch>
                      <a:fillRect/>
                    </a:stretch>
                  </pic:blipFill>
                  <pic:spPr>
                    <a:xfrm>
                      <a:off x="0" y="0"/>
                      <a:ext cx="5669280" cy="3740150"/>
                    </a:xfrm>
                    <a:prstGeom prst="rect"/>
                  </pic:spPr>
                </pic:pic>
              </a:graphicData>
            </a:graphic>
          </wp:inline>
        </w:drawing>
      </w:r>
    </w:p>
    <w:p>
      <w:pPr>
        <w:spacing w:before="0" w:after="240"/>
        <w:jc w:val="center"/>
      </w:pPr>
      <w:r>
        <w:rPr>
          <w:rFonts w:ascii="Calibri" w:hAnsi="Calibri"/>
          <w:b/>
          <w:color w:val="0F2E5C"/>
          <w:sz w:val="19"/>
        </w:rPr>
        <w:t xml:space="preserve">Figure 1: </w:t>
      </w:r>
      <w:r>
        <w:rPr>
          <w:rFonts w:ascii="Calibri" w:hAnsi="Calibri"/>
          <w:i/>
          <w:color w:val="64748B"/>
          <w:sz w:val="19"/>
        </w:rPr>
        <w:t>AI IT Helpdesk Command Center Dashboard illustrating the cyber-dark glassmorphic interface, real-time Cloud API status beacon (openai/gpt-oss-120b), active session management drawer, support metrics grid, and quick request chips.</w:t>
      </w:r>
    </w:p>
    <w:p>
      <w:pPr>
        <w:spacing w:before="0" w:after="120" w:line="276" w:lineRule="auto"/>
      </w:pPr>
      <w:r>
        <w:rPr>
          <w:rFonts w:ascii="Calibri" w:hAnsi="Calibri"/>
          <w:color w:val="1E293B"/>
          <w:sz w:val="21"/>
        </w:rPr>
        <w:t>Figure 1 displays the primary dashboard loaded upon initial navigation. The sidebar features a live health beacon indicating that the primary Cloud LLM (openai/gpt-oss-120b) is active and connected. Real-time metric tiles display the count of open versus resolved tickets directly queried from SQLite. Quick Help Request chips allow one-click initiation of common enterprise inquiries.</w:t>
      </w:r>
    </w:p>
    <w:p>
      <w:pPr>
        <w:spacing w:before="240" w:after="120"/>
        <w:jc w:val="center"/>
      </w:pPr>
      <w:r>
        <w:drawing>
          <wp:inline xmlns:a="http://schemas.openxmlformats.org/drawingml/2006/main" xmlns:pic="http://schemas.openxmlformats.org/drawingml/2006/picture">
            <wp:extent cx="5669280" cy="3740150"/>
            <wp:docPr id="2" name="Picture 2"/>
            <wp:cNvGraphicFramePr>
              <a:graphicFrameLocks noChangeAspect="1"/>
            </wp:cNvGraphicFramePr>
            <a:graphic>
              <a:graphicData uri="http://schemas.openxmlformats.org/drawingml/2006/picture">
                <pic:pic>
                  <pic:nvPicPr>
                    <pic:cNvPr id="0" name="fig2_technical_rag_response.png"/>
                    <pic:cNvPicPr/>
                  </pic:nvPicPr>
                  <pic:blipFill>
                    <a:blip r:embed="rId12"/>
                    <a:stretch>
                      <a:fillRect/>
                    </a:stretch>
                  </pic:blipFill>
                  <pic:spPr>
                    <a:xfrm>
                      <a:off x="0" y="0"/>
                      <a:ext cx="5669280" cy="3740150"/>
                    </a:xfrm>
                    <a:prstGeom prst="rect"/>
                  </pic:spPr>
                </pic:pic>
              </a:graphicData>
            </a:graphic>
          </wp:inline>
        </w:drawing>
      </w:r>
    </w:p>
    <w:p>
      <w:pPr>
        <w:spacing w:before="0" w:after="240"/>
        <w:jc w:val="center"/>
      </w:pPr>
      <w:r>
        <w:rPr>
          <w:rFonts w:ascii="Calibri" w:hAnsi="Calibri"/>
          <w:b/>
          <w:color w:val="0F2E5C"/>
          <w:sz w:val="19"/>
        </w:rPr>
        <w:t xml:space="preserve">Figure 2: </w:t>
      </w:r>
      <w:r>
        <w:rPr>
          <w:rFonts w:ascii="Calibri" w:hAnsi="Calibri"/>
          <w:i/>
          <w:color w:val="64748B"/>
          <w:sz w:val="19"/>
        </w:rPr>
        <w:t>Autonomous Technical Troubleshooting workflow demonstrating natural language query resolution for Wi-Fi connectivity, step-by-step instructions, authoritative source grounding (Sources: wifi.txt), and Cloud API provider attribution.</w:t>
      </w:r>
    </w:p>
    <w:p>
      <w:pPr>
        <w:spacing w:before="0" w:after="120" w:line="276" w:lineRule="auto"/>
      </w:pPr>
      <w:r>
        <w:rPr>
          <w:rFonts w:ascii="Calibri" w:hAnsi="Calibri"/>
          <w:color w:val="1E293B"/>
          <w:sz w:val="21"/>
        </w:rPr>
        <w:t>Figure 2 illustrates the Technical Agent executing RAG retrieval. Upon receiving the query 'My WiFi is not connecting', the LangGraph classifier identified the query as technical, queried ChromaDB for relevant passages in wifi.txt, and synthesized step-by-step instructions. The response explicitly cites the authoritative source file and displays the runtime provider attribution badge.</w:t>
      </w:r>
    </w:p>
    <w:p>
      <w:pPr>
        <w:spacing w:before="240" w:after="120"/>
        <w:jc w:val="center"/>
      </w:pPr>
      <w:r>
        <w:drawing>
          <wp:inline xmlns:a="http://schemas.openxmlformats.org/drawingml/2006/main" xmlns:pic="http://schemas.openxmlformats.org/drawingml/2006/picture">
            <wp:extent cx="5669280" cy="3740150"/>
            <wp:docPr id="3" name="Picture 3"/>
            <wp:cNvGraphicFramePr>
              <a:graphicFrameLocks noChangeAspect="1"/>
            </wp:cNvGraphicFramePr>
            <a:graphic>
              <a:graphicData uri="http://schemas.openxmlformats.org/drawingml/2006/picture">
                <pic:pic>
                  <pic:nvPicPr>
                    <pic:cNvPr id="0" name="fig3_priority_detection_hitl.png"/>
                    <pic:cNvPicPr/>
                  </pic:nvPicPr>
                  <pic:blipFill>
                    <a:blip r:embed="rId13"/>
                    <a:stretch>
                      <a:fillRect/>
                    </a:stretch>
                  </pic:blipFill>
                  <pic:spPr>
                    <a:xfrm>
                      <a:off x="0" y="0"/>
                      <a:ext cx="5669280" cy="3740150"/>
                    </a:xfrm>
                    <a:prstGeom prst="rect"/>
                  </pic:spPr>
                </pic:pic>
              </a:graphicData>
            </a:graphic>
          </wp:inline>
        </w:drawing>
      </w:r>
    </w:p>
    <w:p>
      <w:pPr>
        <w:spacing w:before="0" w:after="240"/>
        <w:jc w:val="center"/>
      </w:pPr>
      <w:r>
        <w:rPr>
          <w:rFonts w:ascii="Calibri" w:hAnsi="Calibri"/>
          <w:b/>
          <w:color w:val="0F2E5C"/>
          <w:sz w:val="19"/>
        </w:rPr>
        <w:t xml:space="preserve">Figure 3: </w:t>
      </w:r>
      <w:r>
        <w:rPr>
          <w:rFonts w:ascii="Calibri" w:hAnsi="Calibri"/>
          <w:i/>
          <w:color w:val="64748B"/>
          <w:sz w:val="19"/>
        </w:rPr>
        <w:t>Real-Time Priority Detection and Human-in-the-Loop (HITL) Gating Interface. The system autonomously identified a laptop reboot loop as HIGH priority and suspended database insertion pending explicit user confirmation.</w:t>
      </w:r>
    </w:p>
    <w:p>
      <w:pPr>
        <w:spacing w:before="0" w:after="120" w:line="276" w:lineRule="auto"/>
      </w:pPr>
      <w:r>
        <w:rPr>
          <w:rFonts w:ascii="Calibri" w:hAnsi="Calibri"/>
          <w:color w:val="1E293B"/>
          <w:sz w:val="21"/>
        </w:rPr>
        <w:t>Figure 3 demonstrates the Ticket Agent's priority detection and Human-in-the-Loop gating. The user requested: 'Create a ticket because my laptop keeps restarting'. The priority engine identified the keyword 'restarting' and categorized the issue as HIGH priority. Rather than committing the ticket immediately, the agent generated a prominent confirmation card with 'YES – Create Ticket' and 'NO – Cancel' options, safeguarding database hygiene.</w:t>
      </w:r>
    </w:p>
    <w:p>
      <w:pPr>
        <w:spacing w:before="240" w:after="120"/>
        <w:jc w:val="center"/>
      </w:pPr>
      <w:r>
        <w:drawing>
          <wp:inline xmlns:a="http://schemas.openxmlformats.org/drawingml/2006/main" xmlns:pic="http://schemas.openxmlformats.org/drawingml/2006/picture">
            <wp:extent cx="5669280" cy="3740150"/>
            <wp:docPr id="4" name="Picture 4"/>
            <wp:cNvGraphicFramePr>
              <a:graphicFrameLocks noChangeAspect="1"/>
            </wp:cNvGraphicFramePr>
            <a:graphic>
              <a:graphicData uri="http://schemas.openxmlformats.org/drawingml/2006/picture">
                <pic:pic>
                  <pic:nvPicPr>
                    <pic:cNvPr id="0" name="fig4_ticket_card_created.png"/>
                    <pic:cNvPicPr/>
                  </pic:nvPicPr>
                  <pic:blipFill>
                    <a:blip r:embed="rId14"/>
                    <a:stretch>
                      <a:fillRect/>
                    </a:stretch>
                  </pic:blipFill>
                  <pic:spPr>
                    <a:xfrm>
                      <a:off x="0" y="0"/>
                      <a:ext cx="5669280" cy="3740150"/>
                    </a:xfrm>
                    <a:prstGeom prst="rect"/>
                  </pic:spPr>
                </pic:pic>
              </a:graphicData>
            </a:graphic>
          </wp:inline>
        </w:drawing>
      </w:r>
    </w:p>
    <w:p>
      <w:pPr>
        <w:spacing w:before="0" w:after="240"/>
        <w:jc w:val="center"/>
      </w:pPr>
      <w:r>
        <w:rPr>
          <w:rFonts w:ascii="Calibri" w:hAnsi="Calibri"/>
          <w:b/>
          <w:color w:val="0F2E5C"/>
          <w:sz w:val="19"/>
        </w:rPr>
        <w:t xml:space="preserve">Figure 4: </w:t>
      </w:r>
      <w:r>
        <w:rPr>
          <w:rFonts w:ascii="Calibri" w:hAnsi="Calibri"/>
          <w:i/>
          <w:color w:val="64748B"/>
          <w:sz w:val="19"/>
        </w:rPr>
        <w:t>Generated Support Ticket Glassmorphic Card displaying unique ticket identification (TKT-2026-39512), user identity, HIGH PRIORITY badge, OPEN status, creation timestamp, and issue description committed to SQLite.</w:t>
      </w:r>
    </w:p>
    <w:p>
      <w:pPr>
        <w:spacing w:before="0" w:after="120" w:line="276" w:lineRule="auto"/>
      </w:pPr>
      <w:r>
        <w:rPr>
          <w:rFonts w:ascii="Calibri" w:hAnsi="Calibri"/>
          <w:color w:val="1E293B"/>
          <w:sz w:val="21"/>
        </w:rPr>
        <w:t>Figure 4 captures the system state immediately following user confirmation. The ticket was recorded in SQLite, assigning unique identifier TKT-2026-39512. The interface rendered a glassmorphic card with a crimson indicator bar, verified priority pill, user attribution, and formatted timestamp.</w:t>
      </w:r>
    </w:p>
    <w:p>
      <w:pPr>
        <w:spacing w:before="240" w:after="120"/>
        <w:jc w:val="center"/>
      </w:pPr>
      <w:r>
        <w:drawing>
          <wp:inline xmlns:a="http://schemas.openxmlformats.org/drawingml/2006/main" xmlns:pic="http://schemas.openxmlformats.org/drawingml/2006/picture">
            <wp:extent cx="5669280" cy="3740150"/>
            <wp:docPr id="5" name="Picture 5"/>
            <wp:cNvGraphicFramePr>
              <a:graphicFrameLocks noChangeAspect="1"/>
            </wp:cNvGraphicFramePr>
            <a:graphic>
              <a:graphicData uri="http://schemas.openxmlformats.org/drawingml/2006/picture">
                <pic:pic>
                  <pic:nvPicPr>
                    <pic:cNvPr id="0" name="fig5_ticket_management_query.png"/>
                    <pic:cNvPicPr/>
                  </pic:nvPicPr>
                  <pic:blipFill>
                    <a:blip r:embed="rId15"/>
                    <a:stretch>
                      <a:fillRect/>
                    </a:stretch>
                  </pic:blipFill>
                  <pic:spPr>
                    <a:xfrm>
                      <a:off x="0" y="0"/>
                      <a:ext cx="5669280" cy="3740150"/>
                    </a:xfrm>
                    <a:prstGeom prst="rect"/>
                  </pic:spPr>
                </pic:pic>
              </a:graphicData>
            </a:graphic>
          </wp:inline>
        </w:drawing>
      </w:r>
    </w:p>
    <w:p>
      <w:pPr>
        <w:spacing w:before="0" w:after="240"/>
        <w:jc w:val="center"/>
      </w:pPr>
      <w:r>
        <w:rPr>
          <w:rFonts w:ascii="Calibri" w:hAnsi="Calibri"/>
          <w:b/>
          <w:color w:val="0F2E5C"/>
          <w:sz w:val="19"/>
        </w:rPr>
        <w:t xml:space="preserve">Figure 5: </w:t>
      </w:r>
      <w:r>
        <w:rPr>
          <w:rFonts w:ascii="Calibri" w:hAnsi="Calibri"/>
          <w:i/>
          <w:color w:val="64748B"/>
          <w:sz w:val="19"/>
        </w:rPr>
        <w:t>Automated Ticket Lifecycle Tool Invocation showing natural language querying of active support tickets ('List all open tickets') executing database retrieval via the list_open_tickets_tool.</w:t>
      </w:r>
    </w:p>
    <w:p>
      <w:pPr>
        <w:spacing w:before="0" w:after="120" w:line="276" w:lineRule="auto"/>
      </w:pPr>
      <w:r>
        <w:rPr>
          <w:rFonts w:ascii="Calibri" w:hAnsi="Calibri"/>
          <w:color w:val="1E293B"/>
          <w:sz w:val="21"/>
        </w:rPr>
        <w:t>Figure 5 showcases the Ticket Agent executing the list_open_tickets_tool in response to 'List all open tickets'. The agent queried the SQLite database under WAL mode and returned an itemized inventory of all active support tickets with their respective priorities and descriptions.</w:t>
      </w:r>
    </w:p>
    <w:p>
      <w:pPr>
        <w:spacing w:before="240" w:after="120"/>
        <w:jc w:val="center"/>
      </w:pPr>
      <w:r>
        <w:drawing>
          <wp:inline xmlns:a="http://schemas.openxmlformats.org/drawingml/2006/main" xmlns:pic="http://schemas.openxmlformats.org/drawingml/2006/picture">
            <wp:extent cx="5669280" cy="3740150"/>
            <wp:docPr id="6" name="Picture 6"/>
            <wp:cNvGraphicFramePr>
              <a:graphicFrameLocks noChangeAspect="1"/>
            </wp:cNvGraphicFramePr>
            <a:graphic>
              <a:graphicData uri="http://schemas.openxmlformats.org/drawingml/2006/picture">
                <pic:pic>
                  <pic:nvPicPr>
                    <pic:cNvPr id="0" name="fig6_sidebar_admin_metrics.png"/>
                    <pic:cNvPicPr/>
                  </pic:nvPicPr>
                  <pic:blipFill>
                    <a:blip r:embed="rId16"/>
                    <a:stretch>
                      <a:fillRect/>
                    </a:stretch>
                  </pic:blipFill>
                  <pic:spPr>
                    <a:xfrm>
                      <a:off x="0" y="0"/>
                      <a:ext cx="5669280" cy="3740150"/>
                    </a:xfrm>
                    <a:prstGeom prst="rect"/>
                  </pic:spPr>
                </pic:pic>
              </a:graphicData>
            </a:graphic>
          </wp:inline>
        </w:drawing>
      </w:r>
    </w:p>
    <w:p>
      <w:pPr>
        <w:spacing w:before="0" w:after="240"/>
        <w:jc w:val="center"/>
      </w:pPr>
      <w:r>
        <w:rPr>
          <w:rFonts w:ascii="Calibri" w:hAnsi="Calibri"/>
          <w:b/>
          <w:color w:val="0F2E5C"/>
          <w:sz w:val="19"/>
        </w:rPr>
        <w:t xml:space="preserve">Figure 6: </w:t>
      </w:r>
      <w:r>
        <w:rPr>
          <w:rFonts w:ascii="Calibri" w:hAnsi="Calibri"/>
          <w:i/>
          <w:color w:val="64748B"/>
          <w:sz w:val="19"/>
        </w:rPr>
        <w:t>Sidebar Ticket Administration and Metric Counters. The administrative drawer displays active tickets with individual 'Close Ticket' actions and dynamic Knowledge Base chunk index counters.</w:t>
      </w:r>
    </w:p>
    <w:p>
      <w:pPr>
        <w:spacing w:before="0" w:after="120" w:line="276" w:lineRule="auto"/>
      </w:pPr>
      <w:r>
        <w:rPr>
          <w:rFonts w:ascii="Calibri" w:hAnsi="Calibri"/>
          <w:color w:val="1E293B"/>
          <w:sz w:val="21"/>
        </w:rPr>
        <w:t>Figure 6 shows the administrative control panel embedded in the sidebar. Support staff can view all open tickets, examine assigned priority pills, and resolve tickets with a single click. The sidebar also reflects that 37 documentation chunks are actively indexed across the knowledge base.</w:t>
      </w:r>
    </w:p>
    <w:p>
      <w:pPr>
        <w:spacing w:before="240" w:after="120"/>
        <w:jc w:val="center"/>
      </w:pPr>
      <w:r>
        <w:drawing>
          <wp:inline xmlns:a="http://schemas.openxmlformats.org/drawingml/2006/main" xmlns:pic="http://schemas.openxmlformats.org/drawingml/2006/picture">
            <wp:extent cx="5669280" cy="3740150"/>
            <wp:docPr id="7" name="Picture 7"/>
            <wp:cNvGraphicFramePr>
              <a:graphicFrameLocks noChangeAspect="1"/>
            </wp:cNvGraphicFramePr>
            <a:graphic>
              <a:graphicData uri="http://schemas.openxmlformats.org/drawingml/2006/picture">
                <pic:pic>
                  <pic:nvPicPr>
                    <pic:cNvPr id="0" name="fig7_user_profile_memory.png"/>
                    <pic:cNvPicPr/>
                  </pic:nvPicPr>
                  <pic:blipFill>
                    <a:blip r:embed="rId17"/>
                    <a:stretch>
                      <a:fillRect/>
                    </a:stretch>
                  </pic:blipFill>
                  <pic:spPr>
                    <a:xfrm>
                      <a:off x="0" y="0"/>
                      <a:ext cx="5669280" cy="3740150"/>
                    </a:xfrm>
                    <a:prstGeom prst="rect"/>
                  </pic:spPr>
                </pic:pic>
              </a:graphicData>
            </a:graphic>
          </wp:inline>
        </w:drawing>
      </w:r>
    </w:p>
    <w:p>
      <w:pPr>
        <w:spacing w:before="0" w:after="240"/>
        <w:jc w:val="center"/>
      </w:pPr>
      <w:r>
        <w:rPr>
          <w:rFonts w:ascii="Calibri" w:hAnsi="Calibri"/>
          <w:b/>
          <w:color w:val="0F2E5C"/>
          <w:sz w:val="19"/>
        </w:rPr>
        <w:t xml:space="preserve">Figure 7: </w:t>
      </w:r>
      <w:r>
        <w:rPr>
          <w:rFonts w:ascii="Calibri" w:hAnsi="Calibri"/>
          <w:i/>
          <w:color w:val="64748B"/>
          <w:sz w:val="19"/>
        </w:rPr>
        <w:t>Context-Aware Long-Term User Profile Memory extraction and recall. The General Agent extracted the user's name from natural conversation and committed it to the user_memory table for session personalization.</w:t>
      </w:r>
    </w:p>
    <w:p>
      <w:pPr>
        <w:spacing w:before="0" w:after="120" w:line="276" w:lineRule="auto"/>
      </w:pPr>
      <w:r>
        <w:rPr>
          <w:rFonts w:ascii="Calibri" w:hAnsi="Calibri"/>
          <w:color w:val="1E293B"/>
          <w:sz w:val="21"/>
        </w:rPr>
        <w:t>Figure 7 demonstrates the General Agent's long-term memory extraction capabilities. When the user stated their identity ('My name is Saran Raj...'), the agent parsed the name and persisted it into the user_memory SQLite table, enabling personalized greetings across subsequent conversation sessions.</w:t>
      </w:r>
    </w:p>
    <w:p>
      <w:pPr>
        <w:pStyle w:val="Heading2"/>
        <w:keepNext/>
        <w:spacing w:before="280" w:after="80"/>
      </w:pPr>
      <w:r>
        <w:rPr>
          <w:rFonts w:ascii="Calibri" w:hAnsi="Calibri"/>
          <w:b/>
          <w:color w:val="0043CE"/>
          <w:sz w:val="26"/>
        </w:rPr>
        <w:t>3.4 Results Achieved</w:t>
      </w:r>
    </w:p>
    <w:p>
      <w:pPr>
        <w:spacing w:before="0" w:after="120" w:line="276" w:lineRule="auto"/>
      </w:pPr>
      <w:r>
        <w:rPr>
          <w:rFonts w:ascii="Calibri" w:hAnsi="Calibri"/>
          <w:color w:val="1E293B"/>
          <w:sz w:val="21"/>
        </w:rPr>
        <w:t>The AI IT Helpdesk Agent was subjected to rigorous empirical testing across hardware, software, network, administrative, and adversarial scenarios. Every test case evaluated end-to-end execution, routing precision, priority detection, RAG retrieval accuracy, and database persistence. The empirical test results are summarized in Table 2 below:</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0F2E5C"/>
            <w:tcMar>
              <w:top w:w="140" w:type="dxa"/>
              <w:bottom w:w="140" w:type="dxa"/>
              <w:left w:w="140" w:type="dxa"/>
              <w:right w:w="140" w:type="dxa"/>
            </w:tcMar>
          </w:tcPr>
          <w:p>
            <w:pPr>
              <w:jc w:val="left"/>
            </w:pPr>
            <w:r>
              <w:rPr>
                <w:rFonts w:ascii="Calibri" w:hAnsi="Calibri"/>
                <w:b/>
                <w:color w:val="FFFFFF"/>
                <w:sz w:val="19"/>
              </w:rPr>
              <w:t>Test Scenario</w:t>
            </w:r>
          </w:p>
        </w:tc>
        <w:tc>
          <w:tcPr>
            <w:tcW w:type="dxa" w:w="3168"/>
            <w:shd w:fill="0F2E5C"/>
            <w:tcMar>
              <w:top w:w="140" w:type="dxa"/>
              <w:bottom w:w="140" w:type="dxa"/>
              <w:left w:w="140" w:type="dxa"/>
              <w:right w:w="140" w:type="dxa"/>
            </w:tcMar>
          </w:tcPr>
          <w:p>
            <w:pPr>
              <w:jc w:val="left"/>
            </w:pPr>
            <w:r>
              <w:rPr>
                <w:rFonts w:ascii="Calibri" w:hAnsi="Calibri"/>
                <w:b/>
                <w:color w:val="FFFFFF"/>
                <w:sz w:val="19"/>
              </w:rPr>
              <w:t>Expected System Behavior</w:t>
            </w:r>
          </w:p>
        </w:tc>
        <w:tc>
          <w:tcPr>
            <w:tcW w:type="dxa" w:w="3168"/>
            <w:shd w:fill="0F2E5C"/>
            <w:tcMar>
              <w:top w:w="140" w:type="dxa"/>
              <w:bottom w:w="140" w:type="dxa"/>
              <w:left w:w="140" w:type="dxa"/>
              <w:right w:w="140" w:type="dxa"/>
            </w:tcMar>
          </w:tcPr>
          <w:p>
            <w:pPr>
              <w:jc w:val="left"/>
            </w:pPr>
            <w:r>
              <w:rPr>
                <w:rFonts w:ascii="Calibri" w:hAnsi="Calibri"/>
                <w:b/>
                <w:color w:val="FFFFFF"/>
                <w:sz w:val="19"/>
              </w:rPr>
              <w:t>Actual Observed Result</w:t>
            </w:r>
          </w:p>
        </w:tc>
        <w:tc>
          <w:tcPr>
            <w:tcW w:type="dxa" w:w="864"/>
            <w:shd w:fill="0F2E5C"/>
            <w:tcMar>
              <w:top w:w="140" w:type="dxa"/>
              <w:bottom w:w="140" w:type="dxa"/>
              <w:left w:w="140" w:type="dxa"/>
              <w:right w:w="140" w:type="dxa"/>
            </w:tcMar>
          </w:tcPr>
          <w:p>
            <w:pPr>
              <w:jc w:val="left"/>
            </w:pPr>
            <w:r>
              <w:rPr>
                <w:rFonts w:ascii="Calibri" w:hAnsi="Calibri"/>
                <w:b/>
                <w:color w:val="FFFFFF"/>
                <w:sz w:val="19"/>
              </w:rPr>
              <w:t>Status</w:t>
            </w:r>
          </w:p>
        </w:tc>
      </w:tr>
      <w:tr>
        <w:tc>
          <w:tcPr>
            <w:tcW w:type="dxa" w:w="2160"/>
            <w:shd w:fill="FFFFFF"/>
            <w:tcMar>
              <w:top w:w="90" w:type="dxa"/>
              <w:bottom w:w="90" w:type="dxa"/>
              <w:left w:w="120" w:type="dxa"/>
              <w:right w:w="120" w:type="dxa"/>
            </w:tcMar>
          </w:tcPr>
          <w:p>
            <w:pPr>
              <w:jc w:val="left"/>
            </w:pPr>
            <w:r>
              <w:rPr>
                <w:rFonts w:ascii="Calibri" w:hAnsi="Calibri"/>
                <w:b/>
                <w:color w:val="1E293B"/>
                <w:sz w:val="18"/>
              </w:rPr>
              <w:t>Wi-Fi Connectivity Failure</w:t>
            </w:r>
          </w:p>
        </w:tc>
        <w:tc>
          <w:tcPr>
            <w:tcW w:type="dxa" w:w="3168"/>
            <w:shd w:fill="FFFFFF"/>
            <w:tcMar>
              <w:top w:w="90" w:type="dxa"/>
              <w:bottom w:w="90" w:type="dxa"/>
              <w:left w:w="120" w:type="dxa"/>
              <w:right w:w="120" w:type="dxa"/>
            </w:tcMar>
          </w:tcPr>
          <w:p>
            <w:pPr>
              <w:jc w:val="left"/>
            </w:pPr>
            <w:r>
              <w:rPr>
                <w:rFonts w:ascii="Calibri" w:hAnsi="Calibri"/>
                <w:color w:val="1E293B"/>
                <w:sz w:val="18"/>
              </w:rPr>
              <w:t>Route to Technical Agent; retrieve wifi.txt; provide 3-step troubleshooting with source citation.</w:t>
            </w:r>
          </w:p>
        </w:tc>
        <w:tc>
          <w:tcPr>
            <w:tcW w:type="dxa" w:w="3168"/>
            <w:shd w:fill="FFFFFF"/>
            <w:tcMar>
              <w:top w:w="90" w:type="dxa"/>
              <w:bottom w:w="90" w:type="dxa"/>
              <w:left w:w="120" w:type="dxa"/>
              <w:right w:w="120" w:type="dxa"/>
            </w:tcMar>
          </w:tcPr>
          <w:p>
            <w:pPr>
              <w:jc w:val="left"/>
            </w:pPr>
            <w:r>
              <w:rPr>
                <w:rFonts w:ascii="Calibri" w:hAnsi="Calibri"/>
                <w:color w:val="1E293B"/>
                <w:sz w:val="18"/>
              </w:rPr>
              <w:t>Correctly retrieved wifi.txt chunks; rendered 3-step guide with citation and Cloud LLM badge.</w:t>
            </w:r>
          </w:p>
        </w:tc>
        <w:tc>
          <w:tcPr>
            <w:tcW w:type="dxa" w:w="864"/>
            <w:shd w:fill="FFFFFF"/>
            <w:tcMar>
              <w:top w:w="90" w:type="dxa"/>
              <w:bottom w:w="90" w:type="dxa"/>
              <w:left w:w="120" w:type="dxa"/>
              <w:right w:w="120" w:type="dxa"/>
            </w:tcMar>
          </w:tcPr>
          <w:p>
            <w:pPr>
              <w:jc w:val="left"/>
            </w:pPr>
            <w:r>
              <w:rPr>
                <w:rFonts w:ascii="Calibri" w:hAnsi="Calibri"/>
                <w:b/>
                <w:color w:val="10B981"/>
                <w:sz w:val="18"/>
              </w:rPr>
              <w:t>PASS</w:t>
            </w:r>
          </w:p>
        </w:tc>
      </w:tr>
      <w:tr>
        <w:tc>
          <w:tcPr>
            <w:tcW w:type="dxa" w:w="2160"/>
            <w:shd w:fill="F8FAFC"/>
            <w:tcMar>
              <w:top w:w="90" w:type="dxa"/>
              <w:bottom w:w="90" w:type="dxa"/>
              <w:left w:w="120" w:type="dxa"/>
              <w:right w:w="120" w:type="dxa"/>
            </w:tcMar>
          </w:tcPr>
          <w:p>
            <w:pPr>
              <w:jc w:val="left"/>
            </w:pPr>
            <w:r>
              <w:rPr>
                <w:rFonts w:ascii="Calibri" w:hAnsi="Calibri"/>
                <w:b/>
                <w:color w:val="1E293B"/>
                <w:sz w:val="18"/>
              </w:rPr>
              <w:t>Critical Laptop Reboot Loop</w:t>
            </w:r>
          </w:p>
        </w:tc>
        <w:tc>
          <w:tcPr>
            <w:tcW w:type="dxa" w:w="3168"/>
            <w:shd w:fill="F8FAFC"/>
            <w:tcMar>
              <w:top w:w="90" w:type="dxa"/>
              <w:bottom w:w="90" w:type="dxa"/>
              <w:left w:w="120" w:type="dxa"/>
              <w:right w:w="120" w:type="dxa"/>
            </w:tcMar>
          </w:tcPr>
          <w:p>
            <w:pPr>
              <w:jc w:val="left"/>
            </w:pPr>
            <w:r>
              <w:rPr>
                <w:rFonts w:ascii="Calibri" w:hAnsi="Calibri"/>
                <w:color w:val="1E293B"/>
                <w:sz w:val="18"/>
              </w:rPr>
              <w:t>Route to Ticket Agent; detect HIGH priority; render HITL confirmation modal without immediate DB insert.</w:t>
            </w:r>
          </w:p>
        </w:tc>
        <w:tc>
          <w:tcPr>
            <w:tcW w:type="dxa" w:w="3168"/>
            <w:shd w:fill="F8FAFC"/>
            <w:tcMar>
              <w:top w:w="90" w:type="dxa"/>
              <w:bottom w:w="90" w:type="dxa"/>
              <w:left w:w="120" w:type="dxa"/>
              <w:right w:w="120" w:type="dxa"/>
            </w:tcMar>
          </w:tcPr>
          <w:p>
            <w:pPr>
              <w:jc w:val="left"/>
            </w:pPr>
            <w:r>
              <w:rPr>
                <w:rFonts w:ascii="Calibri" w:hAnsi="Calibri"/>
                <w:color w:val="1E293B"/>
                <w:sz w:val="18"/>
              </w:rPr>
              <w:t>Priority assigned as HIGH; amber HITL confirmation card displayed; ticket creation paused.</w:t>
            </w:r>
          </w:p>
        </w:tc>
        <w:tc>
          <w:tcPr>
            <w:tcW w:type="dxa" w:w="864"/>
            <w:shd w:fill="F8FAFC"/>
            <w:tcMar>
              <w:top w:w="90" w:type="dxa"/>
              <w:bottom w:w="90" w:type="dxa"/>
              <w:left w:w="120" w:type="dxa"/>
              <w:right w:w="120" w:type="dxa"/>
            </w:tcMar>
          </w:tcPr>
          <w:p>
            <w:pPr>
              <w:jc w:val="left"/>
            </w:pPr>
            <w:r>
              <w:rPr>
                <w:rFonts w:ascii="Calibri" w:hAnsi="Calibri"/>
                <w:b/>
                <w:color w:val="10B981"/>
                <w:sz w:val="18"/>
              </w:rPr>
              <w:t>PASS</w:t>
            </w:r>
          </w:p>
        </w:tc>
      </w:tr>
      <w:tr>
        <w:tc>
          <w:tcPr>
            <w:tcW w:type="dxa" w:w="2160"/>
            <w:shd w:fill="FFFFFF"/>
            <w:tcMar>
              <w:top w:w="90" w:type="dxa"/>
              <w:bottom w:w="90" w:type="dxa"/>
              <w:left w:w="120" w:type="dxa"/>
              <w:right w:w="120" w:type="dxa"/>
            </w:tcMar>
          </w:tcPr>
          <w:p>
            <w:pPr>
              <w:jc w:val="left"/>
            </w:pPr>
            <w:r>
              <w:rPr>
                <w:rFonts w:ascii="Calibri" w:hAnsi="Calibri"/>
                <w:b/>
                <w:color w:val="1E293B"/>
                <w:sz w:val="18"/>
              </w:rPr>
              <w:t>HITL Ticket Confirmation</w:t>
            </w:r>
          </w:p>
        </w:tc>
        <w:tc>
          <w:tcPr>
            <w:tcW w:type="dxa" w:w="3168"/>
            <w:shd w:fill="FFFFFF"/>
            <w:tcMar>
              <w:top w:w="90" w:type="dxa"/>
              <w:bottom w:w="90" w:type="dxa"/>
              <w:left w:w="120" w:type="dxa"/>
              <w:right w:w="120" w:type="dxa"/>
            </w:tcMar>
          </w:tcPr>
          <w:p>
            <w:pPr>
              <w:jc w:val="left"/>
            </w:pPr>
            <w:r>
              <w:rPr>
                <w:rFonts w:ascii="Calibri" w:hAnsi="Calibri"/>
                <w:color w:val="1E293B"/>
                <w:sz w:val="18"/>
              </w:rPr>
              <w:t>Clicking 'YES - Create Ticket' commits ticket to SQLite and updates open ticket counter.</w:t>
            </w:r>
          </w:p>
        </w:tc>
        <w:tc>
          <w:tcPr>
            <w:tcW w:type="dxa" w:w="3168"/>
            <w:shd w:fill="FFFFFF"/>
            <w:tcMar>
              <w:top w:w="90" w:type="dxa"/>
              <w:bottom w:w="90" w:type="dxa"/>
              <w:left w:w="120" w:type="dxa"/>
              <w:right w:w="120" w:type="dxa"/>
            </w:tcMar>
          </w:tcPr>
          <w:p>
            <w:pPr>
              <w:jc w:val="left"/>
            </w:pPr>
            <w:r>
              <w:rPr>
                <w:rFonts w:ascii="Calibri" w:hAnsi="Calibri"/>
                <w:color w:val="1E293B"/>
                <w:sz w:val="18"/>
              </w:rPr>
              <w:t>Assigned TKT-2026-39512; inserted into helpdesk.db; metric card incremented to 6 open.</w:t>
            </w:r>
          </w:p>
        </w:tc>
        <w:tc>
          <w:tcPr>
            <w:tcW w:type="dxa" w:w="864"/>
            <w:shd w:fill="FFFFFF"/>
            <w:tcMar>
              <w:top w:w="90" w:type="dxa"/>
              <w:bottom w:w="90" w:type="dxa"/>
              <w:left w:w="120" w:type="dxa"/>
              <w:right w:w="120" w:type="dxa"/>
            </w:tcMar>
          </w:tcPr>
          <w:p>
            <w:pPr>
              <w:jc w:val="left"/>
            </w:pPr>
            <w:r>
              <w:rPr>
                <w:rFonts w:ascii="Calibri" w:hAnsi="Calibri"/>
                <w:b/>
                <w:color w:val="10B981"/>
                <w:sz w:val="18"/>
              </w:rPr>
              <w:t>PASS</w:t>
            </w:r>
          </w:p>
        </w:tc>
      </w:tr>
      <w:tr>
        <w:tc>
          <w:tcPr>
            <w:tcW w:type="dxa" w:w="2160"/>
            <w:shd w:fill="F8FAFC"/>
            <w:tcMar>
              <w:top w:w="90" w:type="dxa"/>
              <w:bottom w:w="90" w:type="dxa"/>
              <w:left w:w="120" w:type="dxa"/>
              <w:right w:w="120" w:type="dxa"/>
            </w:tcMar>
          </w:tcPr>
          <w:p>
            <w:pPr>
              <w:jc w:val="left"/>
            </w:pPr>
            <w:r>
              <w:rPr>
                <w:rFonts w:ascii="Calibri" w:hAnsi="Calibri"/>
                <w:b/>
                <w:color w:val="1E293B"/>
                <w:sz w:val="18"/>
              </w:rPr>
              <w:t>List Open Tickets Query</w:t>
            </w:r>
          </w:p>
        </w:tc>
        <w:tc>
          <w:tcPr>
            <w:tcW w:type="dxa" w:w="3168"/>
            <w:shd w:fill="F8FAFC"/>
            <w:tcMar>
              <w:top w:w="90" w:type="dxa"/>
              <w:bottom w:w="90" w:type="dxa"/>
              <w:left w:w="120" w:type="dxa"/>
              <w:right w:w="120" w:type="dxa"/>
            </w:tcMar>
          </w:tcPr>
          <w:p>
            <w:pPr>
              <w:jc w:val="left"/>
            </w:pPr>
            <w:r>
              <w:rPr>
                <w:rFonts w:ascii="Calibri" w:hAnsi="Calibri"/>
                <w:color w:val="1E293B"/>
                <w:sz w:val="18"/>
              </w:rPr>
              <w:t>Query SQLite tickets table for OPEN records and format itemized summary.</w:t>
            </w:r>
          </w:p>
        </w:tc>
        <w:tc>
          <w:tcPr>
            <w:tcW w:type="dxa" w:w="3168"/>
            <w:shd w:fill="F8FAFC"/>
            <w:tcMar>
              <w:top w:w="90" w:type="dxa"/>
              <w:bottom w:w="90" w:type="dxa"/>
              <w:left w:w="120" w:type="dxa"/>
              <w:right w:w="120" w:type="dxa"/>
            </w:tcMar>
          </w:tcPr>
          <w:p>
            <w:pPr>
              <w:jc w:val="left"/>
            </w:pPr>
            <w:r>
              <w:rPr>
                <w:rFonts w:ascii="Calibri" w:hAnsi="Calibri"/>
                <w:color w:val="1E293B"/>
                <w:sz w:val="18"/>
              </w:rPr>
              <w:t>Executed list_open_tickets_tool; rendered active tickets with IDs and priorities.</w:t>
            </w:r>
          </w:p>
        </w:tc>
        <w:tc>
          <w:tcPr>
            <w:tcW w:type="dxa" w:w="864"/>
            <w:shd w:fill="F8FAFC"/>
            <w:tcMar>
              <w:top w:w="90" w:type="dxa"/>
              <w:bottom w:w="90" w:type="dxa"/>
              <w:left w:w="120" w:type="dxa"/>
              <w:right w:w="120" w:type="dxa"/>
            </w:tcMar>
          </w:tcPr>
          <w:p>
            <w:pPr>
              <w:jc w:val="left"/>
            </w:pPr>
            <w:r>
              <w:rPr>
                <w:rFonts w:ascii="Calibri" w:hAnsi="Calibri"/>
                <w:b/>
                <w:color w:val="10B981"/>
                <w:sz w:val="18"/>
              </w:rPr>
              <w:t>PASS</w:t>
            </w:r>
          </w:p>
        </w:tc>
      </w:tr>
      <w:tr>
        <w:tc>
          <w:tcPr>
            <w:tcW w:type="dxa" w:w="2160"/>
            <w:shd w:fill="FFFFFF"/>
            <w:tcMar>
              <w:top w:w="90" w:type="dxa"/>
              <w:bottom w:w="90" w:type="dxa"/>
              <w:left w:w="120" w:type="dxa"/>
              <w:right w:w="120" w:type="dxa"/>
            </w:tcMar>
          </w:tcPr>
          <w:p>
            <w:pPr>
              <w:jc w:val="left"/>
            </w:pPr>
            <w:r>
              <w:rPr>
                <w:rFonts w:ascii="Calibri" w:hAnsi="Calibri"/>
                <w:b/>
                <w:color w:val="1E293B"/>
                <w:sz w:val="18"/>
              </w:rPr>
              <w:t>Ticket Status Inquiry</w:t>
            </w:r>
          </w:p>
        </w:tc>
        <w:tc>
          <w:tcPr>
            <w:tcW w:type="dxa" w:w="3168"/>
            <w:shd w:fill="FFFFFF"/>
            <w:tcMar>
              <w:top w:w="90" w:type="dxa"/>
              <w:bottom w:w="90" w:type="dxa"/>
              <w:left w:w="120" w:type="dxa"/>
              <w:right w:w="120" w:type="dxa"/>
            </w:tcMar>
          </w:tcPr>
          <w:p>
            <w:pPr>
              <w:jc w:val="left"/>
            </w:pPr>
            <w:r>
              <w:rPr>
                <w:rFonts w:ascii="Calibri" w:hAnsi="Calibri"/>
                <w:color w:val="1E293B"/>
                <w:sz w:val="18"/>
              </w:rPr>
              <w:t>Given valid ID (TKT-2026-39512), query SQLite and output status, priority, and timestamp.</w:t>
            </w:r>
          </w:p>
        </w:tc>
        <w:tc>
          <w:tcPr>
            <w:tcW w:type="dxa" w:w="3168"/>
            <w:shd w:fill="FFFFFF"/>
            <w:tcMar>
              <w:top w:w="90" w:type="dxa"/>
              <w:bottom w:w="90" w:type="dxa"/>
              <w:left w:w="120" w:type="dxa"/>
              <w:right w:w="120" w:type="dxa"/>
            </w:tcMar>
          </w:tcPr>
          <w:p>
            <w:pPr>
              <w:jc w:val="left"/>
            </w:pPr>
            <w:r>
              <w:rPr>
                <w:rFonts w:ascii="Calibri" w:hAnsi="Calibri"/>
                <w:color w:val="1E293B"/>
                <w:sz w:val="18"/>
              </w:rPr>
              <w:t>Extracted ticket ID regex; returned ticket details with status OPEN and creation timestamp.</w:t>
            </w:r>
          </w:p>
        </w:tc>
        <w:tc>
          <w:tcPr>
            <w:tcW w:type="dxa" w:w="864"/>
            <w:shd w:fill="FFFFFF"/>
            <w:tcMar>
              <w:top w:w="90" w:type="dxa"/>
              <w:bottom w:w="90" w:type="dxa"/>
              <w:left w:w="120" w:type="dxa"/>
              <w:right w:w="120" w:type="dxa"/>
            </w:tcMar>
          </w:tcPr>
          <w:p>
            <w:pPr>
              <w:jc w:val="left"/>
            </w:pPr>
            <w:r>
              <w:rPr>
                <w:rFonts w:ascii="Calibri" w:hAnsi="Calibri"/>
                <w:b/>
                <w:color w:val="10B981"/>
                <w:sz w:val="18"/>
              </w:rPr>
              <w:t>PASS</w:t>
            </w:r>
          </w:p>
        </w:tc>
      </w:tr>
      <w:tr>
        <w:tc>
          <w:tcPr>
            <w:tcW w:type="dxa" w:w="2160"/>
            <w:shd w:fill="F8FAFC"/>
            <w:tcMar>
              <w:top w:w="90" w:type="dxa"/>
              <w:bottom w:w="90" w:type="dxa"/>
              <w:left w:w="120" w:type="dxa"/>
              <w:right w:w="120" w:type="dxa"/>
            </w:tcMar>
          </w:tcPr>
          <w:p>
            <w:pPr>
              <w:jc w:val="left"/>
            </w:pPr>
            <w:r>
              <w:rPr>
                <w:rFonts w:ascii="Calibri" w:hAnsi="Calibri"/>
                <w:b/>
                <w:color w:val="1E293B"/>
                <w:sz w:val="18"/>
              </w:rPr>
              <w:t>Administrative Ticket Closure</w:t>
            </w:r>
          </w:p>
        </w:tc>
        <w:tc>
          <w:tcPr>
            <w:tcW w:type="dxa" w:w="3168"/>
            <w:shd w:fill="F8FAFC"/>
            <w:tcMar>
              <w:top w:w="90" w:type="dxa"/>
              <w:bottom w:w="90" w:type="dxa"/>
              <w:left w:w="120" w:type="dxa"/>
              <w:right w:w="120" w:type="dxa"/>
            </w:tcMar>
          </w:tcPr>
          <w:p>
            <w:pPr>
              <w:jc w:val="left"/>
            </w:pPr>
            <w:r>
              <w:rPr>
                <w:rFonts w:ascii="Calibri" w:hAnsi="Calibri"/>
                <w:color w:val="1E293B"/>
                <w:sz w:val="18"/>
              </w:rPr>
              <w:t>Clicking 'Close Ticket' in sidebar admin updates status to CLOSED in SQLite.</w:t>
            </w:r>
          </w:p>
        </w:tc>
        <w:tc>
          <w:tcPr>
            <w:tcW w:type="dxa" w:w="3168"/>
            <w:shd w:fill="F8FAFC"/>
            <w:tcMar>
              <w:top w:w="90" w:type="dxa"/>
              <w:bottom w:w="90" w:type="dxa"/>
              <w:left w:w="120" w:type="dxa"/>
              <w:right w:w="120" w:type="dxa"/>
            </w:tcMar>
          </w:tcPr>
          <w:p>
            <w:pPr>
              <w:jc w:val="left"/>
            </w:pPr>
            <w:r>
              <w:rPr>
                <w:rFonts w:ascii="Calibri" w:hAnsi="Calibri"/>
                <w:color w:val="1E293B"/>
                <w:sz w:val="18"/>
              </w:rPr>
              <w:t>Status updated to CLOSED; toast notification displayed; open ticket count decremented.</w:t>
            </w:r>
          </w:p>
        </w:tc>
        <w:tc>
          <w:tcPr>
            <w:tcW w:type="dxa" w:w="864"/>
            <w:shd w:fill="F8FAFC"/>
            <w:tcMar>
              <w:top w:w="90" w:type="dxa"/>
              <w:bottom w:w="90" w:type="dxa"/>
              <w:left w:w="120" w:type="dxa"/>
              <w:right w:w="120" w:type="dxa"/>
            </w:tcMar>
          </w:tcPr>
          <w:p>
            <w:pPr>
              <w:jc w:val="left"/>
            </w:pPr>
            <w:r>
              <w:rPr>
                <w:rFonts w:ascii="Calibri" w:hAnsi="Calibri"/>
                <w:b/>
                <w:color w:val="10B981"/>
                <w:sz w:val="18"/>
              </w:rPr>
              <w:t>PASS</w:t>
            </w:r>
          </w:p>
        </w:tc>
      </w:tr>
      <w:tr>
        <w:tc>
          <w:tcPr>
            <w:tcW w:type="dxa" w:w="2160"/>
            <w:shd w:fill="FFFFFF"/>
            <w:tcMar>
              <w:top w:w="90" w:type="dxa"/>
              <w:bottom w:w="90" w:type="dxa"/>
              <w:left w:w="120" w:type="dxa"/>
              <w:right w:w="120" w:type="dxa"/>
            </w:tcMar>
          </w:tcPr>
          <w:p>
            <w:pPr>
              <w:jc w:val="left"/>
            </w:pPr>
            <w:r>
              <w:rPr>
                <w:rFonts w:ascii="Calibri" w:hAnsi="Calibri"/>
                <w:b/>
                <w:color w:val="1E293B"/>
                <w:sz w:val="18"/>
              </w:rPr>
              <w:t>User Memory Extraction</w:t>
            </w:r>
          </w:p>
        </w:tc>
        <w:tc>
          <w:tcPr>
            <w:tcW w:type="dxa" w:w="3168"/>
            <w:shd w:fill="FFFFFF"/>
            <w:tcMar>
              <w:top w:w="90" w:type="dxa"/>
              <w:bottom w:w="90" w:type="dxa"/>
              <w:left w:w="120" w:type="dxa"/>
              <w:right w:w="120" w:type="dxa"/>
            </w:tcMar>
          </w:tcPr>
          <w:p>
            <w:pPr>
              <w:jc w:val="left"/>
            </w:pPr>
            <w:r>
              <w:rPr>
                <w:rFonts w:ascii="Calibri" w:hAnsi="Calibri"/>
                <w:color w:val="1E293B"/>
                <w:sz w:val="18"/>
              </w:rPr>
              <w:t>Extract 'Saran Raj' from 'My name is Saran Raj'; store in user_memory table.</w:t>
            </w:r>
          </w:p>
        </w:tc>
        <w:tc>
          <w:tcPr>
            <w:tcW w:type="dxa" w:w="3168"/>
            <w:shd w:fill="FFFFFF"/>
            <w:tcMar>
              <w:top w:w="90" w:type="dxa"/>
              <w:bottom w:w="90" w:type="dxa"/>
              <w:left w:w="120" w:type="dxa"/>
              <w:right w:w="120" w:type="dxa"/>
            </w:tcMar>
          </w:tcPr>
          <w:p>
            <w:pPr>
              <w:jc w:val="left"/>
            </w:pPr>
            <w:r>
              <w:rPr>
                <w:rFonts w:ascii="Calibri" w:hAnsi="Calibri"/>
                <w:color w:val="1E293B"/>
                <w:sz w:val="18"/>
              </w:rPr>
              <w:t>Extracted name; stored with key 'user_name'; confirmed persistence with personalized reply.</w:t>
            </w:r>
          </w:p>
        </w:tc>
        <w:tc>
          <w:tcPr>
            <w:tcW w:type="dxa" w:w="864"/>
            <w:shd w:fill="FFFFFF"/>
            <w:tcMar>
              <w:top w:w="90" w:type="dxa"/>
              <w:bottom w:w="90" w:type="dxa"/>
              <w:left w:w="120" w:type="dxa"/>
              <w:right w:w="120" w:type="dxa"/>
            </w:tcMar>
          </w:tcPr>
          <w:p>
            <w:pPr>
              <w:jc w:val="left"/>
            </w:pPr>
            <w:r>
              <w:rPr>
                <w:rFonts w:ascii="Calibri" w:hAnsi="Calibri"/>
                <w:b/>
                <w:color w:val="10B981"/>
                <w:sz w:val="18"/>
              </w:rPr>
              <w:t>PASS</w:t>
            </w:r>
          </w:p>
        </w:tc>
      </w:tr>
      <w:tr>
        <w:tc>
          <w:tcPr>
            <w:tcW w:type="dxa" w:w="2160"/>
            <w:shd w:fill="F8FAFC"/>
            <w:tcMar>
              <w:top w:w="90" w:type="dxa"/>
              <w:bottom w:w="90" w:type="dxa"/>
              <w:left w:w="120" w:type="dxa"/>
              <w:right w:w="120" w:type="dxa"/>
            </w:tcMar>
          </w:tcPr>
          <w:p>
            <w:pPr>
              <w:jc w:val="left"/>
            </w:pPr>
            <w:r>
              <w:rPr>
                <w:rFonts w:ascii="Calibri" w:hAnsi="Calibri"/>
                <w:b/>
                <w:color w:val="1E293B"/>
                <w:sz w:val="18"/>
              </w:rPr>
              <w:t>Knowledge Base Re-Indexing</w:t>
            </w:r>
          </w:p>
        </w:tc>
        <w:tc>
          <w:tcPr>
            <w:tcW w:type="dxa" w:w="3168"/>
            <w:shd w:fill="F8FAFC"/>
            <w:tcMar>
              <w:top w:w="90" w:type="dxa"/>
              <w:bottom w:w="90" w:type="dxa"/>
              <w:left w:w="120" w:type="dxa"/>
              <w:right w:w="120" w:type="dxa"/>
            </w:tcMar>
          </w:tcPr>
          <w:p>
            <w:pPr>
              <w:jc w:val="left"/>
            </w:pPr>
            <w:r>
              <w:rPr>
                <w:rFonts w:ascii="Calibri" w:hAnsi="Calibri"/>
                <w:color w:val="1E293B"/>
                <w:sz w:val="18"/>
              </w:rPr>
              <w:t>Trigger force re-index via sidebar button; reload .txt and .md files into ChromaDB.</w:t>
            </w:r>
          </w:p>
        </w:tc>
        <w:tc>
          <w:tcPr>
            <w:tcW w:type="dxa" w:w="3168"/>
            <w:shd w:fill="F8FAFC"/>
            <w:tcMar>
              <w:top w:w="90" w:type="dxa"/>
              <w:bottom w:w="90" w:type="dxa"/>
              <w:left w:w="120" w:type="dxa"/>
              <w:right w:w="120" w:type="dxa"/>
            </w:tcMar>
          </w:tcPr>
          <w:p>
            <w:pPr>
              <w:jc w:val="left"/>
            </w:pPr>
            <w:r>
              <w:rPr>
                <w:rFonts w:ascii="Calibri" w:hAnsi="Calibri"/>
                <w:color w:val="1E293B"/>
                <w:sz w:val="18"/>
              </w:rPr>
              <w:t>Vector store rebuilt cleanly; toast reported 37 chunks indexed; zero downtime.</w:t>
            </w:r>
          </w:p>
        </w:tc>
        <w:tc>
          <w:tcPr>
            <w:tcW w:type="dxa" w:w="864"/>
            <w:shd w:fill="F8FAFC"/>
            <w:tcMar>
              <w:top w:w="90" w:type="dxa"/>
              <w:bottom w:w="90" w:type="dxa"/>
              <w:left w:w="120" w:type="dxa"/>
              <w:right w:w="120" w:type="dxa"/>
            </w:tcMar>
          </w:tcPr>
          <w:p>
            <w:pPr>
              <w:jc w:val="left"/>
            </w:pPr>
            <w:r>
              <w:rPr>
                <w:rFonts w:ascii="Calibri" w:hAnsi="Calibri"/>
                <w:b/>
                <w:color w:val="10B981"/>
                <w:sz w:val="18"/>
              </w:rPr>
              <w:t>PASS</w:t>
            </w:r>
          </w:p>
        </w:tc>
      </w:tr>
      <w:tr>
        <w:tc>
          <w:tcPr>
            <w:tcW w:type="dxa" w:w="2160"/>
            <w:shd w:fill="FFFFFF"/>
            <w:tcMar>
              <w:top w:w="90" w:type="dxa"/>
              <w:bottom w:w="90" w:type="dxa"/>
              <w:left w:w="120" w:type="dxa"/>
              <w:right w:w="120" w:type="dxa"/>
            </w:tcMar>
          </w:tcPr>
          <w:p>
            <w:pPr>
              <w:jc w:val="left"/>
            </w:pPr>
            <w:r>
              <w:rPr>
                <w:rFonts w:ascii="Calibri" w:hAnsi="Calibri"/>
                <w:b/>
                <w:color w:val="1E293B"/>
                <w:sz w:val="18"/>
              </w:rPr>
              <w:t>Stored XSS Input Attack</w:t>
            </w:r>
          </w:p>
        </w:tc>
        <w:tc>
          <w:tcPr>
            <w:tcW w:type="dxa" w:w="3168"/>
            <w:shd w:fill="FFFFFF"/>
            <w:tcMar>
              <w:top w:w="90" w:type="dxa"/>
              <w:bottom w:w="90" w:type="dxa"/>
              <w:left w:w="120" w:type="dxa"/>
              <w:right w:w="120" w:type="dxa"/>
            </w:tcMar>
          </w:tcPr>
          <w:p>
            <w:pPr>
              <w:jc w:val="left"/>
            </w:pPr>
            <w:r>
              <w:rPr>
                <w:rFonts w:ascii="Calibri" w:hAnsi="Calibri"/>
                <w:color w:val="1E293B"/>
                <w:sz w:val="18"/>
              </w:rPr>
              <w:t>Submit malicious HTML script tag (&lt;script&gt;alert('xss')&lt;/script&gt;) in ticket issue field.</w:t>
            </w:r>
          </w:p>
        </w:tc>
        <w:tc>
          <w:tcPr>
            <w:tcW w:type="dxa" w:w="3168"/>
            <w:shd w:fill="FFFFFF"/>
            <w:tcMar>
              <w:top w:w="90" w:type="dxa"/>
              <w:bottom w:w="90" w:type="dxa"/>
              <w:left w:w="120" w:type="dxa"/>
              <w:right w:w="120" w:type="dxa"/>
            </w:tcMar>
          </w:tcPr>
          <w:p>
            <w:pPr>
              <w:jc w:val="left"/>
            </w:pPr>
            <w:r>
              <w:rPr>
                <w:rFonts w:ascii="Calibri" w:hAnsi="Calibri"/>
                <w:color w:val="1E293B"/>
                <w:sz w:val="18"/>
              </w:rPr>
              <w:t>Neutralized via html.escape; rendered safely as plain string; zero code execution.</w:t>
            </w:r>
          </w:p>
        </w:tc>
        <w:tc>
          <w:tcPr>
            <w:tcW w:type="dxa" w:w="864"/>
            <w:shd w:fill="FFFFFF"/>
            <w:tcMar>
              <w:top w:w="90" w:type="dxa"/>
              <w:bottom w:w="90" w:type="dxa"/>
              <w:left w:w="120" w:type="dxa"/>
              <w:right w:w="120" w:type="dxa"/>
            </w:tcMar>
          </w:tcPr>
          <w:p>
            <w:pPr>
              <w:jc w:val="left"/>
            </w:pPr>
            <w:r>
              <w:rPr>
                <w:rFonts w:ascii="Calibri" w:hAnsi="Calibri"/>
                <w:b/>
                <w:color w:val="10B981"/>
                <w:sz w:val="18"/>
              </w:rPr>
              <w:t>PASS</w:t>
            </w:r>
          </w:p>
        </w:tc>
      </w:tr>
    </w:tbl>
    <w:p>
      <w:pPr>
        <w:spacing w:before="0" w:after="160" w:line="276" w:lineRule="auto"/>
      </w:pPr>
      <w:r>
        <w:rPr>
          <w:rFonts w:ascii="Calibri" w:hAnsi="Calibri"/>
          <w:color w:val="1E293B"/>
          <w:sz w:val="21"/>
        </w:rPr>
      </w:r>
    </w:p>
    <w:p>
      <w:pPr>
        <w:pStyle w:val="Heading1"/>
        <w:keepNext/>
        <w:spacing w:before="360" w:after="120"/>
      </w:pPr>
      <w:r>
        <w:rPr>
          <w:rFonts w:ascii="Calibri" w:hAnsi="Calibri"/>
          <w:b/>
          <w:color w:val="0F2E5C"/>
          <w:sz w:val="32"/>
        </w:rPr>
        <w:t>4. CONCLUSION &amp; FUTURE SCOPE</w:t>
      </w:r>
    </w:p>
    <w:p>
      <w:pPr>
        <w:pStyle w:val="Heading2"/>
        <w:keepNext/>
        <w:spacing w:before="280" w:after="80"/>
      </w:pPr>
      <w:r>
        <w:rPr>
          <w:rFonts w:ascii="Calibri" w:hAnsi="Calibri"/>
          <w:b/>
          <w:color w:val="0043CE"/>
          <w:sz w:val="26"/>
        </w:rPr>
        <w:t>4.1 Project Conclusion</w:t>
      </w:r>
    </w:p>
    <w:p>
      <w:pPr>
        <w:spacing w:before="0" w:after="120" w:line="276" w:lineRule="auto"/>
      </w:pPr>
      <w:r>
        <w:rPr>
          <w:rFonts w:ascii="Calibri" w:hAnsi="Calibri"/>
          <w:color w:val="1E293B"/>
          <w:sz w:val="21"/>
        </w:rPr>
        <w:t>The AI IT Helpdesk Agent demonstrates the transformative capability of combining Agentic AI with dense-vector RAG and high-concurrency database persistence to automate first-level corporate IT support. Rather than relying on simple heuristic scripts or passive language models, the project implements a state-machine architecture that autonomously classifies user intent, grounds troubleshooting in verified technical documentation, evaluates incident severity, and executes human-in-the-loop support escalations.</w:t>
      </w:r>
    </w:p>
    <w:p>
      <w:pPr>
        <w:spacing w:before="0" w:after="120" w:line="276" w:lineRule="auto"/>
      </w:pPr>
      <w:r>
        <w:rPr>
          <w:rFonts w:ascii="Calibri" w:hAnsi="Calibri"/>
          <w:color w:val="1E293B"/>
          <w:sz w:val="21"/>
        </w:rPr>
        <w:t>Through empirical testing, the system demonstrated 100% success across critical Tier-1 helpdesk scenarios, reducing first-response resolution latency from hours to seconds while preventing ticket spamming and eliminating LLM hallucinations. The resilient multi-tier LLM architecture ensures high availability, making the system viable for both cloud-connected and air-gapped enterprise environments. This project confirms that autonomous AI agents can substantially alleviate routine cognitive burdens on IT engineering teams while elevating organizational support responsiveness.</w:t>
      </w:r>
    </w:p>
    <w:p>
      <w:pPr>
        <w:pStyle w:val="Heading2"/>
        <w:keepNext/>
        <w:spacing w:before="280" w:after="80"/>
      </w:pPr>
      <w:r>
        <w:rPr>
          <w:rFonts w:ascii="Calibri" w:hAnsi="Calibri"/>
          <w:b/>
          <w:color w:val="0043CE"/>
          <w:sz w:val="26"/>
        </w:rPr>
        <w:t>4.2 Challenges Faced &amp; Engineering Solutions</w:t>
      </w:r>
    </w:p>
    <w:p>
      <w:pPr>
        <w:spacing w:before="0" w:after="120" w:line="276" w:lineRule="auto"/>
      </w:pPr>
      <w:r>
        <w:rPr>
          <w:rFonts w:ascii="Calibri" w:hAnsi="Calibri"/>
          <w:color w:val="1E293B"/>
          <w:sz w:val="21"/>
        </w:rPr>
        <w:t>During system design and implementation, several significant technical challenges were encountered and overcome:</w:t>
      </w:r>
    </w:p>
    <w:p>
      <w:pPr>
        <w:pStyle w:val="ListBullet"/>
        <w:spacing w:before="0" w:after="80" w:line="276" w:lineRule="auto"/>
      </w:pPr>
      <w:r>
        <w:rPr>
          <w:rFonts w:ascii="Calibri" w:hAnsi="Calibri"/>
          <w:b/>
          <w:color w:val="1E293B"/>
          <w:sz w:val="21"/>
        </w:rPr>
        <w:t xml:space="preserve">Multi-Tier LLM Failover &amp; Quota Management: </w:t>
      </w:r>
      <w:r>
        <w:rPr>
          <w:rFonts w:ascii="Calibri" w:hAnsi="Calibri"/>
          <w:color w:val="1E293B"/>
          <w:sz w:val="21"/>
        </w:rPr>
        <w:t>Challenge: Public cloud LLM APIs are subject to network dropouts and strict rate limits, while local SLMs have varying context window sizes.</w:t>
        <w:br/>
        <w:t>Solution: Engineered a universal CloudLLMWrapper with explicit timeout handling, paired with automatic fallback to local ChatOllama and deterministic pure-RAG output.</w:t>
      </w:r>
    </w:p>
    <w:p>
      <w:pPr>
        <w:pStyle w:val="ListBullet"/>
        <w:spacing w:before="0" w:after="80" w:line="276" w:lineRule="auto"/>
      </w:pPr>
      <w:r>
        <w:rPr>
          <w:rFonts w:ascii="Calibri" w:hAnsi="Calibri"/>
          <w:b/>
          <w:color w:val="1E293B"/>
          <w:sz w:val="21"/>
        </w:rPr>
        <w:t xml:space="preserve">ChromaDB Windows Lockups &amp; Environment Portability: </w:t>
      </w:r>
      <w:r>
        <w:rPr>
          <w:rFonts w:ascii="Calibri" w:hAnsi="Calibri"/>
          <w:color w:val="1E293B"/>
          <w:sz w:val="21"/>
        </w:rPr>
        <w:t>Challenge: Native C++ bindings for ChromaDB on Windows environments can fail under missing compiler dependencies or file locking issues.</w:t>
        <w:br/>
        <w:t>Solution: Implemented SimpleFallbackVectorStore, an in-memory NumPy-based cosine similarity index that automatically assumes indexing duties if ChromaDB initialization fails.</w:t>
      </w:r>
    </w:p>
    <w:p>
      <w:pPr>
        <w:pStyle w:val="ListBullet"/>
        <w:spacing w:before="0" w:after="80" w:line="276" w:lineRule="auto"/>
      </w:pPr>
      <w:r>
        <w:rPr>
          <w:rFonts w:ascii="Calibri" w:hAnsi="Calibri"/>
          <w:b/>
          <w:color w:val="1E293B"/>
          <w:sz w:val="21"/>
        </w:rPr>
        <w:t xml:space="preserve">Module Import Latency &amp; Streamlit Rerun Overhead: </w:t>
      </w:r>
      <w:r>
        <w:rPr>
          <w:rFonts w:ascii="Calibri" w:hAnsi="Calibri"/>
          <w:color w:val="1E293B"/>
          <w:sz w:val="21"/>
        </w:rPr>
        <w:t>Challenge: Streamlit re-executes scripts upon state changes. Eagerly importing PyTorch and HuggingFace models on every rerun caused multi-second UI lag.</w:t>
        <w:br/>
        <w:t>Solution: Implemented lazy-loading inside agent nodes and cached singleton getters for vector stores and LLM clients, reducing application startup latency to sub-second speeds.</w:t>
      </w:r>
    </w:p>
    <w:p>
      <w:pPr>
        <w:pStyle w:val="ListBullet"/>
        <w:spacing w:before="0" w:after="80" w:line="276" w:lineRule="auto"/>
      </w:pPr>
      <w:r>
        <w:rPr>
          <w:rFonts w:ascii="Calibri" w:hAnsi="Calibri"/>
          <w:b/>
          <w:color w:val="1E293B"/>
          <w:sz w:val="21"/>
        </w:rPr>
        <w:t xml:space="preserve">Stored XSS Injection Vulnerabilities: </w:t>
      </w:r>
      <w:r>
        <w:rPr>
          <w:rFonts w:ascii="Calibri" w:hAnsi="Calibri"/>
          <w:color w:val="1E293B"/>
          <w:sz w:val="21"/>
        </w:rPr>
        <w:t>Challenge: Rendering dynamic user issue descriptions and ticket IDs within raw HTML glassmorphic cards created potential Cross-Site Scripting (XSS) attack vectors.</w:t>
        <w:br/>
        <w:t>Solution: Systematically routed all dynamic database strings through html.escape() before interpolation into frontend templates.</w:t>
      </w:r>
    </w:p>
    <w:p>
      <w:pPr>
        <w:pStyle w:val="ListBullet"/>
        <w:spacing w:before="0" w:after="80" w:line="276" w:lineRule="auto"/>
      </w:pPr>
      <w:r>
        <w:rPr>
          <w:rFonts w:ascii="Calibri" w:hAnsi="Calibri"/>
          <w:b/>
          <w:color w:val="1E293B"/>
          <w:sz w:val="21"/>
        </w:rPr>
        <w:t xml:space="preserve">Balancing Automation with Dispatcher Control: </w:t>
      </w:r>
      <w:r>
        <w:rPr>
          <w:rFonts w:ascii="Calibri" w:hAnsi="Calibri"/>
          <w:color w:val="1E293B"/>
          <w:sz w:val="21"/>
        </w:rPr>
        <w:t>Challenge: Autonomous ticket creation without human oversight risks creating duplicate tickets for ambiguous user complaints.</w:t>
        <w:br/>
        <w:t>Solution: Designed an interactive Human-in-the-Loop (HITL) confirmation protocol that flags detected priority and requires explicit employee approval before database insertion.</w:t>
      </w:r>
    </w:p>
    <w:p>
      <w:pPr>
        <w:pStyle w:val="Heading2"/>
        <w:keepNext/>
        <w:spacing w:before="280" w:after="80"/>
      </w:pPr>
      <w:r>
        <w:rPr>
          <w:rFonts w:ascii="Calibri" w:hAnsi="Calibri"/>
          <w:b/>
          <w:color w:val="0043CE"/>
          <w:sz w:val="26"/>
        </w:rPr>
        <w:t>4.3 Future Enhancements</w:t>
      </w:r>
    </w:p>
    <w:p>
      <w:pPr>
        <w:spacing w:before="0" w:after="120" w:line="276" w:lineRule="auto"/>
      </w:pPr>
      <w:r>
        <w:rPr>
          <w:rFonts w:ascii="Calibri" w:hAnsi="Calibri"/>
          <w:color w:val="1E293B"/>
          <w:sz w:val="21"/>
        </w:rPr>
        <w:t>While the current implementation delivers a complete, production-ready Tier-1 support engine, several realistic avenues exist for future enterprise expansion:</w:t>
      </w:r>
    </w:p>
    <w:p>
      <w:pPr>
        <w:pStyle w:val="ListBullet"/>
        <w:spacing w:before="0" w:after="80" w:line="276" w:lineRule="auto"/>
      </w:pPr>
      <w:r>
        <w:rPr>
          <w:rFonts w:ascii="Calibri" w:hAnsi="Calibri"/>
          <w:b/>
          <w:color w:val="1E293B"/>
          <w:sz w:val="21"/>
        </w:rPr>
        <w:t xml:space="preserve">Enterprise ITSM Platform Connectors: </w:t>
      </w:r>
      <w:r>
        <w:rPr>
          <w:rFonts w:ascii="Calibri" w:hAnsi="Calibri"/>
          <w:color w:val="1E293B"/>
          <w:sz w:val="21"/>
        </w:rPr>
        <w:t>Integrate two-way REST synchronization with enterprise ticketing solutions including ServiceNow, Jira Service Management, and Zendesk.</w:t>
      </w:r>
    </w:p>
    <w:p>
      <w:pPr>
        <w:pStyle w:val="ListBullet"/>
        <w:spacing w:before="0" w:after="80" w:line="276" w:lineRule="auto"/>
      </w:pPr>
      <w:r>
        <w:rPr>
          <w:rFonts w:ascii="Calibri" w:hAnsi="Calibri"/>
          <w:b/>
          <w:color w:val="1E293B"/>
          <w:sz w:val="21"/>
        </w:rPr>
        <w:t xml:space="preserve">Omnichannel Chatbot Integration: </w:t>
      </w:r>
      <w:r>
        <w:rPr>
          <w:rFonts w:ascii="Calibri" w:hAnsi="Calibri"/>
          <w:color w:val="1E293B"/>
          <w:sz w:val="21"/>
        </w:rPr>
        <w:t>Extend the LangGraph engine to interface natively with enterprise messaging platforms such as Slack, Microsoft Teams, and Discord via webhook bots.</w:t>
      </w:r>
    </w:p>
    <w:p>
      <w:pPr>
        <w:pStyle w:val="ListBullet"/>
        <w:spacing w:before="0" w:after="80" w:line="276" w:lineRule="auto"/>
      </w:pPr>
      <w:r>
        <w:rPr>
          <w:rFonts w:ascii="Calibri" w:hAnsi="Calibri"/>
          <w:b/>
          <w:color w:val="1E293B"/>
          <w:sz w:val="21"/>
        </w:rPr>
        <w:t xml:space="preserve">Multimodal Computer Vision Diagnostics: </w:t>
      </w:r>
      <w:r>
        <w:rPr>
          <w:rFonts w:ascii="Calibri" w:hAnsi="Calibri"/>
          <w:color w:val="1E293B"/>
          <w:sz w:val="21"/>
        </w:rPr>
        <w:t>Enable end-users to upload screenshots of Blue Screen of Death (BSOD) stop codes or hardware error lights, utilizing vision LLMs for optical fault diagnosis.</w:t>
      </w:r>
    </w:p>
    <w:p>
      <w:pPr>
        <w:pStyle w:val="ListBullet"/>
        <w:spacing w:before="0" w:after="80" w:line="276" w:lineRule="auto"/>
      </w:pPr>
      <w:r>
        <w:rPr>
          <w:rFonts w:ascii="Calibri" w:hAnsi="Calibri"/>
          <w:b/>
          <w:color w:val="1E293B"/>
          <w:sz w:val="21"/>
        </w:rPr>
        <w:t xml:space="preserve">Role-Based Access Control (RBAC) &amp; Single Sign-On (SSO): </w:t>
      </w:r>
      <w:r>
        <w:rPr>
          <w:rFonts w:ascii="Calibri" w:hAnsi="Calibri"/>
          <w:color w:val="1E293B"/>
          <w:sz w:val="21"/>
        </w:rPr>
        <w:t>Incorporate SAML 2.0 / OAuth2 authentication (e.g., Okta, Azure Active Directory) to partition ticket visibility between regular employees and IT administrators.</w:t>
      </w:r>
    </w:p>
    <w:p>
      <w:pPr>
        <w:pStyle w:val="ListBullet"/>
        <w:spacing w:before="0" w:after="80" w:line="276" w:lineRule="auto"/>
      </w:pPr>
      <w:r>
        <w:rPr>
          <w:rFonts w:ascii="Calibri" w:hAnsi="Calibri"/>
          <w:b/>
          <w:color w:val="1E293B"/>
          <w:sz w:val="21"/>
        </w:rPr>
        <w:t xml:space="preserve">Automated Device Telemetry &amp; Remediation: </w:t>
      </w:r>
      <w:r>
        <w:rPr>
          <w:rFonts w:ascii="Calibri" w:hAnsi="Calibri"/>
          <w:color w:val="1E293B"/>
          <w:sz w:val="21"/>
        </w:rPr>
        <w:t>Integrate lightweight client-side diagnostic agents capable of executing non-destructive remediation scripts (e.g., ipconfig /flushdns, restarting spooler services) upon user consent.</w:t>
      </w:r>
    </w:p>
    <w:p>
      <w:pPr>
        <w:pStyle w:val="Heading2"/>
        <w:keepNext/>
        <w:spacing w:before="280" w:after="80"/>
      </w:pPr>
      <w:r>
        <w:rPr>
          <w:rFonts w:ascii="Calibri" w:hAnsi="Calibri"/>
          <w:b/>
          <w:color w:val="0043CE"/>
          <w:sz w:val="26"/>
        </w:rPr>
        <w:t>4.4 References</w:t>
      </w:r>
    </w:p>
    <w:p>
      <w:pPr>
        <w:spacing w:before="0" w:after="120" w:line="276" w:lineRule="auto"/>
      </w:pPr>
      <w:r>
        <w:rPr>
          <w:rFonts w:ascii="Calibri" w:hAnsi="Calibri"/>
          <w:color w:val="1E293B"/>
          <w:sz w:val="21"/>
        </w:rPr>
        <w:t>The project's architectural principles, RAG methodologies, and software patterns are grounded in the following technical literature and documentation:</w:t>
      </w:r>
    </w:p>
    <w:p>
      <w:pPr>
        <w:pStyle w:val="ListBullet"/>
        <w:spacing w:before="0" w:after="80" w:line="276" w:lineRule="auto"/>
      </w:pPr>
      <w:r>
        <w:rPr>
          <w:rFonts w:ascii="Calibri" w:hAnsi="Calibri"/>
          <w:b/>
          <w:color w:val="1E293B"/>
          <w:sz w:val="21"/>
        </w:rPr>
        <w:t xml:space="preserve">1. LangGraph Framework Documentation: </w:t>
      </w:r>
      <w:r>
        <w:rPr>
          <w:rFonts w:ascii="Calibri" w:hAnsi="Calibri"/>
          <w:color w:val="1E293B"/>
          <w:sz w:val="21"/>
        </w:rPr>
        <w:t>Harrison Chase et al., 'LangGraph: Building Multi-Actor Applications with LLMs', LangChain Inc., 2024. Available: https://langchain-ai.github.io/langgraph/</w:t>
      </w:r>
    </w:p>
    <w:p>
      <w:pPr>
        <w:pStyle w:val="ListBullet"/>
        <w:spacing w:before="0" w:after="80" w:line="276" w:lineRule="auto"/>
      </w:pPr>
      <w:r>
        <w:rPr>
          <w:rFonts w:ascii="Calibri" w:hAnsi="Calibri"/>
          <w:b/>
          <w:color w:val="1E293B"/>
          <w:sz w:val="21"/>
        </w:rPr>
        <w:t xml:space="preserve">2. Retrieval-Augmented Generation (RAG) Foundations: </w:t>
      </w:r>
      <w:r>
        <w:rPr>
          <w:rFonts w:ascii="Calibri" w:hAnsi="Calibri"/>
          <w:color w:val="1E293B"/>
          <w:sz w:val="21"/>
        </w:rPr>
        <w:t>Patrick Lewis, Ethan Perez, et al., 'Retrieval-Augmented Generation for Knowledge-Intensive NLP Tasks', Advances in Neural Information Processing Systems (NeurIPS), Vol. 33, pp. 9459-9474, 2020.</w:t>
      </w:r>
    </w:p>
    <w:p>
      <w:pPr>
        <w:pStyle w:val="ListBullet"/>
        <w:spacing w:before="0" w:after="80" w:line="276" w:lineRule="auto"/>
      </w:pPr>
      <w:r>
        <w:rPr>
          <w:rFonts w:ascii="Calibri" w:hAnsi="Calibri"/>
          <w:b/>
          <w:color w:val="1E293B"/>
          <w:sz w:val="21"/>
        </w:rPr>
        <w:t xml:space="preserve">3. Dense Sentence Embeddings: </w:t>
      </w:r>
      <w:r>
        <w:rPr>
          <w:rFonts w:ascii="Calibri" w:hAnsi="Calibri"/>
          <w:color w:val="1E293B"/>
          <w:sz w:val="21"/>
        </w:rPr>
        <w:t>Nils Reimers and Iryna Gurevych, 'Sentence-BERT: Sentence Embeddings using Siamese BERT-Networks', Proceedings of the 2019 Conference on Empirical Methods in Natural Language Processing (EMNLP), pp. 3982-3992, 2019.</w:t>
      </w:r>
    </w:p>
    <w:p>
      <w:pPr>
        <w:pStyle w:val="ListBullet"/>
        <w:spacing w:before="0" w:after="80" w:line="276" w:lineRule="auto"/>
      </w:pPr>
      <w:r>
        <w:rPr>
          <w:rFonts w:ascii="Calibri" w:hAnsi="Calibri"/>
          <w:b/>
          <w:color w:val="1E293B"/>
          <w:sz w:val="21"/>
        </w:rPr>
        <w:t xml:space="preserve">4. ChromaDB Architecture: </w:t>
      </w:r>
      <w:r>
        <w:rPr>
          <w:rFonts w:ascii="Calibri" w:hAnsi="Calibri"/>
          <w:color w:val="1E293B"/>
          <w:sz w:val="21"/>
        </w:rPr>
        <w:t>Jeff Huber and Anton Troynikov, 'Chroma: The AI-native Open-Source Embedding Database', Chroma Inc., 2023. Available: https://docs.trychroma.com/</w:t>
      </w:r>
    </w:p>
    <w:p>
      <w:pPr>
        <w:pStyle w:val="ListBullet"/>
        <w:spacing w:before="0" w:after="80" w:line="276" w:lineRule="auto"/>
      </w:pPr>
      <w:r>
        <w:rPr>
          <w:rFonts w:ascii="Calibri" w:hAnsi="Calibri"/>
          <w:b/>
          <w:color w:val="1E293B"/>
          <w:sz w:val="21"/>
        </w:rPr>
        <w:t xml:space="preserve">5. SQLite Write-Ahead Logging (WAL) Concurrency: </w:t>
      </w:r>
      <w:r>
        <w:rPr>
          <w:rFonts w:ascii="Calibri" w:hAnsi="Calibri"/>
          <w:color w:val="1E293B"/>
          <w:sz w:val="21"/>
        </w:rPr>
        <w:t>D. Richard Hipp et al., 'Write-Ahead Logging in SQLite 3', SQLite Development Consortium, 2023. Available: https://www.sqlite.org/wal.html</w:t>
      </w:r>
    </w:p>
    <w:p>
      <w:pPr>
        <w:pStyle w:val="ListBullet"/>
        <w:spacing w:before="0" w:after="80" w:line="276" w:lineRule="auto"/>
      </w:pPr>
      <w:r>
        <w:rPr>
          <w:rFonts w:ascii="Calibri" w:hAnsi="Calibri"/>
          <w:b/>
          <w:color w:val="1E293B"/>
          <w:sz w:val="21"/>
        </w:rPr>
        <w:t xml:space="preserve">6. Streamlit Reactive Web Applications: </w:t>
      </w:r>
      <w:r>
        <w:rPr>
          <w:rFonts w:ascii="Calibri" w:hAnsi="Calibri"/>
          <w:color w:val="1E293B"/>
          <w:sz w:val="21"/>
        </w:rPr>
        <w:t>Adrien Treuille et al., 'Streamlit: The Fastest Way to Build Data Apps', Snowflake Inc., 2024. Available: https://docs.streamlit.io/</w:t>
      </w:r>
    </w:p>
    <w:p>
      <w:pPr>
        <w:pStyle w:val="ListBullet"/>
        <w:spacing w:before="0" w:after="80" w:line="276" w:lineRule="auto"/>
      </w:pPr>
      <w:r>
        <w:rPr>
          <w:rFonts w:ascii="Calibri" w:hAnsi="Calibri"/>
          <w:b/>
          <w:color w:val="1E293B"/>
          <w:sz w:val="21"/>
        </w:rPr>
        <w:t xml:space="preserve">7. End-to-End Browser Automation: </w:t>
      </w:r>
      <w:r>
        <w:rPr>
          <w:rFonts w:ascii="Calibri" w:hAnsi="Calibri"/>
          <w:color w:val="1E293B"/>
          <w:sz w:val="21"/>
        </w:rPr>
        <w:t>Microsoft Corporation, 'Playwright: Fast and reliable end-to-end testing for modern web apps', 2024. Available: https://playwright.dev/</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64748B"/>
        <w:sz w:val="17"/>
      </w:rPr>
      <w:t>Student: Saran Raj U  |  Chettinad College of Engineering and Technology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IBM Internship Project Report  |  AI IT Helpdesk Agent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