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jc w:val="center"/>
      </w:pPr>
      <w:r>
        <w:rPr>
          <w:rFonts w:ascii="Times New Roman" w:cs="Times New Roman" w:eastAsia="Times New Roman" w:hAnsi="Times New Roman"/>
          <w:b/>
          <w:bCs/>
          <w:color w:val="666666"/>
          <w:sz w:val="22"/>
          <w:szCs w:val="22"/>
        </w:rPr>
        <w:t xml:space="preserve">BCA302 — CLOUD COMPUTING</w:t>
      </w:r>
    </w:p>
    <w:p>
      <w:pPr>
        <w:spacing w:after="200" w:before="200"/>
        <w:jc w:val="center"/>
      </w:pPr>
      <w:r>
        <w:rPr>
          <w:rFonts w:ascii="Times New Roman" w:cs="Times New Roman" w:eastAsia="Times New Roman" w:hAnsi="Times New Roman"/>
          <w:b/>
          <w:bCs/>
          <w:color w:val="666666"/>
          <w:sz w:val="22"/>
          <w:szCs w:val="22"/>
        </w:rPr>
        <w:t xml:space="preserve">Technical Report</w:t>
      </w:r>
    </w:p>
    <w:p>
      <w:pPr>
        <w:spacing w:after="200" w:before="600"/>
        <w:jc w:val="center"/>
      </w:pPr>
      <w:r>
        <w:rPr>
          <w:rFonts w:ascii="Times New Roman" w:cs="Times New Roman" w:eastAsia="Times New Roman" w:hAnsi="Times New Roman"/>
          <w:b/>
          <w:bCs/>
          <w:color w:val="1F4E79"/>
          <w:sz w:val="48"/>
          <w:szCs w:val="48"/>
        </w:rPr>
        <w:t xml:space="preserve">Project LIFELINK</w:t>
      </w:r>
    </w:p>
    <w:p>
      <w:pPr>
        <w:spacing w:after="1200"/>
        <w:jc w:val="center"/>
      </w:pPr>
      <w:r>
        <w:rPr>
          <w:rFonts w:ascii="Times New Roman" w:cs="Times New Roman" w:eastAsia="Times New Roman" w:hAnsi="Times New Roman"/>
          <w:i/>
          <w:iCs/>
          <w:color w:val="444444"/>
          <w:sz w:val="26"/>
          <w:szCs w:val="26"/>
        </w:rPr>
        <w:t xml:space="preserve">AI-Powered Predictive &amp; Connected Healthcare Intelligence Platform</w:t>
      </w:r>
    </w:p>
    <w:p>
      <w:pPr>
        <w:spacing w:after="60" w:before="3000"/>
        <w:jc w:val="center"/>
      </w:pPr>
      <w:r>
        <w:rPr>
          <w:rFonts w:ascii="Times New Roman" w:cs="Times New Roman" w:eastAsia="Times New Roman" w:hAnsi="Times New Roman"/>
          <w:b/>
          <w:bCs/>
          <w:sz w:val="24"/>
          <w:szCs w:val="24"/>
        </w:rPr>
        <w:t xml:space="preserve">Saransh Singh</w:t>
      </w:r>
    </w:p>
    <w:p>
      <w:pPr>
        <w:spacing w:after="40"/>
        <w:jc w:val="center"/>
      </w:pPr>
      <w:r>
        <w:rPr>
          <w:rFonts w:ascii="Times New Roman" w:cs="Times New Roman" w:eastAsia="Times New Roman" w:hAnsi="Times New Roman"/>
          <w:sz w:val="21"/>
          <w:szCs w:val="21"/>
        </w:rPr>
        <w:t>Team No: ____</w:t>
      </w:r>
    </w:p>
    <w:p>
      <w:pPr>
        <w:spacing w:after="40"/>
        <w:jc w:val="center"/>
      </w:pPr>
      <w:r>
        <w:rPr>
          <w:rFonts w:ascii="Times New Roman" w:cs="Times New Roman" w:eastAsia="Times New Roman" w:hAnsi="Times New Roman"/>
          <w:sz w:val="21"/>
          <w:szCs w:val="21"/>
        </w:rPr>
        <w:t xml:space="preserve">Register Number: 24215038</w:t>
      </w:r>
    </w:p>
    <w:p>
      <w:pPr>
        <w:spacing w:after="40"/>
        <w:jc w:val="center"/>
      </w:pPr>
      <w:r>
        <w:rPr>
          <w:rFonts w:ascii="Times New Roman" w:cs="Times New Roman" w:eastAsia="Times New Roman" w:hAnsi="Times New Roman"/>
          <w:sz w:val="21"/>
          <w:szCs w:val="21"/>
        </w:rPr>
        <w:t xml:space="preserve">Class: 6 BCA A</w:t>
      </w:r>
    </w:p>
    <w:p>
      <w:pPr>
        <w:spacing w:after="40"/>
        <w:jc w:val="center"/>
      </w:pPr>
      <w:r>
        <w:rPr>
          <w:rFonts w:ascii="Times New Roman" w:cs="Times New Roman" w:eastAsia="Times New Roman" w:hAnsi="Times New Roman"/>
          <w:sz w:val="21"/>
          <w:szCs w:val="21"/>
        </w:rPr>
        <w:t xml:space="preserve">Course Code: BCA302-5 (Cloud Computing)</w:t>
      </w:r>
    </w:p>
    <w:p>
      <w:pPr>
        <w:spacing w:after="40"/>
        <w:jc w:val="center"/>
      </w:pPr>
      <w:r>
        <w:rPr>
          <w:rFonts w:ascii="Times New Roman" w:cs="Times New Roman" w:eastAsia="Times New Roman" w:hAnsi="Times New Roman"/>
          <w:sz w:val="21"/>
          <w:szCs w:val="21"/>
        </w:rPr>
        <w:t>Submission Date: October 2026</w:t>
      </w:r>
    </w:p>
    <w:p>
      <w:pPr>
        <w:sectPr>
          <w:pgSz w:w="12240" w:h="15840" w:orient="portrait"/>
          <w:pgMar w:top="1440" w:right="1440" w:bottom="1440" w:left="1440" w:header="708" w:footer="708" w:gutter="0"/>
          <w:pgNumType/>
          <w:docGrid w:linePitch="360"/>
        </w:sectPr>
      </w:pPr>
    </w:p>
    <w:p>
      <w:pPr>
        <w:pStyle w:val="Heading1"/>
        <w:spacing w:after="200"/>
      </w:pPr>
      <w:r>
        <w:rPr>
          <w:rFonts w:ascii="Times New Roman" w:cs="Times New Roman" w:eastAsia="Times New Roman" w:hAnsi="Times New Roman"/>
          <w:b/>
          <w:bCs/>
          <w:color w:val="1F4E79"/>
          <w:sz w:val="30"/>
          <w:szCs w:val="30"/>
        </w:rPr>
        <w:t xml:space="preserve">Table of Contents</w:t>
      </w:r>
    </w:p>
    <w:p>
      <w:pPr>
        <w:spacing w:after="100" w:line="360"/>
      </w:pPr>
      <w:r>
        <w:rPr>
          <w:rFonts w:ascii="Times New Roman" w:cs="Times New Roman" w:eastAsia="Times New Roman" w:hAnsi="Times New Roman"/>
          <w:sz w:val="24"/>
          <w:szCs w:val="24"/>
        </w:rPr>
        <w:t xml:space="preserve">1.  Project Overview</w:t>
      </w:r>
    </w:p>
    <w:p>
      <w:pPr>
        <w:spacing w:after="100" w:line="360"/>
      </w:pPr>
      <w:r>
        <w:rPr>
          <w:rFonts w:ascii="Times New Roman" w:cs="Times New Roman" w:eastAsia="Times New Roman" w:hAnsi="Times New Roman"/>
          <w:sz w:val="24"/>
          <w:szCs w:val="24"/>
        </w:rPr>
        <w:t xml:space="preserve">2.  Functional Requirement Analysis</w:t>
      </w:r>
    </w:p>
    <w:p>
      <w:pPr>
        <w:spacing w:after="100" w:line="360"/>
      </w:pPr>
      <w:r>
        <w:rPr>
          <w:rFonts w:ascii="Times New Roman" w:cs="Times New Roman" w:eastAsia="Times New Roman" w:hAnsi="Times New Roman"/>
          <w:sz w:val="24"/>
          <w:szCs w:val="24"/>
        </w:rPr>
        <w:t>3.  Identification of Suitable Cloud Services</w:t>
      </w:r>
    </w:p>
    <w:p>
      <w:pPr>
        <w:spacing w:after="100" w:line="360"/>
      </w:pPr>
      <w:r>
        <w:rPr>
          <w:rFonts w:ascii="Times New Roman" w:cs="Times New Roman" w:eastAsia="Times New Roman" w:hAnsi="Times New Roman"/>
          <w:sz w:val="24"/>
          <w:szCs w:val="24"/>
        </w:rPr>
        <w:t>4.  Selection and Justification of Cloud Service Provider</w:t>
      </w:r>
    </w:p>
    <w:p>
      <w:pPr>
        <w:spacing w:after="100" w:line="360"/>
      </w:pPr>
      <w:r>
        <w:rPr>
          <w:rFonts w:ascii="Times New Roman" w:cs="Times New Roman" w:eastAsia="Times New Roman" w:hAnsi="Times New Roman"/>
          <w:sz w:val="24"/>
          <w:szCs w:val="24"/>
        </w:rPr>
        <w:t>5.  Description of Selected Cloud Services and Features</w:t>
      </w:r>
    </w:p>
    <w:p>
      <w:pPr>
        <w:spacing w:after="100" w:line="360"/>
      </w:pPr>
      <w:r>
        <w:rPr>
          <w:rFonts w:ascii="Times New Roman" w:cs="Times New Roman" w:eastAsia="Times New Roman" w:hAnsi="Times New Roman"/>
          <w:sz w:val="24"/>
          <w:szCs w:val="24"/>
        </w:rPr>
        <w:t>6.  Proposed Cloud Architecture</w:t>
      </w:r>
    </w:p>
    <w:p>
      <w:pPr>
        <w:spacing w:after="100" w:line="360"/>
      </w:pPr>
      <w:r>
        <w:rPr>
          <w:rFonts w:ascii="Times New Roman" w:cs="Times New Roman" w:eastAsia="Times New Roman" w:hAnsi="Times New Roman"/>
          <w:sz w:val="24"/>
          <w:szCs w:val="24"/>
        </w:rPr>
        <w:t>7.  Security Considerations</w:t>
      </w:r>
    </w:p>
    <w:p>
      <w:pPr>
        <w:spacing w:after="100" w:line="360"/>
      </w:pPr>
      <w:r>
        <w:rPr>
          <w:rFonts w:ascii="Times New Roman" w:cs="Times New Roman" w:eastAsia="Times New Roman" w:hAnsi="Times New Roman"/>
          <w:sz w:val="24"/>
          <w:szCs w:val="24"/>
        </w:rPr>
        <w:t>8.  Alignment with UN Sustainable Development Goals</w:t>
      </w:r>
    </w:p>
    <w:p>
      <w:pPr>
        <w:spacing w:after="100" w:line="360"/>
      </w:pPr>
      <w:r>
        <w:rPr>
          <w:rFonts w:ascii="Times New Roman" w:cs="Times New Roman" w:eastAsia="Times New Roman" w:hAnsi="Times New Roman"/>
          <w:sz w:val="24"/>
          <w:szCs w:val="24"/>
        </w:rPr>
        <w:t>9.  Cloud Services Used</w:t>
      </w:r>
    </w:p>
    <w:p>
      <w:pPr>
        <w:spacing w:after="100" w:line="360"/>
      </w:pPr>
      <w:r>
        <w:rPr>
          <w:rFonts w:ascii="Times New Roman" w:cs="Times New Roman" w:eastAsia="Times New Roman" w:hAnsi="Times New Roman"/>
          <w:sz w:val="24"/>
          <w:szCs w:val="24"/>
        </w:rPr>
        <w:t>10.  Conclusion</w:t>
      </w:r>
    </w:p>
    <w:p>
      <w:pPr>
        <w:spacing w:after="100" w:line="360"/>
      </w:pPr>
      <w:r>
        <w:rPr>
          <w:rFonts w:ascii="Times New Roman" w:cs="Times New Roman" w:eastAsia="Times New Roman" w:hAnsi="Times New Roman"/>
          <w:sz w:val="24"/>
          <w:szCs w:val="24"/>
        </w:rPr>
        <w:t>11.  References</w:t>
      </w:r>
    </w:p>
    <w:p>
      <w:pPr>
        <w:pStyle w:val="Heading1"/>
        <w:spacing w:after="100" w:before="200" w:line="360"/>
      </w:pPr>
      <w:r>
        <w:rPr>
          <w:rFonts w:ascii="Times New Roman" w:cs="Times New Roman" w:eastAsia="Times New Roman" w:hAnsi="Times New Roman"/>
          <w:b/>
          <w:bCs/>
          <w:color w:val="1F4E79"/>
          <w:sz w:val="30"/>
          <w:szCs w:val="30"/>
        </w:rPr>
        <w:t xml:space="preserve">1. Project Overview</w:t>
      </w:r>
    </w:p>
    <w:p>
      <w:pPr>
        <w:pStyle w:val="Heading2"/>
        <w:spacing w:after="80" w:before="160" w:line="360"/>
      </w:pPr>
      <w:r>
        <w:rPr>
          <w:rFonts w:ascii="Times New Roman" w:cs="Times New Roman" w:eastAsia="Times New Roman" w:hAnsi="Times New Roman"/>
          <w:b/>
          <w:bCs/>
          <w:color w:val="1F4E79"/>
          <w:sz w:val="26"/>
          <w:szCs w:val="26"/>
        </w:rPr>
        <w:t xml:space="preserve">1.1 Title</w:t>
      </w:r>
    </w:p>
    <w:p>
      <w:pPr>
        <w:spacing w:after="120" w:line="360"/>
        <w:jc w:val="both"/>
      </w:pPr>
      <w:r>
        <w:rPr>
          <w:rFonts w:ascii="Times New Roman" w:cs="Times New Roman" w:eastAsia="Times New Roman" w:hAnsi="Times New Roman"/>
          <w:sz w:val="24"/>
          <w:szCs w:val="24"/>
        </w:rPr>
        <w:t xml:space="preserve">Project LIFELINK — AI-Powered Predictive &amp; Connected Healthcare Intelligence Platform.</w:t>
      </w:r>
    </w:p>
    <w:p>
      <w:pPr>
        <w:pStyle w:val="Heading2"/>
        <w:spacing w:after="80" w:before="160" w:line="360"/>
      </w:pPr>
      <w:r>
        <w:rPr>
          <w:rFonts w:ascii="Times New Roman" w:cs="Times New Roman" w:eastAsia="Times New Roman" w:hAnsi="Times New Roman"/>
          <w:b/>
          <w:bCs/>
          <w:color w:val="1F4E79"/>
          <w:sz w:val="26"/>
          <w:szCs w:val="26"/>
        </w:rPr>
        <w:t xml:space="preserve">1.2 Problem Statement</w:t>
      </w:r>
    </w:p>
    <w:p>
      <w:pPr>
        <w:spacing w:after="120" w:line="360"/>
        <w:jc w:val="both"/>
      </w:pPr>
      <w:r>
        <w:rPr>
          <w:rFonts w:ascii="Times New Roman" w:cs="Times New Roman" w:eastAsia="Times New Roman" w:hAnsi="Times New Roman"/>
          <w:sz w:val="24"/>
          <w:szCs w:val="24"/>
        </w:rPr>
        <w:t xml:space="preserve">Most people's medical history lives in scattered pieces — a paper prescription here, a scanned lab report there, a doctor's handwritten note somewhere else entirely. When a patient switches hospitals, sees a specialist, or turns up at an emergency room, none of that history travels with them. The result is predictable: tests get repeated, medications clash, and doctors end up making decisions with only half the picture.</w:t>
      </w:r>
    </w:p>
    <w:p>
      <w:pPr>
        <w:spacing w:after="120" w:line="360"/>
        <w:jc w:val="both"/>
      </w:pPr>
      <w:r>
        <w:rPr>
          <w:rFonts w:ascii="Times New Roman" w:cs="Times New Roman" w:eastAsia="Times New Roman" w:hAnsi="Times New Roman"/>
          <w:sz w:val="24"/>
          <w:szCs w:val="24"/>
        </w:rPr>
        <w:t xml:space="preserve">On top of that, few patients are equipped to read their own lab values or judge whether they're at risk of something like diabetes or heart disease. LIFELINK was designed to close both gaps at once — a single place to store medical records and a layer of intelligence on top of them that turns raw documents into usable health insight.</w:t>
      </w:r>
    </w:p>
    <w:p>
      <w:pPr>
        <w:pStyle w:val="Heading2"/>
        <w:spacing w:after="80" w:before="160" w:line="360"/>
      </w:pPr>
      <w:r>
        <w:rPr>
          <w:rFonts w:ascii="Times New Roman" w:cs="Times New Roman" w:eastAsia="Times New Roman" w:hAnsi="Times New Roman"/>
          <w:b/>
          <w:bCs/>
          <w:color w:val="1F4E79"/>
          <w:sz w:val="26"/>
          <w:szCs w:val="26"/>
        </w:rPr>
        <w:t xml:space="preserve">1.3 Objectives</w:t>
      </w:r>
    </w:p>
    <w:p>
      <w:pPr>
        <w:pStyle w:val="ListParagraph"/>
        <w:numPr>
          <w:ilvl w:val="0"/>
          <w:numId w:val="1"/>
        </w:numPr>
        <w:spacing w:after="60" w:line="360"/>
        <w:jc w:val="both"/>
      </w:pPr>
      <w:r>
        <w:rPr>
          <w:rFonts w:ascii="Times New Roman" w:cs="Times New Roman" w:eastAsia="Times New Roman" w:hAnsi="Times New Roman"/>
          <w:sz w:val="24"/>
          <w:szCs w:val="24"/>
        </w:rPr>
        <w:t xml:space="preserve">Build a secure, cloud-hosted platform for storing prescriptions, lab reports, and discharge summaries in one place.</w:t>
      </w:r>
    </w:p>
    <w:p>
      <w:pPr>
        <w:pStyle w:val="ListParagraph"/>
        <w:numPr>
          <w:ilvl w:val="0"/>
          <w:numId w:val="1"/>
        </w:numPr>
        <w:spacing w:after="60" w:line="360"/>
        <w:jc w:val="both"/>
      </w:pPr>
      <w:r>
        <w:rPr>
          <w:rFonts w:ascii="Times New Roman" w:cs="Times New Roman" w:eastAsia="Times New Roman" w:hAnsi="Times New Roman"/>
          <w:sz w:val="24"/>
          <w:szCs w:val="24"/>
        </w:rPr>
        <w:t xml:space="preserve">Use OCR and NLP to automatically pull structured medical data out of uploaded documents, rather than relying on manual entry.</w:t>
      </w:r>
    </w:p>
    <w:p>
      <w:pPr>
        <w:pStyle w:val="ListParagraph"/>
        <w:numPr>
          <w:ilvl w:val="0"/>
          <w:numId w:val="1"/>
        </w:numPr>
        <w:spacing w:after="60" w:line="360"/>
        <w:jc w:val="both"/>
      </w:pPr>
      <w:r>
        <w:rPr>
          <w:rFonts w:ascii="Times New Roman" w:cs="Times New Roman" w:eastAsia="Times New Roman" w:hAnsi="Times New Roman"/>
          <w:sz w:val="24"/>
          <w:szCs w:val="24"/>
        </w:rPr>
        <w:t xml:space="preserve">Assemble a chronological health timeline so patients get one continuous view of their medical history.</w:t>
      </w:r>
    </w:p>
    <w:p>
      <w:pPr>
        <w:pStyle w:val="ListParagraph"/>
        <w:numPr>
          <w:ilvl w:val="0"/>
          <w:numId w:val="1"/>
        </w:numPr>
        <w:spacing w:after="60" w:line="360"/>
        <w:jc w:val="both"/>
      </w:pPr>
      <w:r>
        <w:rPr>
          <w:rFonts w:ascii="Times New Roman" w:cs="Times New Roman" w:eastAsia="Times New Roman" w:hAnsi="Times New Roman"/>
          <w:sz w:val="24"/>
          <w:szCs w:val="24"/>
        </w:rPr>
        <w:t xml:space="preserve">Train machine learning models that flag risk of cardiovascular disease, diabetes, and chronic kidney disease.</w:t>
      </w:r>
    </w:p>
    <w:p>
      <w:pPr>
        <w:pStyle w:val="ListParagraph"/>
        <w:numPr>
          <w:ilvl w:val="0"/>
          <w:numId w:val="1"/>
        </w:numPr>
        <w:spacing w:after="60" w:line="360"/>
        <w:jc w:val="both"/>
      </w:pPr>
      <w:r>
        <w:rPr>
          <w:rFonts w:ascii="Times New Roman" w:cs="Times New Roman" w:eastAsia="Times New Roman" w:hAnsi="Times New Roman"/>
          <w:sz w:val="24"/>
          <w:szCs w:val="24"/>
        </w:rPr>
        <w:t>Deploy the whole system on managed cloud platforms (Vercel, Render, Supabase) so it stays available, secure, and able to grow with demand.</w:t>
      </w:r>
    </w:p>
    <w:p>
      <w:pPr>
        <w:pStyle w:val="ListParagraph"/>
        <w:numPr>
          <w:ilvl w:val="0"/>
          <w:numId w:val="1"/>
        </w:numPr>
        <w:spacing w:after="60" w:line="360"/>
        <w:jc w:val="both"/>
      </w:pPr>
      <w:r>
        <w:rPr>
          <w:rFonts w:ascii="Times New Roman" w:cs="Times New Roman" w:eastAsia="Times New Roman" w:hAnsi="Times New Roman"/>
          <w:sz w:val="24"/>
          <w:szCs w:val="24"/>
        </w:rPr>
        <w:t xml:space="preserve">Enforce role-based access so patients, doctors, and administrators each see only what they're supposed to.</w:t>
      </w:r>
    </w:p>
    <w:p>
      <w:pPr>
        <w:pStyle w:val="Heading2"/>
        <w:spacing w:after="80" w:before="160" w:line="360"/>
      </w:pPr>
      <w:r>
        <w:rPr>
          <w:rFonts w:ascii="Times New Roman" w:cs="Times New Roman" w:eastAsia="Times New Roman" w:hAnsi="Times New Roman"/>
          <w:b/>
          <w:bCs/>
          <w:color w:val="1F4E79"/>
          <w:sz w:val="26"/>
          <w:szCs w:val="26"/>
        </w:rPr>
        <w:t xml:space="preserve">1.4 Target Users</w:t>
      </w:r>
    </w:p>
    <w:tbl>
      <w:tblPr>
        <w:tblW w:type="dxa" w:w="9000"/>
        <w:tblBorders>
          <w:top w:val="single" w:color="AAAAAA" w:sz="4"/>
          <w:left w:val="single" w:color="AAAAAA" w:sz="4"/>
          <w:bottom w:val="single" w:color="AAAAAA" w:sz="4"/>
          <w:right w:val="single" w:color="AAAAAA" w:sz="4"/>
          <w:insideH w:val="single" w:color="CCCCCC" w:sz="2"/>
          <w:insideV w:val="single" w:color="CCCCCC" w:sz="2"/>
        </w:tblBorders>
      </w:tblPr>
      <w:tblGrid>
        <w:gridCol w:w="2400"/>
        <w:gridCol w:w="6600"/>
      </w:tblGrid>
      <w:tr>
        <w:trPr>
          <w:tblHeader/>
        </w:trPr>
        <w:tc>
          <w:tcPr>
            <w:tcW w:type="dxa" w:w="2400"/>
            <w:shd w:fill="1F4E79" w:val="clear"/>
            <w:tcMar>
              <w:top w:type="dxa" w:w="40"/>
              <w:left w:type="dxa" w:w="90"/>
              <w:bottom w:type="dxa" w:w="40"/>
              <w:right w:type="dxa" w:w="90"/>
            </w:tcMar>
            <w:vAlign w:val="center"/>
          </w:tcPr>
          <w:p>
            <w:pPr>
              <w:spacing w:line="240"/>
              <w:jc w:val="center"/>
            </w:pPr>
            <w:r>
              <w:rPr>
                <w:rFonts w:ascii="Times New Roman" w:cs="Times New Roman" w:eastAsia="Times New Roman" w:hAnsi="Times New Roman"/>
                <w:b/>
                <w:bCs/>
                <w:sz w:val="20"/>
                <w:szCs w:val="20"/>
              </w:rPr>
              <w:t xml:space="preserve">User Role</w:t>
            </w:r>
          </w:p>
        </w:tc>
        <w:tc>
          <w:tcPr>
            <w:tcW w:type="dxa" w:w="6600"/>
            <w:shd w:fill="1F4E79" w:val="clear"/>
            <w:tcMar>
              <w:top w:type="dxa" w:w="40"/>
              <w:left w:type="dxa" w:w="90"/>
              <w:bottom w:type="dxa" w:w="40"/>
              <w:right w:type="dxa" w:w="90"/>
            </w:tcMar>
            <w:vAlign w:val="center"/>
          </w:tcPr>
          <w:p>
            <w:pPr>
              <w:spacing w:line="240"/>
              <w:jc w:val="center"/>
            </w:pPr>
            <w:r>
              <w:rPr>
                <w:rFonts w:ascii="Times New Roman" w:cs="Times New Roman" w:eastAsia="Times New Roman" w:hAnsi="Times New Roman"/>
                <w:b/>
                <w:bCs/>
                <w:sz w:val="20"/>
                <w:szCs w:val="20"/>
              </w:rPr>
              <w:t xml:space="preserve">What They Do on the Platform</w:t>
            </w:r>
          </w:p>
        </w:tc>
      </w:tr>
      <w:tr>
        <w:tc>
          <w:tcPr>
            <w:tcW w:type="dxa" w:w="2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 xml:space="preserve">Patients</w:t>
            </w:r>
          </w:p>
        </w:tc>
        <w:tc>
          <w:tcPr>
            <w:tcW w:type="dxa" w:w="6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 xml:space="preserve">Upload records, browse their health timeline, view risk predictions, and chat with the AI assistant.</w:t>
            </w:r>
          </w:p>
        </w:tc>
      </w:tr>
      <w:tr>
        <w:tc>
          <w:tcPr>
            <w:tcW w:type="dxa" w:w="2400"/>
            <w:shd w:fill="FFFFFF"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 xml:space="preserve">Doctors</w:t>
            </w:r>
          </w:p>
        </w:tc>
        <w:tc>
          <w:tcPr>
            <w:tcW w:type="dxa" w:w="6600"/>
            <w:shd w:fill="FFFFFF"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 xml:space="preserve">View patient records once consent is granted, review timelines, and confirm or correct AI-generated insights.</w:t>
            </w:r>
          </w:p>
        </w:tc>
      </w:tr>
      <w:tr>
        <w:tc>
          <w:tcPr>
            <w:tcW w:type="dxa" w:w="2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 xml:space="preserve">Administrators</w:t>
            </w:r>
          </w:p>
        </w:tc>
        <w:tc>
          <w:tcPr>
            <w:tcW w:type="dxa" w:w="6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 xml:space="preserve">Manage accounts, keep an eye on system health, and configure platform-wide settings.</w:t>
            </w:r>
          </w:p>
        </w:tc>
      </w:tr>
    </w:tbl>
    <w:p>
      <w:pPr>
        <w:pStyle w:val="Heading2"/>
        <w:spacing w:after="80" w:before="160" w:line="360"/>
      </w:pPr>
      <w:r>
        <w:rPr>
          <w:rFonts w:ascii="Times New Roman" w:cs="Times New Roman" w:eastAsia="Times New Roman" w:hAnsi="Times New Roman"/>
          <w:b/>
          <w:bCs/>
          <w:color w:val="1F4E79"/>
          <w:sz w:val="26"/>
          <w:szCs w:val="26"/>
        </w:rPr>
        <w:t xml:space="preserve">1.5 Key Functionalities</w:t>
      </w:r>
    </w:p>
    <w:tbl>
      <w:tblPr>
        <w:tblW w:type="dxa" w:w="9000"/>
        <w:tblBorders>
          <w:top w:val="single" w:color="AAAAAA" w:sz="4"/>
          <w:left w:val="single" w:color="AAAAAA" w:sz="4"/>
          <w:bottom w:val="single" w:color="AAAAAA" w:sz="4"/>
          <w:right w:val="single" w:color="AAAAAA" w:sz="4"/>
          <w:insideH w:val="single" w:color="CCCCCC" w:sz="2"/>
          <w:insideV w:val="single" w:color="CCCCCC" w:sz="2"/>
        </w:tblBorders>
      </w:tblPr>
      <w:tblGrid>
        <w:gridCol w:w="2600"/>
        <w:gridCol w:w="6400"/>
      </w:tblGrid>
      <w:tr>
        <w:trPr>
          <w:tblHeader/>
        </w:trPr>
        <w:tc>
          <w:tcPr>
            <w:tcW w:type="dxa" w:w="2600"/>
            <w:shd w:fill="1F4E79" w:val="clear"/>
            <w:tcMar>
              <w:top w:type="dxa" w:w="40"/>
              <w:left w:type="dxa" w:w="90"/>
              <w:bottom w:type="dxa" w:w="40"/>
              <w:right w:type="dxa" w:w="90"/>
            </w:tcMar>
            <w:vAlign w:val="center"/>
          </w:tcPr>
          <w:p>
            <w:pPr>
              <w:spacing w:line="240"/>
              <w:jc w:val="center"/>
            </w:pPr>
            <w:r>
              <w:rPr>
                <w:rFonts w:ascii="Times New Roman" w:cs="Times New Roman" w:eastAsia="Times New Roman" w:hAnsi="Times New Roman"/>
                <w:b/>
                <w:bCs/>
                <w:sz w:val="20"/>
                <w:szCs w:val="20"/>
              </w:rPr>
              <w:t xml:space="preserve">Module</w:t>
            </w:r>
          </w:p>
        </w:tc>
        <w:tc>
          <w:tcPr>
            <w:tcW w:type="dxa" w:w="6400"/>
            <w:shd w:fill="1F4E79" w:val="clear"/>
            <w:tcMar>
              <w:top w:type="dxa" w:w="40"/>
              <w:left w:type="dxa" w:w="90"/>
              <w:bottom w:type="dxa" w:w="40"/>
              <w:right w:type="dxa" w:w="90"/>
            </w:tcMar>
            <w:vAlign w:val="center"/>
          </w:tcPr>
          <w:p>
            <w:pPr>
              <w:spacing w:line="240"/>
              <w:jc w:val="center"/>
            </w:pPr>
            <w:r>
              <w:rPr>
                <w:rFonts w:ascii="Times New Roman" w:cs="Times New Roman" w:eastAsia="Times New Roman" w:hAnsi="Times New Roman"/>
                <w:b/>
                <w:bCs/>
                <w:sz w:val="20"/>
                <w:szCs w:val="20"/>
              </w:rPr>
              <w:t xml:space="preserve">What It Does</w:t>
            </w:r>
          </w:p>
        </w:tc>
      </w:tr>
      <w:tr>
        <w:tc>
          <w:tcPr>
            <w:tcW w:type="dxa" w:w="2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 xml:space="preserve">User Authentication</w:t>
            </w:r>
          </w:p>
        </w:tc>
        <w:tc>
          <w:tcPr>
            <w:tcW w:type="dxa" w:w="6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 xml:space="preserve">JWT-based login with role-based access for patients, doctors, and admins.</w:t>
            </w:r>
          </w:p>
        </w:tc>
      </w:tr>
      <w:tr>
        <w:tc>
          <w:tcPr>
            <w:tcW w:type="dxa" w:w="2600"/>
            <w:shd w:fill="FFFFFF"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 xml:space="preserve">Medical Record Upload</w:t>
            </w:r>
          </w:p>
        </w:tc>
        <w:tc>
          <w:tcPr>
            <w:tcW w:type="dxa" w:w="6400"/>
            <w:shd w:fill="FFFFFF"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 xml:space="preserve">Accepts PDFs and images up to 50 MB, stored directly in cloud object storage.</w:t>
            </w:r>
          </w:p>
        </w:tc>
      </w:tr>
      <w:tr>
        <w:tc>
          <w:tcPr>
            <w:tcW w:type="dxa" w:w="2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 xml:space="preserve">AI Document Processing</w:t>
            </w:r>
          </w:p>
        </w:tc>
        <w:tc>
          <w:tcPr>
            <w:tcW w:type="dxa" w:w="6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Extracts text via PyMuPDF/OCR, then structures it using a Groq-hosted LLM (Qwen).</w:t>
            </w:r>
          </w:p>
        </w:tc>
      </w:tr>
      <w:tr>
        <w:tc>
          <w:tcPr>
            <w:tcW w:type="dxa" w:w="2600"/>
            <w:shd w:fill="FFFFFF"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 xml:space="preserve">Health Timeline</w:t>
            </w:r>
          </w:p>
        </w:tc>
        <w:tc>
          <w:tcPr>
            <w:tcW w:type="dxa" w:w="6400"/>
            <w:shd w:fill="FFFFFF"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Chronological view of every medical event tied to a patient.</w:t>
            </w:r>
          </w:p>
        </w:tc>
      </w:tr>
      <w:tr>
        <w:tc>
          <w:tcPr>
            <w:tcW w:type="dxa" w:w="2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 xml:space="preserve">Dashboard &amp; Analytics</w:t>
            </w:r>
          </w:p>
        </w:tc>
        <w:tc>
          <w:tcPr>
            <w:tcW w:type="dxa" w:w="6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 xml:space="preserve">Real-time stats on uploaded documents and tracked health metrics.</w:t>
            </w:r>
          </w:p>
        </w:tc>
      </w:tr>
      <w:tr>
        <w:tc>
          <w:tcPr>
            <w:tcW w:type="dxa" w:w="2600"/>
            <w:shd w:fill="FFFFFF"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 xml:space="preserve">User Profile</w:t>
            </w:r>
          </w:p>
        </w:tc>
        <w:tc>
          <w:tcPr>
            <w:tcW w:type="dxa" w:w="6400"/>
            <w:shd w:fill="FFFFFF"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 xml:space="preserve">Blood group, allergies, chronic conditions, and emergency contacts.</w:t>
            </w:r>
          </w:p>
        </w:tc>
      </w:tr>
      <w:tr>
        <w:tc>
          <w:tcPr>
            <w:tcW w:type="dxa" w:w="2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 xml:space="preserve">Admin Panel</w:t>
            </w:r>
          </w:p>
        </w:tc>
        <w:tc>
          <w:tcPr>
            <w:tcW w:type="dxa" w:w="6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 xml:space="preserve">Platform-wide statistics, user management, and document oversight.</w:t>
            </w:r>
          </w:p>
        </w:tc>
      </w:tr>
      <w:tr>
        <w:tc>
          <w:tcPr>
            <w:tcW w:type="dxa" w:w="2600"/>
            <w:shd w:fill="FFFFFF"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 xml:space="preserve">Risk Assessment</w:t>
            </w:r>
          </w:p>
        </w:tc>
        <w:tc>
          <w:tcPr>
            <w:tcW w:type="dxa" w:w="6400"/>
            <w:shd w:fill="FFFFFF"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 xml:space="preserve">ML-driven prediction for cardiovascular disease, diabetes, and CKD.</w:t>
            </w:r>
          </w:p>
        </w:tc>
      </w:tr>
      <w:tr>
        <w:tc>
          <w:tcPr>
            <w:tcW w:type="dxa" w:w="2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 xml:space="preserve">AI Healthcare Assistant</w:t>
            </w:r>
          </w:p>
        </w:tc>
        <w:tc>
          <w:tcPr>
            <w:tcW w:type="dxa" w:w="6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 xml:space="preserve">A RAG-based chatbot that answers personalised health questions.</w:t>
            </w:r>
          </w:p>
        </w:tc>
      </w:tr>
    </w:tbl>
    <w:p>
      <w:pPr>
        <w:pStyle w:val="Heading1"/>
        <w:spacing w:after="100" w:before="200" w:line="360"/>
      </w:pPr>
      <w:r>
        <w:rPr>
          <w:rFonts w:ascii="Times New Roman" w:cs="Times New Roman" w:eastAsia="Times New Roman" w:hAnsi="Times New Roman"/>
          <w:b/>
          <w:bCs/>
          <w:color w:val="1F4E79"/>
          <w:sz w:val="30"/>
          <w:szCs w:val="30"/>
        </w:rPr>
        <w:t xml:space="preserve">2. Functional Requirement Analysis</w:t>
      </w:r>
    </w:p>
    <w:p>
      <w:pPr>
        <w:spacing w:after="120" w:line="360"/>
        <w:jc w:val="both"/>
      </w:pPr>
      <w:r>
        <w:rPr>
          <w:rFonts w:ascii="Times New Roman" w:cs="Times New Roman" w:eastAsia="Times New Roman" w:hAnsi="Times New Roman"/>
          <w:sz w:val="24"/>
          <w:szCs w:val="24"/>
        </w:rPr>
        <w:t xml:space="preserve">Before picking any cloud services, it helps to map what each module in the application actually needs from the infrastructure underneath it. That mapping is summarised below.</w:t>
      </w:r>
    </w:p>
    <w:p>
      <w:pPr>
        <w:pStyle w:val="Heading2"/>
        <w:spacing w:after="80" w:before="160" w:line="360"/>
      </w:pPr>
      <w:r>
        <w:rPr>
          <w:rFonts w:ascii="Times New Roman" w:cs="Times New Roman" w:eastAsia="Times New Roman" w:hAnsi="Times New Roman"/>
          <w:b/>
          <w:bCs/>
          <w:color w:val="1F4E79"/>
          <w:sz w:val="26"/>
          <w:szCs w:val="26"/>
        </w:rPr>
        <w:t xml:space="preserve">2.1 Core Module Requirements</w:t>
      </w:r>
    </w:p>
    <w:tbl>
      <w:tblPr>
        <w:tblW w:type="dxa" w:w="9000"/>
        <w:tblBorders>
          <w:top w:val="single" w:color="AAAAAA" w:sz="4"/>
          <w:left w:val="single" w:color="AAAAAA" w:sz="4"/>
          <w:bottom w:val="single" w:color="AAAAAA" w:sz="4"/>
          <w:right w:val="single" w:color="AAAAAA" w:sz="4"/>
          <w:insideH w:val="single" w:color="CCCCCC" w:sz="2"/>
          <w:insideV w:val="single" w:color="CCCCCC" w:sz="2"/>
        </w:tblBorders>
      </w:tblPr>
      <w:tblGrid>
        <w:gridCol w:w="2000"/>
        <w:gridCol w:w="3600"/>
        <w:gridCol w:w="3400"/>
      </w:tblGrid>
      <w:tr>
        <w:trPr>
          <w:tblHeader/>
        </w:trPr>
        <w:tc>
          <w:tcPr>
            <w:tcW w:type="dxa" w:w="2000"/>
            <w:shd w:fill="1F4E79" w:val="clear"/>
            <w:tcMar>
              <w:top w:type="dxa" w:w="40"/>
              <w:left w:type="dxa" w:w="90"/>
              <w:bottom w:type="dxa" w:w="40"/>
              <w:right w:type="dxa" w:w="90"/>
            </w:tcMar>
            <w:vAlign w:val="center"/>
          </w:tcPr>
          <w:p>
            <w:pPr>
              <w:spacing w:line="240"/>
              <w:jc w:val="center"/>
            </w:pPr>
            <w:r>
              <w:rPr>
                <w:rFonts w:ascii="Times New Roman" w:cs="Times New Roman" w:eastAsia="Times New Roman" w:hAnsi="Times New Roman"/>
                <w:b/>
                <w:bCs/>
                <w:sz w:val="20"/>
                <w:szCs w:val="20"/>
              </w:rPr>
              <w:t xml:space="preserve">Module</w:t>
            </w:r>
          </w:p>
        </w:tc>
        <w:tc>
          <w:tcPr>
            <w:tcW w:type="dxa" w:w="3600"/>
            <w:shd w:fill="1F4E79" w:val="clear"/>
            <w:tcMar>
              <w:top w:type="dxa" w:w="40"/>
              <w:left w:type="dxa" w:w="90"/>
              <w:bottom w:type="dxa" w:w="40"/>
              <w:right w:type="dxa" w:w="90"/>
            </w:tcMar>
            <w:vAlign w:val="center"/>
          </w:tcPr>
          <w:p>
            <w:pPr>
              <w:spacing w:line="240"/>
              <w:jc w:val="center"/>
            </w:pPr>
            <w:r>
              <w:rPr>
                <w:rFonts w:ascii="Times New Roman" w:cs="Times New Roman" w:eastAsia="Times New Roman" w:hAnsi="Times New Roman"/>
                <w:b/>
                <w:bCs/>
                <w:sz w:val="20"/>
                <w:szCs w:val="20"/>
              </w:rPr>
              <w:t xml:space="preserve">Key Requirements</w:t>
            </w:r>
          </w:p>
        </w:tc>
        <w:tc>
          <w:tcPr>
            <w:tcW w:type="dxa" w:w="3400"/>
            <w:shd w:fill="1F4E79" w:val="clear"/>
            <w:tcMar>
              <w:top w:type="dxa" w:w="40"/>
              <w:left w:type="dxa" w:w="90"/>
              <w:bottom w:type="dxa" w:w="40"/>
              <w:right w:type="dxa" w:w="90"/>
            </w:tcMar>
            <w:vAlign w:val="center"/>
          </w:tcPr>
          <w:p>
            <w:pPr>
              <w:spacing w:line="240"/>
              <w:jc w:val="center"/>
            </w:pPr>
            <w:r>
              <w:rPr>
                <w:rFonts w:ascii="Times New Roman" w:cs="Times New Roman" w:eastAsia="Times New Roman" w:hAnsi="Times New Roman"/>
                <w:b/>
                <w:bCs/>
                <w:sz w:val="20"/>
                <w:szCs w:val="20"/>
              </w:rPr>
              <w:t xml:space="preserve">Cloud Implication</w:t>
            </w:r>
          </w:p>
        </w:tc>
      </w:tr>
      <w:tr>
        <w:tc>
          <w:tcPr>
            <w:tcW w:type="dxa" w:w="20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 xml:space="preserve">Authentication</w:t>
            </w:r>
          </w:p>
        </w:tc>
        <w:tc>
          <w:tcPr>
            <w:tcW w:type="dxa" w:w="3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 xml:space="preserve">JWT issuance, bcrypt hashing (12 rounds), role enforcement</w:t>
            </w:r>
          </w:p>
        </w:tc>
        <w:tc>
          <w:tcPr>
            <w:tcW w:type="dxa" w:w="3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 xml:space="preserve">Managed database, secure secret storage, adequate compute</w:t>
            </w:r>
          </w:p>
        </w:tc>
      </w:tr>
      <w:tr>
        <w:tc>
          <w:tcPr>
            <w:tcW w:type="dxa" w:w="2000"/>
            <w:shd w:fill="FFFFFF"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 xml:space="preserve">Document Storage</w:t>
            </w:r>
          </w:p>
        </w:tc>
        <w:tc>
          <w:tcPr>
            <w:tcW w:type="dxa" w:w="3600"/>
            <w:shd w:fill="FFFFFF"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 xml:space="preserve">Uploads up to 50 MB, organised key structure, pre-signed URLs</w:t>
            </w:r>
          </w:p>
        </w:tc>
        <w:tc>
          <w:tcPr>
            <w:tcW w:type="dxa" w:w="3400"/>
            <w:shd w:fill="FFFFFF"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Scalable, highly durable object storage</w:t>
            </w:r>
          </w:p>
        </w:tc>
      </w:tr>
      <w:tr>
        <w:tc>
          <w:tcPr>
            <w:tcW w:type="dxa" w:w="20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 xml:space="preserve">AI Processing</w:t>
            </w:r>
          </w:p>
        </w:tc>
        <w:tc>
          <w:tcPr>
            <w:tcW w:type="dxa" w:w="3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 xml:space="preserve">PDF text extraction, LLM calls, async processing</w:t>
            </w:r>
          </w:p>
        </w:tc>
        <w:tc>
          <w:tcPr>
            <w:tcW w:type="dxa" w:w="3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Background task, outbound API access to the LLM</w:t>
            </w:r>
          </w:p>
        </w:tc>
      </w:tr>
      <w:tr>
        <w:tc>
          <w:tcPr>
            <w:tcW w:type="dxa" w:w="2000"/>
            <w:shd w:fill="FFFFFF"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 xml:space="preserve">Health Timeline</w:t>
            </w:r>
          </w:p>
        </w:tc>
        <w:tc>
          <w:tcPr>
            <w:tcW w:type="dxa" w:w="3600"/>
            <w:shd w:fill="FFFFFF"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Chronological events, multiple event types, source linking</w:t>
            </w:r>
          </w:p>
        </w:tc>
        <w:tc>
          <w:tcPr>
            <w:tcW w:type="dxa" w:w="3400"/>
            <w:shd w:fill="FFFFFF"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 xml:space="preserve">Indexed relational DB with JSONB support</w:t>
            </w:r>
          </w:p>
        </w:tc>
      </w:tr>
      <w:tr>
        <w:tc>
          <w:tcPr>
            <w:tcW w:type="dxa" w:w="20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 xml:space="preserve">Dashboard</w:t>
            </w:r>
          </w:p>
        </w:tc>
        <w:tc>
          <w:tcPr>
            <w:tcW w:type="dxa" w:w="3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 xml:space="preserve">Real-time statistics, aggregation queries</w:t>
            </w:r>
          </w:p>
        </w:tc>
        <w:tc>
          <w:tcPr>
            <w:tcW w:type="dxa" w:w="3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Fast aggregation queries on a managed database</w:t>
            </w:r>
          </w:p>
        </w:tc>
      </w:tr>
      <w:tr>
        <w:tc>
          <w:tcPr>
            <w:tcW w:type="dxa" w:w="2000"/>
            <w:shd w:fill="FFFFFF"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 xml:space="preserve">Risk Assessment</w:t>
            </w:r>
          </w:p>
        </w:tc>
        <w:tc>
          <w:tcPr>
            <w:tcW w:type="dxa" w:w="3600"/>
            <w:shd w:fill="FFFFFF"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Gradient Boosting inference, per-feature explanation, score storage</w:t>
            </w:r>
          </w:p>
        </w:tc>
        <w:tc>
          <w:tcPr>
            <w:tcW w:type="dxa" w:w="3400"/>
            <w:shd w:fill="FFFFFF"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Compute with ML libraries; model files in container</w:t>
            </w:r>
          </w:p>
        </w:tc>
      </w:tr>
      <w:tr>
        <w:tc>
          <w:tcPr>
            <w:tcW w:type="dxa" w:w="20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 xml:space="preserve">AI Assistant</w:t>
            </w:r>
          </w:p>
        </w:tc>
        <w:tc>
          <w:tcPr>
            <w:tcW w:type="dxa" w:w="3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 xml:space="preserve">Vector similarity search, LLM responses, chat history</w:t>
            </w:r>
          </w:p>
        </w:tc>
        <w:tc>
          <w:tcPr>
            <w:tcW w:type="dxa" w:w="3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 xml:space="preserve">Vector database (pgvector), embedding generation</w:t>
            </w:r>
          </w:p>
        </w:tc>
      </w:tr>
    </w:tbl>
    <w:p>
      <w:pPr>
        <w:pStyle w:val="Heading2"/>
        <w:spacing w:after="80" w:before="160" w:line="360"/>
      </w:pPr>
      <w:r>
        <w:rPr>
          <w:rFonts w:ascii="Times New Roman" w:cs="Times New Roman" w:eastAsia="Times New Roman" w:hAnsi="Times New Roman"/>
          <w:b/>
          <w:bCs/>
          <w:color w:val="1F4E79"/>
          <w:sz w:val="26"/>
          <w:szCs w:val="26"/>
        </w:rPr>
        <w:t xml:space="preserve">2.2 Non-Functional Requirements</w:t>
      </w:r>
    </w:p>
    <w:tbl>
      <w:tblPr>
        <w:tblW w:type="dxa" w:w="9000"/>
        <w:tblBorders>
          <w:top w:val="single" w:color="AAAAAA" w:sz="4"/>
          <w:left w:val="single" w:color="AAAAAA" w:sz="4"/>
          <w:bottom w:val="single" w:color="AAAAAA" w:sz="4"/>
          <w:right w:val="single" w:color="AAAAAA" w:sz="4"/>
          <w:insideH w:val="single" w:color="CCCCCC" w:sz="2"/>
          <w:insideV w:val="single" w:color="CCCCCC" w:sz="2"/>
        </w:tblBorders>
      </w:tblPr>
      <w:tblGrid>
        <w:gridCol w:w="3400"/>
        <w:gridCol w:w="5600"/>
      </w:tblGrid>
      <w:tr>
        <w:trPr>
          <w:tblHeader/>
        </w:trPr>
        <w:tc>
          <w:tcPr>
            <w:tcW w:type="dxa" w:w="3400"/>
            <w:shd w:fill="1F4E79" w:val="clear"/>
            <w:tcMar>
              <w:top w:type="dxa" w:w="40"/>
              <w:left w:type="dxa" w:w="90"/>
              <w:bottom w:type="dxa" w:w="40"/>
              <w:right w:type="dxa" w:w="90"/>
            </w:tcMar>
            <w:vAlign w:val="center"/>
          </w:tcPr>
          <w:p>
            <w:pPr>
              <w:spacing w:line="240"/>
              <w:jc w:val="center"/>
            </w:pPr>
            <w:r>
              <w:rPr>
                <w:rFonts w:ascii="Times New Roman" w:cs="Times New Roman" w:eastAsia="Times New Roman" w:hAnsi="Times New Roman"/>
                <w:b/>
                <w:bCs/>
                <w:sz w:val="20"/>
                <w:szCs w:val="20"/>
              </w:rPr>
              <w:t xml:space="preserve">Requirement</w:t>
            </w:r>
          </w:p>
        </w:tc>
        <w:tc>
          <w:tcPr>
            <w:tcW w:type="dxa" w:w="5600"/>
            <w:shd w:fill="1F4E79" w:val="clear"/>
            <w:tcMar>
              <w:top w:type="dxa" w:w="40"/>
              <w:left w:type="dxa" w:w="90"/>
              <w:bottom w:type="dxa" w:w="40"/>
              <w:right w:type="dxa" w:w="90"/>
            </w:tcMar>
            <w:vAlign w:val="center"/>
          </w:tcPr>
          <w:p>
            <w:pPr>
              <w:spacing w:line="240"/>
              <w:jc w:val="center"/>
            </w:pPr>
            <w:r>
              <w:rPr>
                <w:rFonts w:ascii="Times New Roman" w:cs="Times New Roman" w:eastAsia="Times New Roman" w:hAnsi="Times New Roman"/>
                <w:b/>
                <w:bCs/>
                <w:sz w:val="20"/>
                <w:szCs w:val="20"/>
              </w:rPr>
              <w:t xml:space="preserve">Cloud Implication</w:t>
            </w:r>
          </w:p>
        </w:tc>
      </w:tr>
      <w:tr>
        <w:tc>
          <w:tcPr>
            <w:tcW w:type="dxa" w:w="3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Scalability — 1000+ concurrent users</w:t>
            </w:r>
          </w:p>
        </w:tc>
        <w:tc>
          <w:tcPr>
            <w:tcW w:type="dxa" w:w="5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Stateless containers that can be scaled on the host, CDN for the frontend</w:t>
            </w:r>
          </w:p>
        </w:tc>
      </w:tr>
      <w:tr>
        <w:tc>
          <w:tcPr>
            <w:tcW w:type="dxa" w:w="3400"/>
            <w:shd w:fill="FFFFFF"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 xml:space="preserve">Availability — 99.9% uptime</w:t>
            </w:r>
          </w:p>
        </w:tc>
        <w:tc>
          <w:tcPr>
            <w:tcW w:type="dxa" w:w="5600"/>
            <w:shd w:fill="FFFFFF"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Managed hosting with health checks and automatic restart</w:t>
            </w:r>
          </w:p>
        </w:tc>
      </w:tr>
      <w:tr>
        <w:tc>
          <w:tcPr>
            <w:tcW w:type="dxa" w:w="3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 xml:space="preserve">Performance — sub-500ms API response</w:t>
            </w:r>
          </w:p>
        </w:tc>
        <w:tc>
          <w:tcPr>
            <w:tcW w:type="dxa" w:w="5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CDN for static files and an indexed managed database</w:t>
            </w:r>
          </w:p>
        </w:tc>
      </w:tr>
      <w:tr>
        <w:tc>
          <w:tcPr>
            <w:tcW w:type="dxa" w:w="3400"/>
            <w:shd w:fill="FFFFFF"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Security — healthcare data protection</w:t>
            </w:r>
          </w:p>
        </w:tc>
        <w:tc>
          <w:tcPr>
            <w:tcW w:type="dxa" w:w="5600"/>
            <w:shd w:fill="FFFFFF"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Encryption in transit and at rest, private storage, secrets in environment variables</w:t>
            </w:r>
          </w:p>
        </w:tc>
      </w:tr>
      <w:tr>
        <w:tc>
          <w:tcPr>
            <w:tcW w:type="dxa" w:w="3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Cost efficiency</w:t>
            </w:r>
          </w:p>
        </w:tc>
        <w:tc>
          <w:tcPr>
            <w:tcW w:type="dxa" w:w="5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Free tiers now; pay-as-you-go plans when usage grows</w:t>
            </w:r>
          </w:p>
        </w:tc>
      </w:tr>
    </w:tbl>
    <w:p>
      <w:pPr>
        <w:pStyle w:val="Heading1"/>
        <w:spacing w:after="100" w:before="200" w:line="360"/>
      </w:pPr>
      <w:r>
        <w:rPr>
          <w:rFonts w:ascii="Times New Roman" w:cs="Times New Roman" w:eastAsia="Times New Roman" w:hAnsi="Times New Roman"/>
          <w:b/>
          <w:bCs/>
          <w:color w:val="1F4E79"/>
          <w:sz w:val="30"/>
          <w:szCs w:val="30"/>
        </w:rPr>
        <w:t>3. Identification of Suitable Cloud Services</w:t>
      </w:r>
    </w:p>
    <w:p>
      <w:pPr>
        <w:spacing w:after="120" w:line="360"/>
        <w:jc w:val="both"/>
      </w:pPr>
      <w:r>
        <w:rPr>
          <w:rFonts w:ascii="Times New Roman" w:cs="Times New Roman" w:eastAsia="Times New Roman" w:hAnsi="Times New Roman"/>
          <w:sz w:val="24"/>
          <w:szCs w:val="24"/>
        </w:rPr>
        <w:t>Working from the requirements above, the platform needs four things from the cloud: somewhere to serve the web app, somewhere to run the Python API, a managed database with vector search, and durable file storage. AI inference and CI/CD are consumed as external cloud services. The services chosen for each need are listed below.</w:t>
      </w:r>
    </w:p>
    <w:tbl>
      <w:tblPr>
        <w:tblW w:type="dxa" w:w="9000"/>
        <w:tblBorders>
          <w:top w:val="single" w:color="AAAAAA" w:sz="4"/>
          <w:left w:val="single" w:color="AAAAAA" w:sz="4"/>
          <w:bottom w:val="single" w:color="AAAAAA" w:sz="4"/>
          <w:right w:val="single" w:color="AAAAAA" w:sz="4"/>
          <w:insideH w:val="single" w:color="CCCCCC" w:sz="2"/>
          <w:insideV w:val="single" w:color="CCCCCC" w:sz="2"/>
        </w:tblBorders>
      </w:tblPr>
      <w:tblGrid>
        <w:gridCol w:w="500"/>
        <w:gridCol w:w="2700"/>
        <w:gridCol w:w="2000"/>
        <w:gridCol w:w="3800"/>
      </w:tblGrid>
      <w:tr>
        <w:trPr>
          <w:tblHeader/>
        </w:trPr>
        <w:tc>
          <w:tcPr>
            <w:tcW w:type="dxa" w:w="500"/>
            <w:shd w:fill="1F4E79" w:val="clear"/>
            <w:tcMar>
              <w:top w:type="dxa" w:w="40"/>
              <w:left w:type="dxa" w:w="90"/>
              <w:bottom w:type="dxa" w:w="40"/>
              <w:right w:type="dxa" w:w="90"/>
            </w:tcMar>
            <w:vAlign w:val="center"/>
          </w:tcPr>
          <w:p>
            <w:pPr>
              <w:spacing w:line="240"/>
              <w:jc w:val="center"/>
            </w:pPr>
            <w:r>
              <w:rPr>
                <w:rFonts w:ascii="Times New Roman" w:cs="Times New Roman" w:eastAsia="Times New Roman" w:hAnsi="Times New Roman"/>
                <w:b/>
                <w:bCs/>
                <w:sz w:val="20"/>
                <w:szCs w:val="20"/>
              </w:rPr>
              <w:t>#</w:t>
            </w:r>
          </w:p>
        </w:tc>
        <w:tc>
          <w:tcPr>
            <w:tcW w:type="dxa" w:w="2700"/>
            <w:shd w:fill="1F4E79" w:val="clear"/>
            <w:tcMar>
              <w:top w:type="dxa" w:w="40"/>
              <w:left w:type="dxa" w:w="90"/>
              <w:bottom w:type="dxa" w:w="40"/>
              <w:right w:type="dxa" w:w="90"/>
            </w:tcMar>
            <w:vAlign w:val="center"/>
          </w:tcPr>
          <w:p>
            <w:pPr>
              <w:spacing w:line="240"/>
              <w:jc w:val="center"/>
            </w:pPr>
            <w:r>
              <w:rPr>
                <w:rFonts w:ascii="Times New Roman" w:cs="Times New Roman" w:eastAsia="Times New Roman" w:hAnsi="Times New Roman"/>
                <w:b/>
                <w:bCs/>
                <w:sz w:val="20"/>
                <w:szCs w:val="20"/>
              </w:rPr>
              <w:t>Service</w:t>
            </w:r>
          </w:p>
        </w:tc>
        <w:tc>
          <w:tcPr>
            <w:tcW w:type="dxa" w:w="2000"/>
            <w:shd w:fill="1F4E79" w:val="clear"/>
            <w:tcMar>
              <w:top w:type="dxa" w:w="40"/>
              <w:left w:type="dxa" w:w="90"/>
              <w:bottom w:type="dxa" w:w="40"/>
              <w:right w:type="dxa" w:w="90"/>
            </w:tcMar>
            <w:vAlign w:val="center"/>
          </w:tcPr>
          <w:p>
            <w:pPr>
              <w:spacing w:line="240"/>
              <w:jc w:val="center"/>
            </w:pPr>
            <w:r>
              <w:rPr>
                <w:rFonts w:ascii="Times New Roman" w:cs="Times New Roman" w:eastAsia="Times New Roman" w:hAnsi="Times New Roman"/>
                <w:b/>
                <w:bCs/>
                <w:sz w:val="20"/>
                <w:szCs w:val="20"/>
              </w:rPr>
              <w:t>Category</w:t>
            </w:r>
          </w:p>
        </w:tc>
        <w:tc>
          <w:tcPr>
            <w:tcW w:type="dxa" w:w="3800"/>
            <w:shd w:fill="1F4E79" w:val="clear"/>
            <w:tcMar>
              <w:top w:type="dxa" w:w="40"/>
              <w:left w:type="dxa" w:w="90"/>
              <w:bottom w:type="dxa" w:w="40"/>
              <w:right w:type="dxa" w:w="90"/>
            </w:tcMar>
            <w:vAlign w:val="center"/>
          </w:tcPr>
          <w:p>
            <w:pPr>
              <w:spacing w:line="240"/>
              <w:jc w:val="center"/>
            </w:pPr>
            <w:r>
              <w:rPr>
                <w:rFonts w:ascii="Times New Roman" w:cs="Times New Roman" w:eastAsia="Times New Roman" w:hAnsi="Times New Roman"/>
                <w:b/>
                <w:bCs/>
                <w:sz w:val="20"/>
                <w:szCs w:val="20"/>
              </w:rPr>
              <w:t>Role in the Project</w:t>
            </w:r>
          </w:p>
        </w:tc>
      </w:tr>
      <w:tr>
        <w:tc>
          <w:tcPr>
            <w:tcW w:type="dxa" w:w="5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1</w:t>
            </w:r>
          </w:p>
        </w:tc>
        <w:tc>
          <w:tcPr>
            <w:tcW w:type="dxa" w:w="27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Vercel</w:t>
            </w:r>
          </w:p>
        </w:tc>
        <w:tc>
          <w:tcPr>
            <w:tcW w:type="dxa" w:w="20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PaaS + CDN</w:t>
            </w:r>
          </w:p>
        </w:tc>
        <w:tc>
          <w:tcPr>
            <w:tcW w:type="dxa" w:w="38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Hosts and serves the React frontend over a global edge network</w:t>
            </w:r>
          </w:p>
        </w:tc>
      </w:tr>
      <w:tr>
        <w:tc>
          <w:tcPr>
            <w:tcW w:type="dxa" w:w="5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2</w:t>
            </w:r>
          </w:p>
        </w:tc>
        <w:tc>
          <w:tcPr>
            <w:tcW w:type="dxa" w:w="27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Render Web Service</w:t>
            </w:r>
          </w:p>
        </w:tc>
        <w:tc>
          <w:tcPr>
            <w:tcW w:type="dxa" w:w="20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PaaS (containers)</w:t>
            </w:r>
          </w:p>
        </w:tc>
        <w:tc>
          <w:tcPr>
            <w:tcW w:type="dxa" w:w="38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Runs the FastAPI backend from the project's Dockerfile</w:t>
            </w:r>
          </w:p>
        </w:tc>
      </w:tr>
      <w:tr>
        <w:tc>
          <w:tcPr>
            <w:tcW w:type="dxa" w:w="5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3</w:t>
            </w:r>
          </w:p>
        </w:tc>
        <w:tc>
          <w:tcPr>
            <w:tcW w:type="dxa" w:w="27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Supabase PostgreSQL</w:t>
            </w:r>
          </w:p>
        </w:tc>
        <w:tc>
          <w:tcPr>
            <w:tcW w:type="dxa" w:w="20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DBaaS</w:t>
            </w:r>
          </w:p>
        </w:tc>
        <w:tc>
          <w:tcPr>
            <w:tcW w:type="dxa" w:w="38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Primary relational database, with pgvector for embeddings</w:t>
            </w:r>
          </w:p>
        </w:tc>
      </w:tr>
      <w:tr>
        <w:tc>
          <w:tcPr>
            <w:tcW w:type="dxa" w:w="5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4</w:t>
            </w:r>
          </w:p>
        </w:tc>
        <w:tc>
          <w:tcPr>
            <w:tcW w:type="dxa" w:w="27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Supabase Storage</w:t>
            </w:r>
          </w:p>
        </w:tc>
        <w:tc>
          <w:tcPr>
            <w:tcW w:type="dxa" w:w="20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Object storage</w:t>
            </w:r>
          </w:p>
        </w:tc>
        <w:tc>
          <w:tcPr>
            <w:tcW w:type="dxa" w:w="38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Stores uploaded medical documents in a private bucket</w:t>
            </w:r>
          </w:p>
        </w:tc>
      </w:tr>
      <w:tr>
        <w:tc>
          <w:tcPr>
            <w:tcW w:type="dxa" w:w="5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5</w:t>
            </w:r>
          </w:p>
        </w:tc>
        <w:tc>
          <w:tcPr>
            <w:tcW w:type="dxa" w:w="27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Groq Cloud API</w:t>
            </w:r>
          </w:p>
        </w:tc>
        <w:tc>
          <w:tcPr>
            <w:tcW w:type="dxa" w:w="20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AI inference (SaaS)</w:t>
            </w:r>
          </w:p>
        </w:tc>
        <w:tc>
          <w:tcPr>
            <w:tcW w:type="dxa" w:w="38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LLM for document extraction, summaries and the AI assistant</w:t>
            </w:r>
          </w:p>
        </w:tc>
      </w:tr>
      <w:tr>
        <w:tc>
          <w:tcPr>
            <w:tcW w:type="dxa" w:w="5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6</w:t>
            </w:r>
          </w:p>
        </w:tc>
        <w:tc>
          <w:tcPr>
            <w:tcW w:type="dxa" w:w="27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GitHub + GitHub Actions</w:t>
            </w:r>
          </w:p>
        </w:tc>
        <w:tc>
          <w:tcPr>
            <w:tcW w:type="dxa" w:w="20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DevOps (SaaS)</w:t>
            </w:r>
          </w:p>
        </w:tc>
        <w:tc>
          <w:tcPr>
            <w:tcW w:type="dxa" w:w="38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Source control, CI (lint, test, build) and deploy trigger</w:t>
            </w:r>
          </w:p>
        </w:tc>
      </w:tr>
      <w:tr>
        <w:tc>
          <w:tcPr>
            <w:tcW w:type="dxa" w:w="5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7</w:t>
            </w:r>
          </w:p>
        </w:tc>
        <w:tc>
          <w:tcPr>
            <w:tcW w:type="dxa" w:w="27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Gmail SMTP</w:t>
            </w:r>
          </w:p>
        </w:tc>
        <w:tc>
          <w:tcPr>
            <w:tcW w:type="dxa" w:w="20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Email (SaaS)</w:t>
            </w:r>
          </w:p>
        </w:tc>
        <w:tc>
          <w:tcPr>
            <w:tcW w:type="dxa" w:w="38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Sends medicine and follow-up reminder emails</w:t>
            </w:r>
          </w:p>
        </w:tc>
      </w:tr>
    </w:tbl>
    <w:p>
      <w:pPr>
        <w:pStyle w:val="Heading2"/>
        <w:spacing w:after="80" w:before="160" w:line="360"/>
      </w:pPr>
      <w:r>
        <w:rPr>
          <w:rFonts w:ascii="Times New Roman" w:cs="Times New Roman" w:eastAsia="Times New Roman" w:hAnsi="Times New Roman"/>
          <w:b/>
          <w:bCs/>
          <w:color w:val="1F4E79"/>
          <w:sz w:val="26"/>
          <w:szCs w:val="26"/>
        </w:rPr>
        <w:t>Service Category Summary</w:t>
      </w:r>
    </w:p>
    <w:tbl>
      <w:tblPr>
        <w:tblW w:type="dxa" w:w="9000"/>
        <w:tblBorders>
          <w:top w:val="single" w:color="AAAAAA" w:sz="4"/>
          <w:left w:val="single" w:color="AAAAAA" w:sz="4"/>
          <w:bottom w:val="single" w:color="AAAAAA" w:sz="4"/>
          <w:right w:val="single" w:color="AAAAAA" w:sz="4"/>
          <w:insideH w:val="single" w:color="CCCCCC" w:sz="2"/>
          <w:insideV w:val="single" w:color="CCCCCC" w:sz="2"/>
        </w:tblBorders>
      </w:tblPr>
      <w:tblGrid>
        <w:gridCol w:w="2000"/>
        <w:gridCol w:w="3600"/>
        <w:gridCol w:w="3400"/>
      </w:tblGrid>
      <w:tr>
        <w:trPr>
          <w:tblHeader/>
        </w:trPr>
        <w:tc>
          <w:tcPr>
            <w:tcW w:type="dxa" w:w="2000"/>
            <w:shd w:fill="1F4E79" w:val="clear"/>
            <w:tcMar>
              <w:top w:type="dxa" w:w="40"/>
              <w:left w:type="dxa" w:w="90"/>
              <w:bottom w:type="dxa" w:w="40"/>
              <w:right w:type="dxa" w:w="90"/>
            </w:tcMar>
            <w:vAlign w:val="center"/>
          </w:tcPr>
          <w:p>
            <w:pPr>
              <w:spacing w:line="240"/>
              <w:jc w:val="center"/>
            </w:pPr>
            <w:r>
              <w:rPr>
                <w:rFonts w:ascii="Times New Roman" w:cs="Times New Roman" w:eastAsia="Times New Roman" w:hAnsi="Times New Roman"/>
                <w:b/>
                <w:bCs/>
                <w:sz w:val="20"/>
                <w:szCs w:val="20"/>
              </w:rPr>
              <w:t>Category</w:t>
            </w:r>
          </w:p>
        </w:tc>
        <w:tc>
          <w:tcPr>
            <w:tcW w:type="dxa" w:w="3600"/>
            <w:shd w:fill="1F4E79" w:val="clear"/>
            <w:tcMar>
              <w:top w:type="dxa" w:w="40"/>
              <w:left w:type="dxa" w:w="90"/>
              <w:bottom w:type="dxa" w:w="40"/>
              <w:right w:type="dxa" w:w="90"/>
            </w:tcMar>
            <w:vAlign w:val="center"/>
          </w:tcPr>
          <w:p>
            <w:pPr>
              <w:spacing w:line="240"/>
              <w:jc w:val="center"/>
            </w:pPr>
            <w:r>
              <w:rPr>
                <w:rFonts w:ascii="Times New Roman" w:cs="Times New Roman" w:eastAsia="Times New Roman" w:hAnsi="Times New Roman"/>
                <w:b/>
                <w:bCs/>
                <w:sz w:val="20"/>
                <w:szCs w:val="20"/>
              </w:rPr>
              <w:t>Services</w:t>
            </w:r>
          </w:p>
        </w:tc>
        <w:tc>
          <w:tcPr>
            <w:tcW w:type="dxa" w:w="3400"/>
            <w:shd w:fill="1F4E79" w:val="clear"/>
            <w:tcMar>
              <w:top w:type="dxa" w:w="40"/>
              <w:left w:type="dxa" w:w="90"/>
              <w:bottom w:type="dxa" w:w="40"/>
              <w:right w:type="dxa" w:w="90"/>
            </w:tcMar>
            <w:vAlign w:val="center"/>
          </w:tcPr>
          <w:p>
            <w:pPr>
              <w:spacing w:line="240"/>
              <w:jc w:val="center"/>
            </w:pPr>
            <w:r>
              <w:rPr>
                <w:rFonts w:ascii="Times New Roman" w:cs="Times New Roman" w:eastAsia="Times New Roman" w:hAnsi="Times New Roman"/>
                <w:b/>
                <w:bCs/>
                <w:sz w:val="20"/>
                <w:szCs w:val="20"/>
              </w:rPr>
              <w:t>Count</w:t>
            </w:r>
          </w:p>
        </w:tc>
      </w:tr>
      <w:tr>
        <w:tc>
          <w:tcPr>
            <w:tcW w:type="dxa" w:w="20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Compute / Hosting</w:t>
            </w:r>
          </w:p>
        </w:tc>
        <w:tc>
          <w:tcPr>
            <w:tcW w:type="dxa" w:w="3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Vercel, Render</w:t>
            </w:r>
          </w:p>
        </w:tc>
        <w:tc>
          <w:tcPr>
            <w:tcW w:type="dxa" w:w="3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2</w:t>
            </w:r>
          </w:p>
        </w:tc>
      </w:tr>
      <w:tr>
        <w:tc>
          <w:tcPr>
            <w:tcW w:type="dxa" w:w="20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Database</w:t>
            </w:r>
          </w:p>
        </w:tc>
        <w:tc>
          <w:tcPr>
            <w:tcW w:type="dxa" w:w="3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Supabase PostgreSQL (pgvector)</w:t>
            </w:r>
          </w:p>
        </w:tc>
        <w:tc>
          <w:tcPr>
            <w:tcW w:type="dxa" w:w="3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1</w:t>
            </w:r>
          </w:p>
        </w:tc>
      </w:tr>
      <w:tr>
        <w:tc>
          <w:tcPr>
            <w:tcW w:type="dxa" w:w="20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Storage</w:t>
            </w:r>
          </w:p>
        </w:tc>
        <w:tc>
          <w:tcPr>
            <w:tcW w:type="dxa" w:w="3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Supabase Storage</w:t>
            </w:r>
          </w:p>
        </w:tc>
        <w:tc>
          <w:tcPr>
            <w:tcW w:type="dxa" w:w="3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1</w:t>
            </w:r>
          </w:p>
        </w:tc>
      </w:tr>
      <w:tr>
        <w:tc>
          <w:tcPr>
            <w:tcW w:type="dxa" w:w="20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AI</w:t>
            </w:r>
          </w:p>
        </w:tc>
        <w:tc>
          <w:tcPr>
            <w:tcW w:type="dxa" w:w="3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Groq Cloud API</w:t>
            </w:r>
          </w:p>
        </w:tc>
        <w:tc>
          <w:tcPr>
            <w:tcW w:type="dxa" w:w="3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1</w:t>
            </w:r>
          </w:p>
        </w:tc>
      </w:tr>
      <w:tr>
        <w:tc>
          <w:tcPr>
            <w:tcW w:type="dxa" w:w="20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DevOps</w:t>
            </w:r>
          </w:p>
        </w:tc>
        <w:tc>
          <w:tcPr>
            <w:tcW w:type="dxa" w:w="3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GitHub, GitHub Actions</w:t>
            </w:r>
          </w:p>
        </w:tc>
        <w:tc>
          <w:tcPr>
            <w:tcW w:type="dxa" w:w="3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1</w:t>
            </w:r>
          </w:p>
        </w:tc>
      </w:tr>
      <w:tr>
        <w:tc>
          <w:tcPr>
            <w:tcW w:type="dxa" w:w="20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Messaging</w:t>
            </w:r>
          </w:p>
        </w:tc>
        <w:tc>
          <w:tcPr>
            <w:tcW w:type="dxa" w:w="3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Gmail SMTP</w:t>
            </w:r>
          </w:p>
        </w:tc>
        <w:tc>
          <w:tcPr>
            <w:tcW w:type="dxa" w:w="3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1</w:t>
            </w:r>
          </w:p>
        </w:tc>
      </w:tr>
    </w:tbl>
    <w:p>
      <w:pPr>
        <w:pStyle w:val="Heading1"/>
        <w:spacing w:after="100" w:before="200" w:line="360"/>
      </w:pPr>
      <w:r>
        <w:rPr>
          <w:rFonts w:ascii="Times New Roman" w:cs="Times New Roman" w:eastAsia="Times New Roman" w:hAnsi="Times New Roman"/>
          <w:b/>
          <w:bCs/>
          <w:color w:val="1F4E79"/>
          <w:sz w:val="30"/>
          <w:szCs w:val="30"/>
        </w:rPr>
        <w:t>4. Selection and Justification of Cloud Service Provider</w:t>
      </w:r>
    </w:p>
    <w:p>
      <w:pPr>
        <w:pStyle w:val="Heading2"/>
        <w:spacing w:after="80" w:before="160" w:line="360"/>
      </w:pPr>
      <w:r>
        <w:rPr>
          <w:rFonts w:ascii="Times New Roman" w:cs="Times New Roman" w:eastAsia="Times New Roman" w:hAnsi="Times New Roman"/>
          <w:b/>
          <w:bCs/>
          <w:color w:val="1F4E79"/>
          <w:sz w:val="26"/>
          <w:szCs w:val="26"/>
        </w:rPr>
        <w:t>4.1 Providers Selected: Vercel + Render + Supabase</w:t>
      </w:r>
    </w:p>
    <w:p>
      <w:pPr>
        <w:spacing w:after="120" w:line="360"/>
        <w:jc w:val="both"/>
      </w:pPr>
      <w:r>
        <w:rPr>
          <w:rFonts w:ascii="Times New Roman" w:cs="Times New Roman" w:eastAsia="Times New Roman" w:hAnsi="Times New Roman"/>
          <w:sz w:val="24"/>
          <w:szCs w:val="24"/>
        </w:rPr>
        <w:t>Instead of putting everything on one large provider, LIFELINK uses three specialised platforms: Vercel for the frontend, Render for the backend and Supabase for the database and file storage. Each has a free tier, deploys straight from GitHub and needs no server administration.</w:t>
      </w:r>
    </w:p>
    <w:p>
      <w:pPr>
        <w:pStyle w:val="Heading2"/>
        <w:spacing w:after="80" w:before="160" w:line="360"/>
      </w:pPr>
      <w:r>
        <w:rPr>
          <w:rFonts w:ascii="Times New Roman" w:cs="Times New Roman" w:eastAsia="Times New Roman" w:hAnsi="Times New Roman"/>
          <w:b/>
          <w:bCs/>
          <w:color w:val="1F4E79"/>
          <w:sz w:val="26"/>
          <w:szCs w:val="26"/>
        </w:rPr>
        <w:t>4.2 Comparative Analysis</w:t>
      </w:r>
    </w:p>
    <w:tbl>
      <w:tblPr>
        <w:tblW w:type="dxa" w:w="9000"/>
        <w:tblBorders>
          <w:top w:val="single" w:color="AAAAAA" w:sz="4"/>
          <w:left w:val="single" w:color="AAAAAA" w:sz="4"/>
          <w:bottom w:val="single" w:color="AAAAAA" w:sz="4"/>
          <w:right w:val="single" w:color="AAAAAA" w:sz="4"/>
          <w:insideH w:val="single" w:color="CCCCCC" w:sz="2"/>
          <w:insideV w:val="single" w:color="CCCCCC" w:sz="2"/>
        </w:tblBorders>
      </w:tblPr>
      <w:tblGrid>
        <w:gridCol w:w="2000"/>
        <w:gridCol w:w="3600"/>
        <w:gridCol w:w="3400"/>
      </w:tblGrid>
      <w:tr>
        <w:trPr>
          <w:tblHeader/>
        </w:trPr>
        <w:tc>
          <w:tcPr>
            <w:tcW w:type="dxa" w:w="2000"/>
            <w:shd w:fill="1F4E79" w:val="clear"/>
            <w:tcMar>
              <w:top w:type="dxa" w:w="40"/>
              <w:left w:type="dxa" w:w="90"/>
              <w:bottom w:type="dxa" w:w="40"/>
              <w:right w:type="dxa" w:w="90"/>
            </w:tcMar>
            <w:vAlign w:val="center"/>
          </w:tcPr>
          <w:p>
            <w:pPr>
              <w:spacing w:line="240"/>
              <w:jc w:val="center"/>
            </w:pPr>
            <w:r>
              <w:rPr>
                <w:rFonts w:ascii="Times New Roman" w:cs="Times New Roman" w:eastAsia="Times New Roman" w:hAnsi="Times New Roman"/>
                <w:b/>
                <w:bCs/>
                <w:sz w:val="20"/>
                <w:szCs w:val="20"/>
              </w:rPr>
              <w:t>Criteria</w:t>
            </w:r>
          </w:p>
        </w:tc>
        <w:tc>
          <w:tcPr>
            <w:tcW w:type="dxa" w:w="3600"/>
            <w:shd w:fill="1F4E79" w:val="clear"/>
            <w:tcMar>
              <w:top w:type="dxa" w:w="40"/>
              <w:left w:type="dxa" w:w="90"/>
              <w:bottom w:type="dxa" w:w="40"/>
              <w:right w:type="dxa" w:w="90"/>
            </w:tcMar>
            <w:vAlign w:val="center"/>
          </w:tcPr>
          <w:p>
            <w:pPr>
              <w:spacing w:line="240"/>
              <w:jc w:val="center"/>
            </w:pPr>
            <w:r>
              <w:rPr>
                <w:rFonts w:ascii="Times New Roman" w:cs="Times New Roman" w:eastAsia="Times New Roman" w:hAnsi="Times New Roman"/>
                <w:b/>
                <w:bCs/>
                <w:sz w:val="20"/>
                <w:szCs w:val="20"/>
              </w:rPr>
              <w:t>Vercel + Render + Supabase</w:t>
            </w:r>
          </w:p>
        </w:tc>
        <w:tc>
          <w:tcPr>
            <w:tcW w:type="dxa" w:w="3400"/>
            <w:shd w:fill="1F4E79" w:val="clear"/>
            <w:tcMar>
              <w:top w:type="dxa" w:w="40"/>
              <w:left w:type="dxa" w:w="90"/>
              <w:bottom w:type="dxa" w:w="40"/>
              <w:right w:type="dxa" w:w="90"/>
            </w:tcMar>
            <w:vAlign w:val="center"/>
          </w:tcPr>
          <w:p>
            <w:pPr>
              <w:spacing w:line="240"/>
              <w:jc w:val="center"/>
            </w:pPr>
            <w:r>
              <w:rPr>
                <w:rFonts w:ascii="Times New Roman" w:cs="Times New Roman" w:eastAsia="Times New Roman" w:hAnsi="Times New Roman"/>
                <w:b/>
                <w:bCs/>
                <w:sz w:val="20"/>
                <w:szCs w:val="20"/>
              </w:rPr>
              <w:t>Single hyperscaler (IaaS)</w:t>
            </w:r>
          </w:p>
        </w:tc>
      </w:tr>
      <w:tr>
        <w:tc>
          <w:tcPr>
            <w:tcW w:type="dxa" w:w="20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Cost for this project</w:t>
            </w:r>
          </w:p>
        </w:tc>
        <w:tc>
          <w:tcPr>
            <w:tcW w:type="dxa" w:w="3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$0 per month on free tiers</w:t>
            </w:r>
          </w:p>
        </w:tc>
        <w:tc>
          <w:tcPr>
            <w:tcW w:type="dxa" w:w="3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Free tier is time-limited; NAT gateway, load balancer and managed DB are billed</w:t>
            </w:r>
          </w:p>
        </w:tc>
      </w:tr>
      <w:tr>
        <w:tc>
          <w:tcPr>
            <w:tcW w:type="dxa" w:w="20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Setup effort</w:t>
            </w:r>
          </w:p>
        </w:tc>
        <w:tc>
          <w:tcPr>
            <w:tcW w:type="dxa" w:w="3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Connect GitHub repo, set environment variables</w:t>
            </w:r>
          </w:p>
        </w:tc>
        <w:tc>
          <w:tcPr>
            <w:tcW w:type="dxa" w:w="3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Configure networks, subnets, security groups, IAM roles</w:t>
            </w:r>
          </w:p>
        </w:tc>
      </w:tr>
      <w:tr>
        <w:tc>
          <w:tcPr>
            <w:tcW w:type="dxa" w:w="20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PostgreSQL + pgvector</w:t>
            </w:r>
          </w:p>
        </w:tc>
        <w:tc>
          <w:tcPr>
            <w:tcW w:type="dxa" w:w="3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Built into Supabase, enabled with one SQL command</w:t>
            </w:r>
          </w:p>
        </w:tc>
        <w:tc>
          <w:tcPr>
            <w:tcW w:type="dxa" w:w="3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Available, but the instance must be provisioned and sized</w:t>
            </w:r>
          </w:p>
        </w:tc>
      </w:tr>
      <w:tr>
        <w:tc>
          <w:tcPr>
            <w:tcW w:type="dxa" w:w="20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File storage</w:t>
            </w:r>
          </w:p>
        </w:tc>
        <w:tc>
          <w:tcPr>
            <w:tcW w:type="dxa" w:w="3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S3-compatible API, works with the existing boto3 code</w:t>
            </w:r>
          </w:p>
        </w:tc>
        <w:tc>
          <w:tcPr>
            <w:tcW w:type="dxa" w:w="3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Native object storage</w:t>
            </w:r>
          </w:p>
        </w:tc>
      </w:tr>
      <w:tr>
        <w:tc>
          <w:tcPr>
            <w:tcW w:type="dxa" w:w="20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Deployment</w:t>
            </w:r>
          </w:p>
        </w:tc>
        <w:tc>
          <w:tcPr>
            <w:tcW w:type="dxa" w:w="3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Automatic on every push to main</w:t>
            </w:r>
          </w:p>
        </w:tc>
        <w:tc>
          <w:tcPr>
            <w:tcW w:type="dxa" w:w="3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Needs a custom CI/CD pipeline</w:t>
            </w:r>
          </w:p>
        </w:tc>
      </w:tr>
      <w:tr>
        <w:tc>
          <w:tcPr>
            <w:tcW w:type="dxa" w:w="20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Limits</w:t>
            </w:r>
          </w:p>
        </w:tc>
        <w:tc>
          <w:tcPr>
            <w:tcW w:type="dxa" w:w="3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Free backend sleeps after 15 min idle; 512 MB RAM</w:t>
            </w:r>
          </w:p>
        </w:tc>
        <w:tc>
          <w:tcPr>
            <w:tcW w:type="dxa" w:w="3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Few limits, but you pay for them</w:t>
            </w:r>
          </w:p>
        </w:tc>
      </w:tr>
    </w:tbl>
    <w:p>
      <w:pPr>
        <w:pStyle w:val="Heading2"/>
        <w:spacing w:after="80" w:before="160" w:line="360"/>
      </w:pPr>
      <w:r>
        <w:rPr>
          <w:rFonts w:ascii="Times New Roman" w:cs="Times New Roman" w:eastAsia="Times New Roman" w:hAnsi="Times New Roman"/>
          <w:b/>
          <w:bCs/>
          <w:color w:val="1F4E79"/>
          <w:sz w:val="26"/>
          <w:szCs w:val="26"/>
        </w:rPr>
        <w:t>4.3 Justification</w:t>
      </w:r>
    </w:p>
    <w:p>
      <w:pPr>
        <w:pStyle w:val="ListParagraph"/>
        <w:numPr>
          <w:ilvl w:val="0"/>
          <w:numId w:val="1"/>
        </w:numPr>
        <w:spacing w:after="60" w:line="360"/>
        <w:jc w:val="both"/>
      </w:pPr>
      <w:r>
        <w:rPr>
          <w:rFonts w:ascii="Times New Roman" w:cs="Times New Roman" w:eastAsia="Times New Roman" w:hAnsi="Times New Roman"/>
          <w:b/>
          <w:sz w:val="24"/>
          <w:szCs w:val="24"/>
        </w:rPr>
        <w:t>1. Zero cost:</w:t>
      </w:r>
      <w:r>
        <w:rPr>
          <w:rFonts w:ascii="Times New Roman" w:cs="Times New Roman" w:eastAsia="Times New Roman" w:hAnsi="Times New Roman"/>
          <w:b w:val="0"/>
          <w:sz w:val="24"/>
          <w:szCs w:val="24"/>
        </w:rPr>
        <w:t xml:space="preserve"> A student project has no budget. All three platforms run LIFELINK at no cost.</w:t>
      </w:r>
    </w:p>
    <w:p>
      <w:pPr>
        <w:pStyle w:val="ListParagraph"/>
        <w:numPr>
          <w:ilvl w:val="0"/>
          <w:numId w:val="1"/>
        </w:numPr>
        <w:spacing w:after="60" w:line="360"/>
        <w:jc w:val="both"/>
      </w:pPr>
      <w:r>
        <w:rPr>
          <w:rFonts w:ascii="Times New Roman" w:cs="Times New Roman" w:eastAsia="Times New Roman" w:hAnsi="Times New Roman"/>
          <w:b/>
          <w:sz w:val="24"/>
          <w:szCs w:val="24"/>
        </w:rPr>
        <w:t>2. Fits the existing code:</w:t>
      </w:r>
      <w:r>
        <w:rPr>
          <w:rFonts w:ascii="Times New Roman" w:cs="Times New Roman" w:eastAsia="Times New Roman" w:hAnsi="Times New Roman"/>
          <w:b w:val="0"/>
          <w:sz w:val="24"/>
          <w:szCs w:val="24"/>
        </w:rPr>
        <w:t xml:space="preserve"> The backend already had a Dockerfile, so Render builds and runs it unchanged. Supabase Storage speaks the S3 API, so the boto3 storage code that used MinIO locally needed only a new endpoint URL and keys.</w:t>
      </w:r>
    </w:p>
    <w:p>
      <w:pPr>
        <w:pStyle w:val="ListParagraph"/>
        <w:numPr>
          <w:ilvl w:val="0"/>
          <w:numId w:val="1"/>
        </w:numPr>
        <w:spacing w:after="60" w:line="360"/>
        <w:jc w:val="both"/>
      </w:pPr>
      <w:r>
        <w:rPr>
          <w:rFonts w:ascii="Times New Roman" w:cs="Times New Roman" w:eastAsia="Times New Roman" w:hAnsi="Times New Roman"/>
          <w:b/>
          <w:sz w:val="24"/>
          <w:szCs w:val="24"/>
        </w:rPr>
        <w:t>3. pgvector support:</w:t>
      </w:r>
      <w:r>
        <w:rPr>
          <w:rFonts w:ascii="Times New Roman" w:cs="Times New Roman" w:eastAsia="Times New Roman" w:hAnsi="Times New Roman"/>
          <w:b w:val="0"/>
          <w:sz w:val="24"/>
          <w:szCs w:val="24"/>
        </w:rPr>
        <w:t xml:space="preserve"> The AI assistant stores document embeddings in a vector column. Supabase ships PostgreSQL with pgvector, so no separate vector database is needed.</w:t>
      </w:r>
    </w:p>
    <w:p>
      <w:pPr>
        <w:pStyle w:val="ListParagraph"/>
        <w:numPr>
          <w:ilvl w:val="0"/>
          <w:numId w:val="1"/>
        </w:numPr>
        <w:spacing w:after="60" w:line="360"/>
        <w:jc w:val="both"/>
      </w:pPr>
      <w:r>
        <w:rPr>
          <w:rFonts w:ascii="Times New Roman" w:cs="Times New Roman" w:eastAsia="Times New Roman" w:hAnsi="Times New Roman"/>
          <w:b/>
          <w:sz w:val="24"/>
          <w:szCs w:val="24"/>
        </w:rPr>
        <w:t>4. Fully managed:</w:t>
      </w:r>
      <w:r>
        <w:rPr>
          <w:rFonts w:ascii="Times New Roman" w:cs="Times New Roman" w:eastAsia="Times New Roman" w:hAnsi="Times New Roman"/>
          <w:b w:val="0"/>
          <w:sz w:val="24"/>
          <w:szCs w:val="24"/>
        </w:rPr>
        <w:t xml:space="preserve"> Patching, TLS certificates, backups of the platform and server restarts are handled by the providers.</w:t>
      </w:r>
    </w:p>
    <w:p>
      <w:pPr>
        <w:pStyle w:val="ListParagraph"/>
        <w:numPr>
          <w:ilvl w:val="0"/>
          <w:numId w:val="1"/>
        </w:numPr>
        <w:spacing w:after="60" w:line="360"/>
        <w:jc w:val="both"/>
      </w:pPr>
      <w:r>
        <w:rPr>
          <w:rFonts w:ascii="Times New Roman" w:cs="Times New Roman" w:eastAsia="Times New Roman" w:hAnsi="Times New Roman"/>
          <w:b/>
          <w:sz w:val="24"/>
          <w:szCs w:val="24"/>
        </w:rPr>
        <w:t>5. Git-based deployment:</w:t>
      </w:r>
      <w:r>
        <w:rPr>
          <w:rFonts w:ascii="Times New Roman" w:cs="Times New Roman" w:eastAsia="Times New Roman" w:hAnsi="Times New Roman"/>
          <w:b w:val="0"/>
          <w:sz w:val="24"/>
          <w:szCs w:val="24"/>
        </w:rPr>
        <w:t xml:space="preserve"> Pushing to the main branch on GitHub redeploys the frontend on Vercel and the backend on Render automatically.</w:t>
      </w:r>
    </w:p>
    <w:p>
      <w:pPr>
        <w:pStyle w:val="ListParagraph"/>
        <w:numPr>
          <w:ilvl w:val="0"/>
          <w:numId w:val="1"/>
        </w:numPr>
        <w:spacing w:after="60" w:line="360"/>
        <w:jc w:val="both"/>
      </w:pPr>
      <w:r>
        <w:rPr>
          <w:rFonts w:ascii="Times New Roman" w:cs="Times New Roman" w:eastAsia="Times New Roman" w:hAnsi="Times New Roman"/>
          <w:b/>
          <w:sz w:val="24"/>
          <w:szCs w:val="24"/>
        </w:rPr>
        <w:t>6. Region:</w:t>
      </w:r>
      <w:r>
        <w:rPr>
          <w:rFonts w:ascii="Times New Roman" w:cs="Times New Roman" w:eastAsia="Times New Roman" w:hAnsi="Times New Roman"/>
          <w:b w:val="0"/>
          <w:sz w:val="24"/>
          <w:szCs w:val="24"/>
        </w:rPr>
        <w:t xml:space="preserve"> Render's Singapore region is the closest free region to India, keeping API latency low for Indian users.</w:t>
      </w:r>
    </w:p>
    <w:p>
      <w:pPr>
        <w:pStyle w:val="Heading1"/>
        <w:spacing w:after="100" w:before="200" w:line="360"/>
      </w:pPr>
      <w:r>
        <w:rPr>
          <w:rFonts w:ascii="Times New Roman" w:cs="Times New Roman" w:eastAsia="Times New Roman" w:hAnsi="Times New Roman"/>
          <w:b/>
          <w:bCs/>
          <w:color w:val="1F4E79"/>
          <w:sz w:val="30"/>
          <w:szCs w:val="30"/>
        </w:rPr>
        <w:t>5. Description of Selected Cloud Services and Features</w:t>
      </w:r>
    </w:p>
    <w:p>
      <w:pPr>
        <w:pStyle w:val="Heading2"/>
        <w:spacing w:after="80" w:before="160" w:line="360"/>
      </w:pPr>
      <w:r>
        <w:rPr>
          <w:rFonts w:ascii="Times New Roman" w:cs="Times New Roman" w:eastAsia="Times New Roman" w:hAnsi="Times New Roman"/>
          <w:b/>
          <w:bCs/>
          <w:color w:val="1F4E79"/>
          <w:sz w:val="26"/>
          <w:szCs w:val="26"/>
        </w:rPr>
        <w:t>5.1 Vercel</w:t>
      </w:r>
    </w:p>
    <w:p>
      <w:pPr>
        <w:spacing w:after="120" w:line="360"/>
        <w:jc w:val="both"/>
      </w:pPr>
      <w:r>
        <w:rPr>
          <w:rFonts w:ascii="Times New Roman" w:cs="Times New Roman" w:eastAsia="Times New Roman" w:hAnsi="Times New Roman"/>
          <w:sz w:val="24"/>
          <w:szCs w:val="24"/>
        </w:rPr>
        <w:t>Vercel is a frontend cloud platform that builds static and single-page apps and serves them from a global edge network.</w:t>
      </w:r>
    </w:p>
    <w:p>
      <w:pPr>
        <w:spacing w:after="120" w:line="360"/>
        <w:jc w:val="both"/>
      </w:pPr>
      <w:r>
        <w:rPr>
          <w:rFonts w:ascii="Times New Roman" w:cs="Times New Roman" w:eastAsia="Times New Roman" w:hAnsi="Times New Roman"/>
          <w:sz w:val="24"/>
          <w:szCs w:val="24"/>
        </w:rPr>
        <w:t>Features used: Vite build on every push, global CDN caching, automatic HTTPS certificates, SPA rewrite rule (vercel.json) so deep links such as /dashboard load correctly, and build-time environment variable VITE_API_BASE_URL pointing to the backend.</w:t>
      </w:r>
    </w:p>
    <w:p>
      <w:pPr>
        <w:pStyle w:val="Heading2"/>
        <w:spacing w:after="80" w:before="160" w:line="360"/>
      </w:pPr>
      <w:r>
        <w:rPr>
          <w:rFonts w:ascii="Times New Roman" w:cs="Times New Roman" w:eastAsia="Times New Roman" w:hAnsi="Times New Roman"/>
          <w:b/>
          <w:bCs/>
          <w:color w:val="1F4E79"/>
          <w:sz w:val="26"/>
          <w:szCs w:val="26"/>
        </w:rPr>
        <w:t>5.2 Render Web Service</w:t>
      </w:r>
    </w:p>
    <w:p>
      <w:pPr>
        <w:spacing w:after="120" w:line="360"/>
        <w:jc w:val="both"/>
      </w:pPr>
      <w:r>
        <w:rPr>
          <w:rFonts w:ascii="Times New Roman" w:cs="Times New Roman" w:eastAsia="Times New Roman" w:hAnsi="Times New Roman"/>
          <w:sz w:val="24"/>
          <w:szCs w:val="24"/>
        </w:rPr>
        <w:t>Render is a Platform-as-a-Service that builds a Docker image from the repository and runs it as a managed web service.</w:t>
      </w:r>
    </w:p>
    <w:p>
      <w:pPr>
        <w:spacing w:after="120" w:line="360"/>
        <w:jc w:val="both"/>
      </w:pPr>
      <w:r>
        <w:rPr>
          <w:rFonts w:ascii="Times New Roman" w:cs="Times New Roman" w:eastAsia="Times New Roman" w:hAnsi="Times New Roman"/>
          <w:sz w:val="24"/>
          <w:szCs w:val="24"/>
        </w:rPr>
        <w:t>Features used: Docker runtime from backend/Dockerfile, infrastructure defined in render.yaml (Blueprint), health check on /api/v1/health with automatic restart, secrets stored as environment variables, auto-deploy from GitHub, and database migrations (alembic upgrade head) run on every start.</w:t>
      </w:r>
    </w:p>
    <w:p>
      <w:pPr>
        <w:pStyle w:val="Heading2"/>
        <w:spacing w:after="80" w:before="160" w:line="360"/>
      </w:pPr>
      <w:r>
        <w:rPr>
          <w:rFonts w:ascii="Times New Roman" w:cs="Times New Roman" w:eastAsia="Times New Roman" w:hAnsi="Times New Roman"/>
          <w:b/>
          <w:bCs/>
          <w:color w:val="1F4E79"/>
          <w:sz w:val="26"/>
          <w:szCs w:val="26"/>
        </w:rPr>
        <w:t>5.3 Supabase PostgreSQL</w:t>
      </w:r>
    </w:p>
    <w:p>
      <w:pPr>
        <w:spacing w:after="120" w:line="360"/>
        <w:jc w:val="both"/>
      </w:pPr>
      <w:r>
        <w:rPr>
          <w:rFonts w:ascii="Times New Roman" w:cs="Times New Roman" w:eastAsia="Times New Roman" w:hAnsi="Times New Roman"/>
          <w:sz w:val="24"/>
          <w:szCs w:val="24"/>
        </w:rPr>
        <w:t>Supabase provides a managed PostgreSQL 17 database with extensions.</w:t>
      </w:r>
    </w:p>
    <w:p>
      <w:pPr>
        <w:spacing w:after="120" w:line="360"/>
        <w:jc w:val="both"/>
      </w:pPr>
      <w:r>
        <w:rPr>
          <w:rFonts w:ascii="Times New Roman" w:cs="Times New Roman" w:eastAsia="Times New Roman" w:hAnsi="Times New Roman"/>
          <w:sz w:val="24"/>
          <w:szCs w:val="24"/>
        </w:rPr>
        <w:t>Features used: pgvector extension for the document_embeddings table, connection pooler for the async SQLAlchemy (asyncpg) driver, TLS on all connections, and the dashboard SQL editor for inspection. It stores users, profiles, document metadata, health events, risk assessments, reminders, family profiles and chat history.</w:t>
      </w:r>
    </w:p>
    <w:p>
      <w:pPr>
        <w:pStyle w:val="Heading2"/>
        <w:spacing w:after="80" w:before="160" w:line="360"/>
      </w:pPr>
      <w:r>
        <w:rPr>
          <w:rFonts w:ascii="Times New Roman" w:cs="Times New Roman" w:eastAsia="Times New Roman" w:hAnsi="Times New Roman"/>
          <w:b/>
          <w:bCs/>
          <w:color w:val="1F4E79"/>
          <w:sz w:val="26"/>
          <w:szCs w:val="26"/>
        </w:rPr>
        <w:t>5.4 Supabase Storage</w:t>
      </w:r>
    </w:p>
    <w:p>
      <w:pPr>
        <w:spacing w:after="120" w:line="360"/>
        <w:jc w:val="both"/>
      </w:pPr>
      <w:r>
        <w:rPr>
          <w:rFonts w:ascii="Times New Roman" w:cs="Times New Roman" w:eastAsia="Times New Roman" w:hAnsi="Times New Roman"/>
          <w:sz w:val="24"/>
          <w:szCs w:val="24"/>
        </w:rPr>
        <w:t>Supabase Storage is object storage with an S3-compatible API.</w:t>
      </w:r>
    </w:p>
    <w:p>
      <w:pPr>
        <w:spacing w:after="120" w:line="360"/>
        <w:jc w:val="both"/>
      </w:pPr>
      <w:r>
        <w:rPr>
          <w:rFonts w:ascii="Times New Roman" w:cs="Times New Roman" w:eastAsia="Times New Roman" w:hAnsi="Times New Roman"/>
          <w:sz w:val="24"/>
          <w:szCs w:val="24"/>
        </w:rPr>
        <w:t>Features used: private bucket lifelink-documents, per-patient key structure (patients/{id}/{year}/{month}/file), access through boto3 with S3 access keys, and time-limited pre-signed URLs for downloads so files are never public.</w:t>
      </w:r>
    </w:p>
    <w:p>
      <w:pPr>
        <w:pStyle w:val="Heading2"/>
        <w:spacing w:after="80" w:before="160" w:line="360"/>
      </w:pPr>
      <w:r>
        <w:rPr>
          <w:rFonts w:ascii="Times New Roman" w:cs="Times New Roman" w:eastAsia="Times New Roman" w:hAnsi="Times New Roman"/>
          <w:b/>
          <w:bCs/>
          <w:color w:val="1F4E79"/>
          <w:sz w:val="26"/>
          <w:szCs w:val="26"/>
        </w:rPr>
        <w:t>5.5 Groq Cloud API</w:t>
      </w:r>
    </w:p>
    <w:p>
      <w:pPr>
        <w:spacing w:after="120" w:line="360"/>
        <w:jc w:val="both"/>
      </w:pPr>
      <w:r>
        <w:rPr>
          <w:rFonts w:ascii="Times New Roman" w:cs="Times New Roman" w:eastAsia="Times New Roman" w:hAnsi="Times New Roman"/>
          <w:sz w:val="24"/>
          <w:szCs w:val="24"/>
        </w:rPr>
        <w:t>Groq offers hosted large language models through an OpenAI-compatible API.</w:t>
      </w:r>
    </w:p>
    <w:p>
      <w:pPr>
        <w:spacing w:after="120" w:line="360"/>
        <w:jc w:val="both"/>
      </w:pPr>
      <w:r>
        <w:rPr>
          <w:rFonts w:ascii="Times New Roman" w:cs="Times New Roman" w:eastAsia="Times New Roman" w:hAnsi="Times New Roman"/>
          <w:sz w:val="24"/>
          <w:szCs w:val="24"/>
        </w:rPr>
        <w:t>Features used: Qwen model for structured JSON extraction (medications, diagnoses, lab values) and the AI assistant, with automatic rotation across several API keys and fallback to other models when a rate limit is hit. Processing runs as a background task so uploads return in a few seconds.</w:t>
      </w:r>
    </w:p>
    <w:p>
      <w:pPr>
        <w:pStyle w:val="Heading2"/>
        <w:spacing w:after="80" w:before="160" w:line="360"/>
      </w:pPr>
      <w:r>
        <w:rPr>
          <w:rFonts w:ascii="Times New Roman" w:cs="Times New Roman" w:eastAsia="Times New Roman" w:hAnsi="Times New Roman"/>
          <w:b/>
          <w:bCs/>
          <w:color w:val="1F4E79"/>
          <w:sz w:val="26"/>
          <w:szCs w:val="26"/>
        </w:rPr>
        <w:t>5.6 GitHub Actions</w:t>
      </w:r>
    </w:p>
    <w:p>
      <w:pPr>
        <w:spacing w:after="120" w:line="360"/>
        <w:jc w:val="both"/>
      </w:pPr>
      <w:r>
        <w:rPr>
          <w:rFonts w:ascii="Times New Roman" w:cs="Times New Roman" w:eastAsia="Times New Roman" w:hAnsi="Times New Roman"/>
          <w:sz w:val="24"/>
          <w:szCs w:val="24"/>
        </w:rPr>
        <w:t>GitHub Actions is GitHub's hosted CI/CD service.</w:t>
      </w:r>
    </w:p>
    <w:p>
      <w:pPr>
        <w:spacing w:after="120" w:line="360"/>
        <w:jc w:val="both"/>
      </w:pPr>
      <w:r>
        <w:rPr>
          <w:rFonts w:ascii="Times New Roman" w:cs="Times New Roman" w:eastAsia="Times New Roman" w:hAnsi="Times New Roman"/>
          <w:sz w:val="24"/>
          <w:szCs w:val="24"/>
        </w:rPr>
        <w:t>Features used: on every push it runs backend lint (ruff, black) and tests and the frontend lint and build. Vercel and Render watch the same branch and redeploy when it changes.</w:t>
      </w:r>
    </w:p>
    <w:p>
      <w:pPr>
        <w:pStyle w:val="Heading1"/>
        <w:spacing w:after="100" w:before="200" w:line="360"/>
      </w:pPr>
      <w:r>
        <w:rPr>
          <w:rFonts w:ascii="Times New Roman" w:cs="Times New Roman" w:eastAsia="Times New Roman" w:hAnsi="Times New Roman"/>
          <w:b/>
          <w:bCs/>
          <w:color w:val="1F4E79"/>
          <w:sz w:val="30"/>
          <w:szCs w:val="30"/>
        </w:rPr>
        <w:t>6. Proposed Cloud Architecture</w:t>
      </w:r>
    </w:p>
    <w:p>
      <w:pPr>
        <w:pStyle w:val="Heading2"/>
        <w:spacing w:after="80" w:before="160" w:line="360"/>
      </w:pPr>
      <w:r>
        <w:rPr>
          <w:rFonts w:ascii="Times New Roman" w:cs="Times New Roman" w:eastAsia="Times New Roman" w:hAnsi="Times New Roman"/>
          <w:b/>
          <w:bCs/>
          <w:color w:val="1F4E79"/>
          <w:sz w:val="26"/>
          <w:szCs w:val="26"/>
        </w:rPr>
        <w:t>6.1 How a Request Flows Through the System</w:t>
      </w:r>
    </w:p>
    <w:p>
      <w:pPr>
        <w:spacing w:after="120" w:line="360"/>
        <w:jc w:val="both"/>
      </w:pPr>
      <w:r>
        <w:rPr>
          <w:rFonts w:ascii="Times New Roman" w:cs="Times New Roman" w:eastAsia="Times New Roman" w:hAnsi="Times New Roman"/>
          <w:sz w:val="24"/>
          <w:szCs w:val="24"/>
        </w:rPr>
        <w:t>A user opens https://project-lifelink-1.vercel.app. Vercel serves the React app from its nearest edge location. The app then calls the backend API at https://lifelink-backend-tunc.onrender.com over HTTPS, sending a JWT token with every request.</w:t>
      </w:r>
    </w:p>
    <w:p>
      <w:pPr>
        <w:spacing w:after="120" w:line="360"/>
        <w:jc w:val="both"/>
      </w:pPr>
      <w:r>
        <w:rPr>
          <w:rFonts w:ascii="Times New Roman" w:cs="Times New Roman" w:eastAsia="Times New Roman" w:hAnsi="Times New Roman"/>
          <w:sz w:val="24"/>
          <w:szCs w:val="24"/>
        </w:rPr>
        <w:t>The FastAPI backend on Render checks the token and the user's role, then uses Supabase PostgreSQL for structured data and Supabase Storage for files. When a document is uploaded, the file is saved and the API responds straight away; text extraction and the Groq AI call run in the background and the document status changes from pending to completed.</w:t>
      </w:r>
    </w:p>
    <w:p>
      <w:pPr>
        <w:spacing w:after="120" w:line="360"/>
        <w:jc w:val="both"/>
      </w:pPr>
      <w:r>
        <w:rPr>
          <w:rFonts w:ascii="Times New Roman" w:cs="Times New Roman" w:eastAsia="Times New Roman" w:hAnsi="Times New Roman"/>
          <w:sz w:val="24"/>
          <w:szCs w:val="24"/>
        </w:rPr>
        <w:t>For deployment, a push to GitHub triggers GitHub Actions checks, and Vercel and Render rebuild and redeploy their parts automatically. The full diagram is shown in Fig. 1 (Section 9.2).</w:t>
      </w:r>
    </w:p>
    <w:p>
      <w:pPr>
        <w:pStyle w:val="Heading2"/>
        <w:spacing w:after="80" w:before="160" w:line="360"/>
      </w:pPr>
      <w:r>
        <w:rPr>
          <w:rFonts w:ascii="Times New Roman" w:cs="Times New Roman" w:eastAsia="Times New Roman" w:hAnsi="Times New Roman"/>
          <w:b/>
          <w:bCs/>
          <w:color w:val="1F4E79"/>
          <w:sz w:val="26"/>
          <w:szCs w:val="26"/>
        </w:rPr>
        <w:t>6.2 Layered View</w:t>
      </w:r>
    </w:p>
    <w:tbl>
      <w:tblPr>
        <w:tblW w:type="dxa" w:w="9000"/>
        <w:tblBorders>
          <w:top w:val="single" w:color="AAAAAA" w:sz="4"/>
          <w:left w:val="single" w:color="AAAAAA" w:sz="4"/>
          <w:bottom w:val="single" w:color="AAAAAA" w:sz="4"/>
          <w:right w:val="single" w:color="AAAAAA" w:sz="4"/>
          <w:insideH w:val="single" w:color="CCCCCC" w:sz="2"/>
          <w:insideV w:val="single" w:color="CCCCCC" w:sz="2"/>
        </w:tblBorders>
      </w:tblPr>
      <w:tblGrid>
        <w:gridCol w:w="2000"/>
        <w:gridCol w:w="3600"/>
        <w:gridCol w:w="3400"/>
      </w:tblGrid>
      <w:tr>
        <w:trPr>
          <w:tblHeader/>
        </w:trPr>
        <w:tc>
          <w:tcPr>
            <w:tcW w:type="dxa" w:w="2000"/>
            <w:shd w:fill="1F4E79" w:val="clear"/>
            <w:tcMar>
              <w:top w:type="dxa" w:w="40"/>
              <w:left w:type="dxa" w:w="90"/>
              <w:bottom w:type="dxa" w:w="40"/>
              <w:right w:type="dxa" w:w="90"/>
            </w:tcMar>
            <w:vAlign w:val="center"/>
          </w:tcPr>
          <w:p>
            <w:pPr>
              <w:spacing w:line="240"/>
              <w:jc w:val="center"/>
            </w:pPr>
            <w:r>
              <w:rPr>
                <w:rFonts w:ascii="Times New Roman" w:cs="Times New Roman" w:eastAsia="Times New Roman" w:hAnsi="Times New Roman"/>
                <w:b/>
                <w:bCs/>
                <w:sz w:val="20"/>
                <w:szCs w:val="20"/>
              </w:rPr>
              <w:t>Layer</w:t>
            </w:r>
          </w:p>
        </w:tc>
        <w:tc>
          <w:tcPr>
            <w:tcW w:type="dxa" w:w="3600"/>
            <w:shd w:fill="1F4E79" w:val="clear"/>
            <w:tcMar>
              <w:top w:type="dxa" w:w="40"/>
              <w:left w:type="dxa" w:w="90"/>
              <w:bottom w:type="dxa" w:w="40"/>
              <w:right w:type="dxa" w:w="90"/>
            </w:tcMar>
            <w:vAlign w:val="center"/>
          </w:tcPr>
          <w:p>
            <w:pPr>
              <w:spacing w:line="240"/>
              <w:jc w:val="center"/>
            </w:pPr>
            <w:r>
              <w:rPr>
                <w:rFonts w:ascii="Times New Roman" w:cs="Times New Roman" w:eastAsia="Times New Roman" w:hAnsi="Times New Roman"/>
                <w:b/>
                <w:bCs/>
                <w:sz w:val="20"/>
                <w:szCs w:val="20"/>
              </w:rPr>
              <w:t>Service</w:t>
            </w:r>
          </w:p>
        </w:tc>
        <w:tc>
          <w:tcPr>
            <w:tcW w:type="dxa" w:w="3400"/>
            <w:shd w:fill="1F4E79" w:val="clear"/>
            <w:tcMar>
              <w:top w:type="dxa" w:w="40"/>
              <w:left w:type="dxa" w:w="90"/>
              <w:bottom w:type="dxa" w:w="40"/>
              <w:right w:type="dxa" w:w="90"/>
            </w:tcMar>
            <w:vAlign w:val="center"/>
          </w:tcPr>
          <w:p>
            <w:pPr>
              <w:spacing w:line="240"/>
              <w:jc w:val="center"/>
            </w:pPr>
            <w:r>
              <w:rPr>
                <w:rFonts w:ascii="Times New Roman" w:cs="Times New Roman" w:eastAsia="Times New Roman" w:hAnsi="Times New Roman"/>
                <w:b/>
                <w:bCs/>
                <w:sz w:val="20"/>
                <w:szCs w:val="20"/>
              </w:rPr>
              <w:t>Responsibility</w:t>
            </w:r>
          </w:p>
        </w:tc>
      </w:tr>
      <w:tr>
        <w:tc>
          <w:tcPr>
            <w:tcW w:type="dxa" w:w="20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Presentation</w:t>
            </w:r>
          </w:p>
        </w:tc>
        <w:tc>
          <w:tcPr>
            <w:tcW w:type="dxa" w:w="3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Vercel</w:t>
            </w:r>
          </w:p>
        </w:tc>
        <w:tc>
          <w:tcPr>
            <w:tcW w:type="dxa" w:w="3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React SPA, CDN, HTTPS</w:t>
            </w:r>
          </w:p>
        </w:tc>
      </w:tr>
      <w:tr>
        <w:tc>
          <w:tcPr>
            <w:tcW w:type="dxa" w:w="20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Application</w:t>
            </w:r>
          </w:p>
        </w:tc>
        <w:tc>
          <w:tcPr>
            <w:tcW w:type="dxa" w:w="3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Render (FastAPI in Docker)</w:t>
            </w:r>
          </w:p>
        </w:tc>
        <w:tc>
          <w:tcPr>
            <w:tcW w:type="dxa" w:w="3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REST API, auth, ML risk models, AI orchestration, scheduler</w:t>
            </w:r>
          </w:p>
        </w:tc>
      </w:tr>
      <w:tr>
        <w:tc>
          <w:tcPr>
            <w:tcW w:type="dxa" w:w="20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Data</w:t>
            </w:r>
          </w:p>
        </w:tc>
        <w:tc>
          <w:tcPr>
            <w:tcW w:type="dxa" w:w="3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Supabase PostgreSQL + pgvector</w:t>
            </w:r>
          </w:p>
        </w:tc>
        <w:tc>
          <w:tcPr>
            <w:tcW w:type="dxa" w:w="3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Structured data, embeddings</w:t>
            </w:r>
          </w:p>
        </w:tc>
      </w:tr>
      <w:tr>
        <w:tc>
          <w:tcPr>
            <w:tcW w:type="dxa" w:w="20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Storage</w:t>
            </w:r>
          </w:p>
        </w:tc>
        <w:tc>
          <w:tcPr>
            <w:tcW w:type="dxa" w:w="3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Supabase Storage</w:t>
            </w:r>
          </w:p>
        </w:tc>
        <w:tc>
          <w:tcPr>
            <w:tcW w:type="dxa" w:w="3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Uploaded medical documents</w:t>
            </w:r>
          </w:p>
        </w:tc>
      </w:tr>
      <w:tr>
        <w:tc>
          <w:tcPr>
            <w:tcW w:type="dxa" w:w="20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AI</w:t>
            </w:r>
          </w:p>
        </w:tc>
        <w:tc>
          <w:tcPr>
            <w:tcW w:type="dxa" w:w="3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Groq Cloud API</w:t>
            </w:r>
          </w:p>
        </w:tc>
        <w:tc>
          <w:tcPr>
            <w:tcW w:type="dxa" w:w="3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LLM extraction and assistant replies</w:t>
            </w:r>
          </w:p>
        </w:tc>
      </w:tr>
      <w:tr>
        <w:tc>
          <w:tcPr>
            <w:tcW w:type="dxa" w:w="20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DevOps</w:t>
            </w:r>
          </w:p>
        </w:tc>
        <w:tc>
          <w:tcPr>
            <w:tcW w:type="dxa" w:w="3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GitHub + GitHub Actions</w:t>
            </w:r>
          </w:p>
        </w:tc>
        <w:tc>
          <w:tcPr>
            <w:tcW w:type="dxa" w:w="3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Version control, CI, deploy</w:t>
            </w:r>
          </w:p>
        </w:tc>
      </w:tr>
    </w:tbl>
    <w:p>
      <w:pPr>
        <w:pStyle w:val="Heading1"/>
        <w:spacing w:after="100" w:before="200" w:line="360"/>
      </w:pPr>
      <w:r>
        <w:rPr>
          <w:rFonts w:ascii="Times New Roman" w:cs="Times New Roman" w:eastAsia="Times New Roman" w:hAnsi="Times New Roman"/>
          <w:b/>
          <w:bCs/>
          <w:color w:val="1F4E79"/>
          <w:sz w:val="30"/>
          <w:szCs w:val="30"/>
        </w:rPr>
        <w:t>7. Security Considerations</w:t>
      </w:r>
    </w:p>
    <w:p>
      <w:pPr>
        <w:pStyle w:val="Heading2"/>
        <w:spacing w:after="80" w:before="160" w:line="360"/>
      </w:pPr>
      <w:r>
        <w:rPr>
          <w:rFonts w:ascii="Times New Roman" w:cs="Times New Roman" w:eastAsia="Times New Roman" w:hAnsi="Times New Roman"/>
          <w:b/>
          <w:bCs/>
          <w:color w:val="1F4E79"/>
          <w:sz w:val="26"/>
          <w:szCs w:val="26"/>
        </w:rPr>
        <w:t>7.1 Authentication &amp; Authorization</w:t>
      </w:r>
    </w:p>
    <w:tbl>
      <w:tblPr>
        <w:tblW w:type="dxa" w:w="9000"/>
        <w:tblBorders>
          <w:top w:val="single" w:color="AAAAAA" w:sz="4"/>
          <w:left w:val="single" w:color="AAAAAA" w:sz="4"/>
          <w:bottom w:val="single" w:color="AAAAAA" w:sz="4"/>
          <w:right w:val="single" w:color="AAAAAA" w:sz="4"/>
          <w:insideH w:val="single" w:color="CCCCCC" w:sz="2"/>
          <w:insideV w:val="single" w:color="CCCCCC" w:sz="2"/>
        </w:tblBorders>
      </w:tblPr>
      <w:tblGrid>
        <w:gridCol w:w="2400"/>
        <w:gridCol w:w="6600"/>
      </w:tblGrid>
      <w:tr>
        <w:trPr>
          <w:tblHeader/>
        </w:trPr>
        <w:tc>
          <w:tcPr>
            <w:tcW w:type="dxa" w:w="2400"/>
            <w:shd w:fill="1F4E79" w:val="clear"/>
            <w:tcMar>
              <w:top w:type="dxa" w:w="40"/>
              <w:left w:type="dxa" w:w="90"/>
              <w:bottom w:type="dxa" w:w="40"/>
              <w:right w:type="dxa" w:w="90"/>
            </w:tcMar>
            <w:vAlign w:val="center"/>
          </w:tcPr>
          <w:p>
            <w:pPr>
              <w:spacing w:line="240"/>
              <w:jc w:val="center"/>
            </w:pPr>
            <w:r>
              <w:rPr>
                <w:rFonts w:ascii="Times New Roman" w:cs="Times New Roman" w:eastAsia="Times New Roman" w:hAnsi="Times New Roman"/>
                <w:b/>
                <w:bCs/>
                <w:sz w:val="20"/>
                <w:szCs w:val="20"/>
              </w:rPr>
              <w:t>Mechanism</w:t>
            </w:r>
          </w:p>
        </w:tc>
        <w:tc>
          <w:tcPr>
            <w:tcW w:type="dxa" w:w="6600"/>
            <w:shd w:fill="1F4E79" w:val="clear"/>
            <w:tcMar>
              <w:top w:type="dxa" w:w="40"/>
              <w:left w:type="dxa" w:w="90"/>
              <w:bottom w:type="dxa" w:w="40"/>
              <w:right w:type="dxa" w:w="90"/>
            </w:tcMar>
            <w:vAlign w:val="center"/>
          </w:tcPr>
          <w:p>
            <w:pPr>
              <w:spacing w:line="240"/>
              <w:jc w:val="center"/>
            </w:pPr>
            <w:r>
              <w:rPr>
                <w:rFonts w:ascii="Times New Roman" w:cs="Times New Roman" w:eastAsia="Times New Roman" w:hAnsi="Times New Roman"/>
                <w:b/>
                <w:bCs/>
                <w:sz w:val="20"/>
                <w:szCs w:val="20"/>
              </w:rPr>
              <w:t>Implementation</w:t>
            </w:r>
          </w:p>
        </w:tc>
      </w:tr>
      <w:tr>
        <w:tc>
          <w:tcPr>
            <w:tcW w:type="dxa" w:w="2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JWT tokens</w:t>
            </w:r>
          </w:p>
        </w:tc>
        <w:tc>
          <w:tcPr>
            <w:tcW w:type="dxa" w:w="6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Short-lived access token and longer-lived refresh token, signed with a secret generated by Render</w:t>
            </w:r>
          </w:p>
        </w:tc>
      </w:tr>
      <w:tr>
        <w:tc>
          <w:tcPr>
            <w:tcW w:type="dxa" w:w="2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Password hashing</w:t>
            </w:r>
          </w:p>
        </w:tc>
        <w:tc>
          <w:tcPr>
            <w:tcW w:type="dxa" w:w="6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bcrypt with 12 rounds</w:t>
            </w:r>
          </w:p>
        </w:tc>
      </w:tr>
      <w:tr>
        <w:tc>
          <w:tcPr>
            <w:tcW w:type="dxa" w:w="2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Role-based access</w:t>
            </w:r>
          </w:p>
        </w:tc>
        <w:tc>
          <w:tcPr>
            <w:tcW w:type="dxa" w:w="6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patient, doctor and admin roles enforced by a require_role() dependency on protected endpoints</w:t>
            </w:r>
          </w:p>
        </w:tc>
      </w:tr>
      <w:tr>
        <w:tc>
          <w:tcPr>
            <w:tcW w:type="dxa" w:w="2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Data isolation</w:t>
            </w:r>
          </w:p>
        </w:tc>
        <w:tc>
          <w:tcPr>
            <w:tcW w:type="dxa" w:w="6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Every query is filtered by the logged-in user's ID, so patients see only their own records</w:t>
            </w:r>
          </w:p>
        </w:tc>
      </w:tr>
    </w:tbl>
    <w:p>
      <w:pPr>
        <w:pStyle w:val="Heading2"/>
        <w:spacing w:after="80" w:before="160" w:line="360"/>
      </w:pPr>
      <w:r>
        <w:rPr>
          <w:rFonts w:ascii="Times New Roman" w:cs="Times New Roman" w:eastAsia="Times New Roman" w:hAnsi="Times New Roman"/>
          <w:b/>
          <w:bCs/>
          <w:color w:val="1F4E79"/>
          <w:sz w:val="26"/>
          <w:szCs w:val="26"/>
        </w:rPr>
        <w:t>7.2 Encryption</w:t>
      </w:r>
    </w:p>
    <w:tbl>
      <w:tblPr>
        <w:tblW w:type="dxa" w:w="9000"/>
        <w:tblBorders>
          <w:top w:val="single" w:color="AAAAAA" w:sz="4"/>
          <w:left w:val="single" w:color="AAAAAA" w:sz="4"/>
          <w:bottom w:val="single" w:color="AAAAAA" w:sz="4"/>
          <w:right w:val="single" w:color="AAAAAA" w:sz="4"/>
          <w:insideH w:val="single" w:color="CCCCCC" w:sz="2"/>
          <w:insideV w:val="single" w:color="CCCCCC" w:sz="2"/>
        </w:tblBorders>
      </w:tblPr>
      <w:tblGrid>
        <w:gridCol w:w="2400"/>
        <w:gridCol w:w="6600"/>
      </w:tblGrid>
      <w:tr>
        <w:trPr>
          <w:tblHeader/>
        </w:trPr>
        <w:tc>
          <w:tcPr>
            <w:tcW w:type="dxa" w:w="2400"/>
            <w:shd w:fill="1F4E79" w:val="clear"/>
            <w:tcMar>
              <w:top w:type="dxa" w:w="40"/>
              <w:left w:type="dxa" w:w="90"/>
              <w:bottom w:type="dxa" w:w="40"/>
              <w:right w:type="dxa" w:w="90"/>
            </w:tcMar>
            <w:vAlign w:val="center"/>
          </w:tcPr>
          <w:p>
            <w:pPr>
              <w:spacing w:line="240"/>
              <w:jc w:val="center"/>
            </w:pPr>
            <w:r>
              <w:rPr>
                <w:rFonts w:ascii="Times New Roman" w:cs="Times New Roman" w:eastAsia="Times New Roman" w:hAnsi="Times New Roman"/>
                <w:b/>
                <w:bCs/>
                <w:sz w:val="20"/>
                <w:szCs w:val="20"/>
              </w:rPr>
              <w:t>Layer</w:t>
            </w:r>
          </w:p>
        </w:tc>
        <w:tc>
          <w:tcPr>
            <w:tcW w:type="dxa" w:w="6600"/>
            <w:shd w:fill="1F4E79" w:val="clear"/>
            <w:tcMar>
              <w:top w:type="dxa" w:w="40"/>
              <w:left w:type="dxa" w:w="90"/>
              <w:bottom w:type="dxa" w:w="40"/>
              <w:right w:type="dxa" w:w="90"/>
            </w:tcMar>
            <w:vAlign w:val="center"/>
          </w:tcPr>
          <w:p>
            <w:pPr>
              <w:spacing w:line="240"/>
              <w:jc w:val="center"/>
            </w:pPr>
            <w:r>
              <w:rPr>
                <w:rFonts w:ascii="Times New Roman" w:cs="Times New Roman" w:eastAsia="Times New Roman" w:hAnsi="Times New Roman"/>
                <w:b/>
                <w:bCs/>
                <w:sz w:val="20"/>
                <w:szCs w:val="20"/>
              </w:rPr>
              <w:t>Mechanism</w:t>
            </w:r>
          </w:p>
        </w:tc>
      </w:tr>
      <w:tr>
        <w:tc>
          <w:tcPr>
            <w:tcW w:type="dxa" w:w="2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Browser ↔ Vercel / Render</w:t>
            </w:r>
          </w:p>
        </w:tc>
        <w:tc>
          <w:tcPr>
            <w:tcW w:type="dxa" w:w="6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HTTPS (TLS) with certificates managed by the platforms</w:t>
            </w:r>
          </w:p>
        </w:tc>
      </w:tr>
      <w:tr>
        <w:tc>
          <w:tcPr>
            <w:tcW w:type="dxa" w:w="2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Backend ↔ Supabase</w:t>
            </w:r>
          </w:p>
        </w:tc>
        <w:tc>
          <w:tcPr>
            <w:tcW w:type="dxa" w:w="6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TLS-encrypted database and storage connections</w:t>
            </w:r>
          </w:p>
        </w:tc>
      </w:tr>
      <w:tr>
        <w:tc>
          <w:tcPr>
            <w:tcW w:type="dxa" w:w="2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Data at rest</w:t>
            </w:r>
          </w:p>
        </w:tc>
        <w:tc>
          <w:tcPr>
            <w:tcW w:type="dxa" w:w="6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Supabase encrypts database and storage disks</w:t>
            </w:r>
          </w:p>
        </w:tc>
      </w:tr>
      <w:tr>
        <w:tc>
          <w:tcPr>
            <w:tcW w:type="dxa" w:w="2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Files</w:t>
            </w:r>
          </w:p>
        </w:tc>
        <w:tc>
          <w:tcPr>
            <w:tcW w:type="dxa" w:w="6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Private bucket; downloads only through expiring pre-signed URLs</w:t>
            </w:r>
          </w:p>
        </w:tc>
      </w:tr>
    </w:tbl>
    <w:p>
      <w:pPr>
        <w:pStyle w:val="Heading2"/>
        <w:spacing w:after="80" w:before="160" w:line="360"/>
      </w:pPr>
      <w:r>
        <w:rPr>
          <w:rFonts w:ascii="Times New Roman" w:cs="Times New Roman" w:eastAsia="Times New Roman" w:hAnsi="Times New Roman"/>
          <w:b/>
          <w:bCs/>
          <w:color w:val="1F4E79"/>
          <w:sz w:val="26"/>
          <w:szCs w:val="26"/>
        </w:rPr>
        <w:t>7.3 Secrets, Network &amp; Backups</w:t>
      </w:r>
    </w:p>
    <w:p>
      <w:pPr>
        <w:spacing w:after="120" w:line="360"/>
        <w:jc w:val="both"/>
      </w:pPr>
      <w:r>
        <w:rPr>
          <w:rFonts w:ascii="Times New Roman" w:cs="Times New Roman" w:eastAsia="Times New Roman" w:hAnsi="Times New Roman"/>
          <w:sz w:val="24"/>
          <w:szCs w:val="24"/>
        </w:rPr>
        <w:t>API keys, the database URL, storage keys and SMTP credentials are kept as environment variables in the Render dashboard and in a local .env file that is excluded from Git. CORS only allows the Vercel frontend origin. File uploads are limited to PDF and image types up to 50 MB.</w:t>
      </w:r>
    </w:p>
    <w:p>
      <w:pPr>
        <w:spacing w:after="120" w:line="360"/>
        <w:jc w:val="both"/>
      </w:pPr>
      <w:r>
        <w:rPr>
          <w:rFonts w:ascii="Times New Roman" w:cs="Times New Roman" w:eastAsia="Times New Roman" w:hAnsi="Times New Roman"/>
          <w:sz w:val="24"/>
          <w:szCs w:val="24"/>
        </w:rPr>
        <w:t>The database schema is versioned with Alembic migrations, so it can be recreated on any PostgreSQL server. The free Supabase tier has limited backup options; a paid plan adds daily backups and point-in-time recovery, which would be required before storing real patient data.</w:t>
      </w:r>
    </w:p>
    <w:p>
      <w:pPr>
        <w:pStyle w:val="Heading1"/>
        <w:spacing w:after="100" w:before="200" w:line="360"/>
      </w:pPr>
      <w:r>
        <w:rPr>
          <w:rFonts w:ascii="Times New Roman" w:cs="Times New Roman" w:eastAsia="Times New Roman" w:hAnsi="Times New Roman"/>
          <w:b/>
          <w:bCs/>
          <w:color w:val="1F4E79"/>
          <w:sz w:val="30"/>
          <w:szCs w:val="30"/>
        </w:rPr>
        <w:t>8. Alignment with UN Sustainable Development Goals</w:t>
      </w:r>
    </w:p>
    <w:p>
      <w:pPr>
        <w:spacing w:after="120" w:line="360"/>
        <w:jc w:val="both"/>
      </w:pPr>
      <w:r>
        <w:rPr>
          <w:rFonts w:ascii="Times New Roman" w:cs="Times New Roman" w:eastAsia="Times New Roman" w:hAnsi="Times New Roman"/>
          <w:sz w:val="24"/>
          <w:szCs w:val="24"/>
        </w:rPr>
        <w:t>LIFELINK is a healthcare product, so its main contribution is to SDG 3 (Good Health and Well-being). Because it is delivered entirely over the cloud, it also supports SDG 9 (Industry, Innovation and Infrastructure). The specific targets it addresses are listed below.</w:t>
      </w:r>
    </w:p>
    <w:p>
      <w:pPr>
        <w:pStyle w:val="Heading2"/>
        <w:spacing w:after="80" w:before="160" w:line="360"/>
      </w:pPr>
      <w:r>
        <w:rPr>
          <w:rFonts w:ascii="Times New Roman" w:cs="Times New Roman" w:eastAsia="Times New Roman" w:hAnsi="Times New Roman"/>
          <w:b/>
          <w:bCs/>
          <w:color w:val="1F4E79"/>
          <w:sz w:val="26"/>
          <w:szCs w:val="26"/>
        </w:rPr>
        <w:t>8.1 SDGs and Targets Supported</w:t>
      </w:r>
    </w:p>
    <w:tbl>
      <w:tblPr>
        <w:tblW w:type="dxa" w:w="9000"/>
        <w:tblBorders>
          <w:top w:val="single" w:color="AAAAAA" w:sz="4"/>
          <w:left w:val="single" w:color="AAAAAA" w:sz="4"/>
          <w:bottom w:val="single" w:color="AAAAAA" w:sz="4"/>
          <w:right w:val="single" w:color="AAAAAA" w:sz="4"/>
          <w:insideH w:val="single" w:color="CCCCCC" w:sz="2"/>
          <w:insideV w:val="single" w:color="CCCCCC" w:sz="2"/>
        </w:tblBorders>
      </w:tblPr>
      <w:tblGrid>
        <w:gridCol w:w="2000"/>
        <w:gridCol w:w="3600"/>
        <w:gridCol w:w="3400"/>
      </w:tblGrid>
      <w:tr>
        <w:trPr>
          <w:tblHeader/>
        </w:trPr>
        <w:tc>
          <w:tcPr>
            <w:tcW w:type="dxa" w:w="2000"/>
            <w:shd w:fill="1F4E79" w:val="clear"/>
            <w:tcMar>
              <w:top w:type="dxa" w:w="40"/>
              <w:left w:type="dxa" w:w="90"/>
              <w:bottom w:type="dxa" w:w="40"/>
              <w:right w:type="dxa" w:w="90"/>
            </w:tcMar>
            <w:vAlign w:val="center"/>
          </w:tcPr>
          <w:p>
            <w:pPr>
              <w:spacing w:line="240"/>
              <w:jc w:val="center"/>
            </w:pPr>
            <w:r>
              <w:rPr>
                <w:rFonts w:ascii="Times New Roman" w:cs="Times New Roman" w:eastAsia="Times New Roman" w:hAnsi="Times New Roman"/>
                <w:b/>
                <w:bCs/>
                <w:sz w:val="20"/>
                <w:szCs w:val="20"/>
              </w:rPr>
              <w:t>SDG / Target</w:t>
            </w:r>
          </w:p>
        </w:tc>
        <w:tc>
          <w:tcPr>
            <w:tcW w:type="dxa" w:w="3600"/>
            <w:shd w:fill="1F4E79" w:val="clear"/>
            <w:tcMar>
              <w:top w:type="dxa" w:w="40"/>
              <w:left w:type="dxa" w:w="90"/>
              <w:bottom w:type="dxa" w:w="40"/>
              <w:right w:type="dxa" w:w="90"/>
            </w:tcMar>
            <w:vAlign w:val="center"/>
          </w:tcPr>
          <w:p>
            <w:pPr>
              <w:spacing w:line="240"/>
              <w:jc w:val="center"/>
            </w:pPr>
            <w:r>
              <w:rPr>
                <w:rFonts w:ascii="Times New Roman" w:cs="Times New Roman" w:eastAsia="Times New Roman" w:hAnsi="Times New Roman"/>
                <w:b/>
                <w:bCs/>
                <w:sz w:val="20"/>
                <w:szCs w:val="20"/>
              </w:rPr>
              <w:t>Target (summary)</w:t>
            </w:r>
          </w:p>
        </w:tc>
        <w:tc>
          <w:tcPr>
            <w:tcW w:type="dxa" w:w="3400"/>
            <w:shd w:fill="1F4E79" w:val="clear"/>
            <w:tcMar>
              <w:top w:type="dxa" w:w="40"/>
              <w:left w:type="dxa" w:w="90"/>
              <w:bottom w:type="dxa" w:w="40"/>
              <w:right w:type="dxa" w:w="90"/>
            </w:tcMar>
            <w:vAlign w:val="center"/>
          </w:tcPr>
          <w:p>
            <w:pPr>
              <w:spacing w:line="240"/>
              <w:jc w:val="center"/>
            </w:pPr>
            <w:r>
              <w:rPr>
                <w:rFonts w:ascii="Times New Roman" w:cs="Times New Roman" w:eastAsia="Times New Roman" w:hAnsi="Times New Roman"/>
                <w:b/>
                <w:bCs/>
                <w:sz w:val="20"/>
                <w:szCs w:val="20"/>
              </w:rPr>
              <w:t>How LIFELINK Contributes</w:t>
            </w:r>
          </w:p>
        </w:tc>
      </w:tr>
      <w:tr>
        <w:tc>
          <w:tcPr>
            <w:tcW w:type="dxa" w:w="20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SDG 3 — Target 3.4</w:t>
            </w:r>
          </w:p>
        </w:tc>
        <w:tc>
          <w:tcPr>
            <w:tcW w:type="dxa" w:w="3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Reduce premature deaths from non-communicable diseases by one third through prevention and treatment.</w:t>
            </w:r>
          </w:p>
        </w:tc>
        <w:tc>
          <w:tcPr>
            <w:tcW w:type="dxa" w:w="3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ML models flag risk of cardiovascular disease, diabetes and chronic kidney disease early, with the factors behind each score and lifestyle recommendations. Medicine and follow-up reminders support adherence.</w:t>
            </w:r>
          </w:p>
        </w:tc>
      </w:tr>
      <w:tr>
        <w:tc>
          <w:tcPr>
            <w:tcW w:type="dxa" w:w="20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SDG 3 — Target 3.8</w:t>
            </w:r>
          </w:p>
        </w:tc>
        <w:tc>
          <w:tcPr>
            <w:tcW w:type="dxa" w:w="3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Achieve universal health coverage, including access to quality essential health services.</w:t>
            </w:r>
          </w:p>
        </w:tc>
        <w:tc>
          <w:tcPr>
            <w:tcW w:type="dxa" w:w="3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Any patient with a browser can store and carry a complete medical history for free, so a new doctor or emergency team sees the full picture.</w:t>
            </w:r>
          </w:p>
        </w:tc>
      </w:tr>
      <w:tr>
        <w:tc>
          <w:tcPr>
            <w:tcW w:type="dxa" w:w="20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SDG 3 — Target 3.d</w:t>
            </w:r>
          </w:p>
        </w:tc>
        <w:tc>
          <w:tcPr>
            <w:tcW w:type="dxa" w:w="3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Strengthen capacity for early warning, risk reduction and management of health risks.</w:t>
            </w:r>
          </w:p>
        </w:tc>
        <w:tc>
          <w:tcPr>
            <w:tcW w:type="dxa" w:w="3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Abnormal lab values, a health score and risk levels are surfaced on the dashboard automatically after each upload.</w:t>
            </w:r>
          </w:p>
        </w:tc>
      </w:tr>
      <w:tr>
        <w:tc>
          <w:tcPr>
            <w:tcW w:type="dxa" w:w="20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SDG 9 — Target 9.c</w:t>
            </w:r>
          </w:p>
        </w:tc>
        <w:tc>
          <w:tcPr>
            <w:tcW w:type="dxa" w:w="3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Significantly increase access to information and communications technology.</w:t>
            </w:r>
          </w:p>
        </w:tc>
        <w:tc>
          <w:tcPr>
            <w:tcW w:type="dxa" w:w="3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AI document reading, an AI health assistant and risk prediction are offered as a web service that needs no installation or special hardware.</w:t>
            </w:r>
          </w:p>
        </w:tc>
      </w:tr>
    </w:tbl>
    <w:p>
      <w:pPr>
        <w:pStyle w:val="Heading2"/>
        <w:spacing w:after="80" w:before="160" w:line="360"/>
      </w:pPr>
      <w:r>
        <w:rPr>
          <w:rFonts w:ascii="Times New Roman" w:cs="Times New Roman" w:eastAsia="Times New Roman" w:hAnsi="Times New Roman"/>
          <w:b/>
          <w:bCs/>
          <w:color w:val="1F4E79"/>
          <w:sz w:val="26"/>
          <w:szCs w:val="26"/>
        </w:rPr>
        <w:t>8.2 How the Project Contributes</w:t>
      </w:r>
    </w:p>
    <w:p>
      <w:pPr>
        <w:pStyle w:val="ListParagraph"/>
        <w:numPr>
          <w:ilvl w:val="0"/>
          <w:numId w:val="1"/>
        </w:numPr>
        <w:spacing w:after="60" w:line="360"/>
        <w:jc w:val="both"/>
      </w:pPr>
      <w:r>
        <w:rPr>
          <w:rFonts w:ascii="Times New Roman" w:cs="Times New Roman" w:eastAsia="Times New Roman" w:hAnsi="Times New Roman"/>
          <w:b/>
          <w:sz w:val="24"/>
          <w:szCs w:val="24"/>
        </w:rPr>
        <w:t>Unified records:</w:t>
      </w:r>
      <w:r>
        <w:rPr>
          <w:rFonts w:ascii="Times New Roman" w:cs="Times New Roman" w:eastAsia="Times New Roman" w:hAnsi="Times New Roman"/>
          <w:b w:val="0"/>
          <w:sz w:val="24"/>
          <w:szCs w:val="24"/>
        </w:rPr>
        <w:t xml:space="preserve"> Scattered paper and PDF records become one searchable, chronological timeline, so medical history is not lost between hospitals.</w:t>
      </w:r>
    </w:p>
    <w:p>
      <w:pPr>
        <w:pStyle w:val="ListParagraph"/>
        <w:numPr>
          <w:ilvl w:val="0"/>
          <w:numId w:val="1"/>
        </w:numPr>
        <w:spacing w:after="60" w:line="360"/>
        <w:jc w:val="both"/>
      </w:pPr>
      <w:r>
        <w:rPr>
          <w:rFonts w:ascii="Times New Roman" w:cs="Times New Roman" w:eastAsia="Times New Roman" w:hAnsi="Times New Roman"/>
          <w:b/>
          <w:sz w:val="24"/>
          <w:szCs w:val="24"/>
        </w:rPr>
        <w:t>Health literacy:</w:t>
      </w:r>
      <w:r>
        <w:rPr>
          <w:rFonts w:ascii="Times New Roman" w:cs="Times New Roman" w:eastAsia="Times New Roman" w:hAnsi="Times New Roman"/>
          <w:b w:val="0"/>
          <w:sz w:val="24"/>
          <w:szCs w:val="24"/>
        </w:rPr>
        <w:t xml:space="preserve"> OCR and an LLM pull out medications, diagnoses and lab values, so patients can understand their own reports.</w:t>
      </w:r>
    </w:p>
    <w:p>
      <w:pPr>
        <w:pStyle w:val="ListParagraph"/>
        <w:numPr>
          <w:ilvl w:val="0"/>
          <w:numId w:val="1"/>
        </w:numPr>
        <w:spacing w:after="60" w:line="360"/>
        <w:jc w:val="both"/>
      </w:pPr>
      <w:r>
        <w:rPr>
          <w:rFonts w:ascii="Times New Roman" w:cs="Times New Roman" w:eastAsia="Times New Roman" w:hAnsi="Times New Roman"/>
          <w:b/>
          <w:sz w:val="24"/>
          <w:szCs w:val="24"/>
        </w:rPr>
        <w:t>Prevention:</w:t>
      </w:r>
      <w:r>
        <w:rPr>
          <w:rFonts w:ascii="Times New Roman" w:cs="Times New Roman" w:eastAsia="Times New Roman" w:hAnsi="Times New Roman"/>
          <w:b w:val="0"/>
          <w:sz w:val="24"/>
          <w:szCs w:val="24"/>
        </w:rPr>
        <w:t xml:space="preserve"> Risk scores for three common chronic diseases encourage patients to seek care before complications appear.</w:t>
      </w:r>
    </w:p>
    <w:p>
      <w:pPr>
        <w:pStyle w:val="ListParagraph"/>
        <w:numPr>
          <w:ilvl w:val="0"/>
          <w:numId w:val="1"/>
        </w:numPr>
        <w:spacing w:after="60" w:line="360"/>
        <w:jc w:val="both"/>
      </w:pPr>
      <w:r>
        <w:rPr>
          <w:rFonts w:ascii="Times New Roman" w:cs="Times New Roman" w:eastAsia="Times New Roman" w:hAnsi="Times New Roman"/>
          <w:b/>
          <w:sz w:val="24"/>
          <w:szCs w:val="24"/>
        </w:rPr>
        <w:t>Family care:</w:t>
      </w:r>
      <w:r>
        <w:rPr>
          <w:rFonts w:ascii="Times New Roman" w:cs="Times New Roman" w:eastAsia="Times New Roman" w:hAnsi="Times New Roman"/>
          <w:b w:val="0"/>
          <w:sz w:val="24"/>
          <w:szCs w:val="24"/>
        </w:rPr>
        <w:t xml:space="preserve"> Family profiles let one person manage records for elderly parents or children.</w:t>
      </w:r>
    </w:p>
    <w:p>
      <w:pPr>
        <w:pStyle w:val="Heading2"/>
        <w:spacing w:after="80" w:before="160" w:line="360"/>
      </w:pPr>
      <w:r>
        <w:rPr>
          <w:rFonts w:ascii="Times New Roman" w:cs="Times New Roman" w:eastAsia="Times New Roman" w:hAnsi="Times New Roman"/>
          <w:b/>
          <w:bCs/>
          <w:color w:val="1F4E79"/>
          <w:sz w:val="26"/>
          <w:szCs w:val="26"/>
        </w:rPr>
        <w:t>8.3 Expected Impact</w:t>
      </w:r>
    </w:p>
    <w:tbl>
      <w:tblPr>
        <w:tblW w:type="dxa" w:w="9000"/>
        <w:tblBorders>
          <w:top w:val="single" w:color="AAAAAA" w:sz="4"/>
          <w:left w:val="single" w:color="AAAAAA" w:sz="4"/>
          <w:bottom w:val="single" w:color="AAAAAA" w:sz="4"/>
          <w:right w:val="single" w:color="AAAAAA" w:sz="4"/>
          <w:insideH w:val="single" w:color="CCCCCC" w:sz="2"/>
          <w:insideV w:val="single" w:color="CCCCCC" w:sz="2"/>
        </w:tblBorders>
      </w:tblPr>
      <w:tblGrid>
        <w:gridCol w:w="2400"/>
        <w:gridCol w:w="6600"/>
      </w:tblGrid>
      <w:tr>
        <w:trPr>
          <w:tblHeader/>
        </w:trPr>
        <w:tc>
          <w:tcPr>
            <w:tcW w:type="dxa" w:w="2400"/>
            <w:shd w:fill="1F4E79" w:val="clear"/>
            <w:tcMar>
              <w:top w:type="dxa" w:w="40"/>
              <w:left w:type="dxa" w:w="90"/>
              <w:bottom w:type="dxa" w:w="40"/>
              <w:right w:type="dxa" w:w="90"/>
            </w:tcMar>
            <w:vAlign w:val="center"/>
          </w:tcPr>
          <w:p>
            <w:pPr>
              <w:spacing w:line="240"/>
              <w:jc w:val="center"/>
            </w:pPr>
            <w:r>
              <w:rPr>
                <w:rFonts w:ascii="Times New Roman" w:cs="Times New Roman" w:eastAsia="Times New Roman" w:hAnsi="Times New Roman"/>
                <w:b/>
                <w:bCs/>
                <w:sz w:val="20"/>
                <w:szCs w:val="20"/>
              </w:rPr>
              <w:t>Dimension</w:t>
            </w:r>
          </w:p>
        </w:tc>
        <w:tc>
          <w:tcPr>
            <w:tcW w:type="dxa" w:w="6600"/>
            <w:shd w:fill="1F4E79" w:val="clear"/>
            <w:tcMar>
              <w:top w:type="dxa" w:w="40"/>
              <w:left w:type="dxa" w:w="90"/>
              <w:bottom w:type="dxa" w:w="40"/>
              <w:right w:type="dxa" w:w="90"/>
            </w:tcMar>
            <w:vAlign w:val="center"/>
          </w:tcPr>
          <w:p>
            <w:pPr>
              <w:spacing w:line="240"/>
              <w:jc w:val="center"/>
            </w:pPr>
            <w:r>
              <w:rPr>
                <w:rFonts w:ascii="Times New Roman" w:cs="Times New Roman" w:eastAsia="Times New Roman" w:hAnsi="Times New Roman"/>
                <w:b/>
                <w:bCs/>
                <w:sz w:val="20"/>
                <w:szCs w:val="20"/>
              </w:rPr>
              <w:t>Expected Impact</w:t>
            </w:r>
          </w:p>
        </w:tc>
      </w:tr>
      <w:tr>
        <w:tc>
          <w:tcPr>
            <w:tcW w:type="dxa" w:w="2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Social</w:t>
            </w:r>
          </w:p>
        </w:tc>
        <w:tc>
          <w:tcPr>
            <w:tcW w:type="dxa" w:w="6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Better continuity of care, fewer medication conflicts, and earlier detection of chronic disease. Patients and caregivers gain control over their own health data.</w:t>
            </w:r>
          </w:p>
        </w:tc>
      </w:tr>
      <w:tr>
        <w:tc>
          <w:tcPr>
            <w:tcW w:type="dxa" w:w="2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Economic</w:t>
            </w:r>
          </w:p>
        </w:tc>
        <w:tc>
          <w:tcPr>
            <w:tcW w:type="dxa" w:w="6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Fewer repeated diagnostic tests because previous reports are always available. Early risk detection can avoid costlier late-stage treatment. The platform runs at zero hosting cost on free cloud tiers, so it can be offered free to users.</w:t>
            </w:r>
          </w:p>
        </w:tc>
      </w:tr>
      <w:tr>
        <w:tc>
          <w:tcPr>
            <w:tcW w:type="dxa" w:w="2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Environmental</w:t>
            </w:r>
          </w:p>
        </w:tc>
        <w:tc>
          <w:tcPr>
            <w:tcW w:type="dxa" w:w="6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Digital records replace printed reports and repeat tests, reducing paper and lab consumables. Shared, multi-tenant cloud platforms use hardware more efficiently than a dedicated server per clinic.</w:t>
            </w:r>
          </w:p>
        </w:tc>
      </w:tr>
    </w:tbl>
    <w:p>
      <w:pPr>
        <w:pStyle w:val="Heading1"/>
        <w:spacing w:after="100" w:before="200" w:line="360"/>
      </w:pPr>
      <w:r>
        <w:rPr>
          <w:rFonts w:ascii="Times New Roman" w:cs="Times New Roman" w:eastAsia="Times New Roman" w:hAnsi="Times New Roman"/>
          <w:b/>
          <w:bCs/>
          <w:color w:val="1F4E79"/>
          <w:sz w:val="30"/>
          <w:szCs w:val="30"/>
        </w:rPr>
        <w:t>9. Cloud Services Used</w:t>
      </w:r>
    </w:p>
    <w:p>
      <w:pPr>
        <w:spacing w:after="120" w:line="360"/>
        <w:jc w:val="both"/>
      </w:pPr>
      <w:r>
        <w:rPr>
          <w:rFonts w:ascii="Times New Roman" w:cs="Times New Roman" w:eastAsia="Times New Roman" w:hAnsi="Times New Roman"/>
          <w:sz w:val="24"/>
          <w:szCs w:val="24"/>
        </w:rPr>
        <w:t>LIFELINK is live on the internet. Frontend: https://project-lifelink-1.vercel.app — Backend API: https://lifelink-backend-tunc.onrender.com.</w:t>
      </w:r>
    </w:p>
    <w:p>
      <w:pPr>
        <w:pStyle w:val="Heading2"/>
        <w:spacing w:after="80" w:before="160" w:line="360"/>
      </w:pPr>
      <w:r>
        <w:rPr>
          <w:rFonts w:ascii="Times New Roman" w:cs="Times New Roman" w:eastAsia="Times New Roman" w:hAnsi="Times New Roman"/>
          <w:b/>
          <w:bCs/>
          <w:color w:val="1F4E79"/>
          <w:sz w:val="26"/>
          <w:szCs w:val="26"/>
        </w:rPr>
        <w:t>9.1 Services in the Live Deployment</w:t>
      </w:r>
    </w:p>
    <w:tbl>
      <w:tblPr>
        <w:tblW w:type="dxa" w:w="9000"/>
        <w:tblBorders>
          <w:top w:val="single" w:color="AAAAAA" w:sz="4"/>
          <w:left w:val="single" w:color="AAAAAA" w:sz="4"/>
          <w:bottom w:val="single" w:color="AAAAAA" w:sz="4"/>
          <w:right w:val="single" w:color="AAAAAA" w:sz="4"/>
          <w:insideH w:val="single" w:color="CCCCCC" w:sz="2"/>
          <w:insideV w:val="single" w:color="CCCCCC" w:sz="2"/>
        </w:tblBorders>
      </w:tblPr>
      <w:tblGrid>
        <w:gridCol w:w="500"/>
        <w:gridCol w:w="2700"/>
        <w:gridCol w:w="2000"/>
        <w:gridCol w:w="3800"/>
      </w:tblGrid>
      <w:tr>
        <w:trPr>
          <w:tblHeader/>
        </w:trPr>
        <w:tc>
          <w:tcPr>
            <w:tcW w:type="dxa" w:w="500"/>
            <w:shd w:fill="1F4E79" w:val="clear"/>
            <w:tcMar>
              <w:top w:type="dxa" w:w="40"/>
              <w:left w:type="dxa" w:w="90"/>
              <w:bottom w:type="dxa" w:w="40"/>
              <w:right w:type="dxa" w:w="90"/>
            </w:tcMar>
            <w:vAlign w:val="center"/>
          </w:tcPr>
          <w:p>
            <w:pPr>
              <w:spacing w:line="240"/>
              <w:jc w:val="center"/>
            </w:pPr>
            <w:r>
              <w:rPr>
                <w:rFonts w:ascii="Times New Roman" w:cs="Times New Roman" w:eastAsia="Times New Roman" w:hAnsi="Times New Roman"/>
                <w:b/>
                <w:bCs/>
                <w:sz w:val="20"/>
                <w:szCs w:val="20"/>
              </w:rPr>
              <w:t>#</w:t>
            </w:r>
          </w:p>
        </w:tc>
        <w:tc>
          <w:tcPr>
            <w:tcW w:type="dxa" w:w="2700"/>
            <w:shd w:fill="1F4E79" w:val="clear"/>
            <w:tcMar>
              <w:top w:type="dxa" w:w="40"/>
              <w:left w:type="dxa" w:w="90"/>
              <w:bottom w:type="dxa" w:w="40"/>
              <w:right w:type="dxa" w:w="90"/>
            </w:tcMar>
            <w:vAlign w:val="center"/>
          </w:tcPr>
          <w:p>
            <w:pPr>
              <w:spacing w:line="240"/>
              <w:jc w:val="center"/>
            </w:pPr>
            <w:r>
              <w:rPr>
                <w:rFonts w:ascii="Times New Roman" w:cs="Times New Roman" w:eastAsia="Times New Roman" w:hAnsi="Times New Roman"/>
                <w:b/>
                <w:bCs/>
                <w:sz w:val="20"/>
                <w:szCs w:val="20"/>
              </w:rPr>
              <w:t>Cloud Service</w:t>
            </w:r>
          </w:p>
        </w:tc>
        <w:tc>
          <w:tcPr>
            <w:tcW w:type="dxa" w:w="2000"/>
            <w:shd w:fill="1F4E79" w:val="clear"/>
            <w:tcMar>
              <w:top w:type="dxa" w:w="40"/>
              <w:left w:type="dxa" w:w="90"/>
              <w:bottom w:type="dxa" w:w="40"/>
              <w:right w:type="dxa" w:w="90"/>
            </w:tcMar>
            <w:vAlign w:val="center"/>
          </w:tcPr>
          <w:p>
            <w:pPr>
              <w:spacing w:line="240"/>
              <w:jc w:val="center"/>
            </w:pPr>
            <w:r>
              <w:rPr>
                <w:rFonts w:ascii="Times New Roman" w:cs="Times New Roman" w:eastAsia="Times New Roman" w:hAnsi="Times New Roman"/>
                <w:b/>
                <w:bCs/>
                <w:sz w:val="20"/>
                <w:szCs w:val="20"/>
              </w:rPr>
              <w:t>Model</w:t>
            </w:r>
          </w:p>
        </w:tc>
        <w:tc>
          <w:tcPr>
            <w:tcW w:type="dxa" w:w="3800"/>
            <w:shd w:fill="1F4E79" w:val="clear"/>
            <w:tcMar>
              <w:top w:type="dxa" w:w="40"/>
              <w:left w:type="dxa" w:w="90"/>
              <w:bottom w:type="dxa" w:w="40"/>
              <w:right w:type="dxa" w:w="90"/>
            </w:tcMar>
            <w:vAlign w:val="center"/>
          </w:tcPr>
          <w:p>
            <w:pPr>
              <w:spacing w:line="240"/>
              <w:jc w:val="center"/>
            </w:pPr>
            <w:r>
              <w:rPr>
                <w:rFonts w:ascii="Times New Roman" w:cs="Times New Roman" w:eastAsia="Times New Roman" w:hAnsi="Times New Roman"/>
                <w:b/>
                <w:bCs/>
                <w:sz w:val="20"/>
                <w:szCs w:val="20"/>
              </w:rPr>
              <w:t>Used For</w:t>
            </w:r>
          </w:p>
        </w:tc>
      </w:tr>
      <w:tr>
        <w:tc>
          <w:tcPr>
            <w:tcW w:type="dxa" w:w="5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1</w:t>
            </w:r>
          </w:p>
        </w:tc>
        <w:tc>
          <w:tcPr>
            <w:tcW w:type="dxa" w:w="27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Vercel</w:t>
            </w:r>
          </w:p>
        </w:tc>
        <w:tc>
          <w:tcPr>
            <w:tcW w:type="dxa" w:w="20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PaaS + CDN</w:t>
            </w:r>
          </w:p>
        </w:tc>
        <w:tc>
          <w:tcPr>
            <w:tcW w:type="dxa" w:w="38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Hosts the React frontend on a global edge network with automatic HTTPS; rebuilds on every push to GitHub.</w:t>
            </w:r>
          </w:p>
        </w:tc>
      </w:tr>
      <w:tr>
        <w:tc>
          <w:tcPr>
            <w:tcW w:type="dxa" w:w="5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2</w:t>
            </w:r>
          </w:p>
        </w:tc>
        <w:tc>
          <w:tcPr>
            <w:tcW w:type="dxa" w:w="27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Render Web Service</w:t>
            </w:r>
          </w:p>
        </w:tc>
        <w:tc>
          <w:tcPr>
            <w:tcW w:type="dxa" w:w="20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PaaS</w:t>
            </w:r>
          </w:p>
        </w:tc>
        <w:tc>
          <w:tcPr>
            <w:tcW w:type="dxa" w:w="38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Runs the FastAPI backend as a Docker container (Singapore region), with a health check on /api/v1/health and auto-deploy from GitHub.</w:t>
            </w:r>
          </w:p>
        </w:tc>
      </w:tr>
      <w:tr>
        <w:tc>
          <w:tcPr>
            <w:tcW w:type="dxa" w:w="5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3</w:t>
            </w:r>
          </w:p>
        </w:tc>
        <w:tc>
          <w:tcPr>
            <w:tcW w:type="dxa" w:w="27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Supabase PostgreSQL</w:t>
            </w:r>
          </w:p>
        </w:tc>
        <w:tc>
          <w:tcPr>
            <w:tcW w:type="dxa" w:w="20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DBaaS</w:t>
            </w:r>
          </w:p>
        </w:tc>
        <w:tc>
          <w:tcPr>
            <w:tcW w:type="dxa" w:w="38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Managed PostgreSQL 17 with pgvector; stores users, records, timeline, risk assessments, reminders and family profiles.</w:t>
            </w:r>
          </w:p>
        </w:tc>
      </w:tr>
      <w:tr>
        <w:tc>
          <w:tcPr>
            <w:tcW w:type="dxa" w:w="5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4</w:t>
            </w:r>
          </w:p>
        </w:tc>
        <w:tc>
          <w:tcPr>
            <w:tcW w:type="dxa" w:w="27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Supabase Storage</w:t>
            </w:r>
          </w:p>
        </w:tc>
        <w:tc>
          <w:tcPr>
            <w:tcW w:type="dxa" w:w="20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Object storage</w:t>
            </w:r>
          </w:p>
        </w:tc>
        <w:tc>
          <w:tcPr>
            <w:tcW w:type="dxa" w:w="38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Private S3-compatible bucket (lifelink-documents) for uploaded reports, accessed with pre-signed download URLs.</w:t>
            </w:r>
          </w:p>
        </w:tc>
      </w:tr>
      <w:tr>
        <w:tc>
          <w:tcPr>
            <w:tcW w:type="dxa" w:w="5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5</w:t>
            </w:r>
          </w:p>
        </w:tc>
        <w:tc>
          <w:tcPr>
            <w:tcW w:type="dxa" w:w="27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Groq Cloud API</w:t>
            </w:r>
          </w:p>
        </w:tc>
        <w:tc>
          <w:tcPr>
            <w:tcW w:type="dxa" w:w="20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AI API (SaaS)</w:t>
            </w:r>
          </w:p>
        </w:tc>
        <w:tc>
          <w:tcPr>
            <w:tcW w:type="dxa" w:w="38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LLM inference (Qwen) for document extraction, summaries and the AI health assistant.</w:t>
            </w:r>
          </w:p>
        </w:tc>
      </w:tr>
      <w:tr>
        <w:tc>
          <w:tcPr>
            <w:tcW w:type="dxa" w:w="5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6</w:t>
            </w:r>
          </w:p>
        </w:tc>
        <w:tc>
          <w:tcPr>
            <w:tcW w:type="dxa" w:w="27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GitHub + GitHub Actions</w:t>
            </w:r>
          </w:p>
        </w:tc>
        <w:tc>
          <w:tcPr>
            <w:tcW w:type="dxa" w:w="20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DevOps SaaS</w:t>
            </w:r>
          </w:p>
        </w:tc>
        <w:tc>
          <w:tcPr>
            <w:tcW w:type="dxa" w:w="38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Source control and CI pipeline; pushes to main trigger redeployment.</w:t>
            </w:r>
          </w:p>
        </w:tc>
      </w:tr>
      <w:tr>
        <w:tc>
          <w:tcPr>
            <w:tcW w:type="dxa" w:w="5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7</w:t>
            </w:r>
          </w:p>
        </w:tc>
        <w:tc>
          <w:tcPr>
            <w:tcW w:type="dxa" w:w="27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Gmail SMTP</w:t>
            </w:r>
          </w:p>
        </w:tc>
        <w:tc>
          <w:tcPr>
            <w:tcW w:type="dxa" w:w="20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SaaS</w:t>
            </w:r>
          </w:p>
        </w:tc>
        <w:tc>
          <w:tcPr>
            <w:tcW w:type="dxa" w:w="38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Sends reminder emails from the background scheduler.</w:t>
            </w:r>
          </w:p>
        </w:tc>
      </w:tr>
    </w:tbl>
    <w:p>
      <w:pPr>
        <w:pStyle w:val="Heading2"/>
        <w:spacing w:after="80" w:before="160" w:line="360"/>
      </w:pPr>
      <w:r>
        <w:rPr>
          <w:rFonts w:ascii="Times New Roman" w:cs="Times New Roman" w:eastAsia="Times New Roman" w:hAnsi="Times New Roman"/>
          <w:b/>
          <w:bCs/>
          <w:color w:val="1F4E79"/>
          <w:sz w:val="26"/>
          <w:szCs w:val="26"/>
        </w:rPr>
        <w:t>9.2 Architecture Diagram</w:t>
      </w:r>
    </w:p>
    <w:p>
      <w:pPr>
        <w:jc w:val="center"/>
      </w:pPr>
      <w:r>
        <w:drawing>
          <wp:inline xmlns:a="http://schemas.openxmlformats.org/drawingml/2006/main" xmlns:pic="http://schemas.openxmlformats.org/drawingml/2006/picture">
            <wp:extent cx="5760720" cy="3770653"/>
            <wp:docPr id="1" name="Picture 1"/>
            <wp:cNvGraphicFramePr>
              <a:graphicFrameLocks noChangeAspect="1"/>
            </wp:cNvGraphicFramePr>
            <a:graphic>
              <a:graphicData uri="http://schemas.openxmlformats.org/drawingml/2006/picture">
                <pic:pic>
                  <pic:nvPicPr>
                    <pic:cNvPr id="0" name="lifelink_cloud_architecture.png"/>
                    <pic:cNvPicPr/>
                  </pic:nvPicPr>
                  <pic:blipFill>
                    <a:blip r:embed="rId10"/>
                    <a:stretch>
                      <a:fillRect/>
                    </a:stretch>
                  </pic:blipFill>
                  <pic:spPr>
                    <a:xfrm>
                      <a:off x="0" y="0"/>
                      <a:ext cx="5760720" cy="3770653"/>
                    </a:xfrm>
                    <a:prstGeom prst="rect"/>
                  </pic:spPr>
                </pic:pic>
              </a:graphicData>
            </a:graphic>
          </wp:inline>
        </w:drawing>
      </w:r>
    </w:p>
    <w:p>
      <w:pPr>
        <w:pStyle w:val="Heading2"/>
        <w:spacing w:after="80" w:before="160" w:line="360"/>
      </w:pPr>
      <w:r>
        <w:rPr>
          <w:rFonts w:ascii="Times New Roman" w:cs="Times New Roman" w:eastAsia="Times New Roman" w:hAnsi="Times New Roman"/>
          <w:b/>
          <w:bCs/>
          <w:color w:val="1F4E79"/>
          <w:sz w:val="26"/>
          <w:szCs w:val="26"/>
        </w:rPr>
        <w:t>9.3 Benefits of Using the Cloud</w:t>
      </w:r>
    </w:p>
    <w:tbl>
      <w:tblPr>
        <w:tblW w:type="dxa" w:w="9000"/>
        <w:tblBorders>
          <w:top w:val="single" w:color="AAAAAA" w:sz="4"/>
          <w:left w:val="single" w:color="AAAAAA" w:sz="4"/>
          <w:bottom w:val="single" w:color="AAAAAA" w:sz="4"/>
          <w:right w:val="single" w:color="AAAAAA" w:sz="4"/>
          <w:insideH w:val="single" w:color="CCCCCC" w:sz="2"/>
          <w:insideV w:val="single" w:color="CCCCCC" w:sz="2"/>
        </w:tblBorders>
      </w:tblPr>
      <w:tblGrid>
        <w:gridCol w:w="2400"/>
        <w:gridCol w:w="6600"/>
      </w:tblGrid>
      <w:tr>
        <w:trPr>
          <w:tblHeader/>
        </w:trPr>
        <w:tc>
          <w:tcPr>
            <w:tcW w:type="dxa" w:w="2400"/>
            <w:shd w:fill="1F4E79" w:val="clear"/>
            <w:tcMar>
              <w:top w:type="dxa" w:w="40"/>
              <w:left w:type="dxa" w:w="90"/>
              <w:bottom w:type="dxa" w:w="40"/>
              <w:right w:type="dxa" w:w="90"/>
            </w:tcMar>
            <w:vAlign w:val="center"/>
          </w:tcPr>
          <w:p>
            <w:pPr>
              <w:spacing w:line="240"/>
              <w:jc w:val="center"/>
            </w:pPr>
            <w:r>
              <w:rPr>
                <w:rFonts w:ascii="Times New Roman" w:cs="Times New Roman" w:eastAsia="Times New Roman" w:hAnsi="Times New Roman"/>
                <w:b/>
                <w:bCs/>
                <w:sz w:val="20"/>
                <w:szCs w:val="20"/>
              </w:rPr>
              <w:t>Benefit</w:t>
            </w:r>
          </w:p>
        </w:tc>
        <w:tc>
          <w:tcPr>
            <w:tcW w:type="dxa" w:w="6600"/>
            <w:shd w:fill="1F4E79" w:val="clear"/>
            <w:tcMar>
              <w:top w:type="dxa" w:w="40"/>
              <w:left w:type="dxa" w:w="90"/>
              <w:bottom w:type="dxa" w:w="40"/>
              <w:right w:type="dxa" w:w="90"/>
            </w:tcMar>
            <w:vAlign w:val="center"/>
          </w:tcPr>
          <w:p>
            <w:pPr>
              <w:spacing w:line="240"/>
              <w:jc w:val="center"/>
            </w:pPr>
            <w:r>
              <w:rPr>
                <w:rFonts w:ascii="Times New Roman" w:cs="Times New Roman" w:eastAsia="Times New Roman" w:hAnsi="Times New Roman"/>
                <w:b/>
                <w:bCs/>
                <w:sz w:val="20"/>
                <w:szCs w:val="20"/>
              </w:rPr>
              <w:t>How LIFELINK Gets It</w:t>
            </w:r>
          </w:p>
        </w:tc>
      </w:tr>
      <w:tr>
        <w:tc>
          <w:tcPr>
            <w:tcW w:type="dxa" w:w="2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Scalability</w:t>
            </w:r>
          </w:p>
        </w:tc>
        <w:tc>
          <w:tcPr>
            <w:tcW w:type="dxa" w:w="6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Vercel's CDN serves any number of frontend users. The backend is a stateless container, so Render can run more or larger instances on a paid plan without code changes. Supabase database and storage grow with usage.</w:t>
            </w:r>
          </w:p>
        </w:tc>
      </w:tr>
      <w:tr>
        <w:tc>
          <w:tcPr>
            <w:tcW w:type="dxa" w:w="2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Cost</w:t>
            </w:r>
          </w:p>
        </w:tc>
        <w:tc>
          <w:tcPr>
            <w:tcW w:type="dxa" w:w="6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No hardware to buy. The current deployment costs $0 per month on free tiers; paid tiers are only needed when traffic grows.</w:t>
            </w:r>
          </w:p>
        </w:tc>
      </w:tr>
      <w:tr>
        <w:tc>
          <w:tcPr>
            <w:tcW w:type="dxa" w:w="2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Availability</w:t>
            </w:r>
          </w:p>
        </w:tc>
        <w:tc>
          <w:tcPr>
            <w:tcW w:type="dxa" w:w="6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The providers handle uptime and patching. Render restarts the container if the health check fails. Note: the free Render tier sleeps after 15 minutes idle, so the first request takes up to a minute.</w:t>
            </w:r>
          </w:p>
        </w:tc>
      </w:tr>
      <w:tr>
        <w:tc>
          <w:tcPr>
            <w:tcW w:type="dxa" w:w="2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Security</w:t>
            </w:r>
          </w:p>
        </w:tc>
        <w:tc>
          <w:tcPr>
            <w:tcW w:type="dxa" w:w="6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HTTPS everywhere, JWT authentication with role-based access, bcrypt password hashing, a private storage bucket with expiring pre-signed URLs, and secrets kept in environment variables instead of code.</w:t>
            </w:r>
          </w:p>
        </w:tc>
      </w:tr>
      <w:tr>
        <w:tc>
          <w:tcPr>
            <w:tcW w:type="dxa" w:w="24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Accessibility</w:t>
            </w:r>
          </w:p>
        </w:tc>
        <w:tc>
          <w:tcPr>
            <w:tcW w:type="dxa" w:w="6600"/>
            <w:shd w:fill="F2F6FA" w:val="clear"/>
            <w:tcMar>
              <w:top w:type="dxa" w:w="40"/>
              <w:left w:type="dxa" w:w="90"/>
              <w:bottom w:type="dxa" w:w="40"/>
              <w:right w:type="dxa" w:w="90"/>
            </w:tcMar>
            <w:vAlign w:val="center"/>
          </w:tcPr>
          <w:p>
            <w:pPr>
              <w:spacing w:line="240"/>
              <w:jc w:val="left"/>
            </w:pPr>
            <w:r>
              <w:rPr>
                <w:rFonts w:ascii="Times New Roman" w:cs="Times New Roman" w:eastAsia="Times New Roman" w:hAnsi="Times New Roman"/>
                <w:b w:val="false"/>
                <w:bCs w:val="false"/>
                <w:sz w:val="20"/>
                <w:szCs w:val="20"/>
              </w:rPr>
              <w:t>Patients and doctors use it from any device with a browser, anywhere, with no installation. Records are available during emergencies or when changing doctors.</w:t>
            </w:r>
          </w:p>
        </w:tc>
      </w:tr>
    </w:tbl>
    <w:p>
      <w:pPr>
        <w:pStyle w:val="Heading1"/>
        <w:spacing w:after="100" w:before="200" w:line="360"/>
      </w:pPr>
      <w:r>
        <w:rPr>
          <w:rFonts w:ascii="Times New Roman" w:cs="Times New Roman" w:eastAsia="Times New Roman" w:hAnsi="Times New Roman"/>
          <w:b/>
          <w:bCs/>
          <w:color w:val="1F4E79"/>
          <w:sz w:val="30"/>
          <w:szCs w:val="30"/>
        </w:rPr>
        <w:t>10. Conclusion</w:t>
      </w:r>
    </w:p>
    <w:p>
      <w:pPr>
        <w:spacing w:after="120" w:line="360"/>
        <w:jc w:val="both"/>
      </w:pPr>
      <w:r>
        <w:rPr>
          <w:rFonts w:ascii="Times New Roman" w:cs="Times New Roman" w:eastAsia="Times New Roman" w:hAnsi="Times New Roman"/>
          <w:sz w:val="24"/>
          <w:szCs w:val="24"/>
        </w:rPr>
        <w:t>This report worked backward from what LIFELINK needs to do: authenticate users, store medical documents, read them with AI, build a health timeline and predict chronic disease risk. Each need was mapped to a managed cloud service.</w:t>
      </w:r>
    </w:p>
    <w:p>
      <w:pPr>
        <w:spacing w:after="120" w:line="360"/>
        <w:jc w:val="both"/>
      </w:pPr>
      <w:r>
        <w:rPr>
          <w:rFonts w:ascii="Times New Roman" w:cs="Times New Roman" w:eastAsia="Times New Roman" w:hAnsi="Times New Roman"/>
          <w:sz w:val="24"/>
          <w:szCs w:val="24"/>
        </w:rPr>
        <w:t>Vercel, Render and Supabase were chosen because they fit the existing code (Docker backend, S3-compatible storage client, PostgreSQL with pgvector), deploy automatically from GitHub, and cost nothing on their free tiers. Groq provides the language model, and GitHub Actions checks every change.</w:t>
      </w:r>
    </w:p>
    <w:p>
      <w:pPr>
        <w:spacing w:after="120" w:line="360"/>
        <w:jc w:val="both"/>
      </w:pPr>
      <w:r>
        <w:rPr>
          <w:rFonts w:ascii="Times New Roman" w:cs="Times New Roman" w:eastAsia="Times New Roman" w:hAnsi="Times New Roman"/>
          <w:sz w:val="24"/>
          <w:szCs w:val="24"/>
        </w:rPr>
        <w:t>The project is live, which shows the design works in practice. Security is handled through HTTPS, JWT with role-based access, bcrypt, a private storage bucket and secrets kept out of the code. Moving to paid tiers would remove the cold-start delay and add database backups.</w:t>
      </w:r>
    </w:p>
    <w:p>
      <w:pPr>
        <w:spacing w:after="120" w:line="360"/>
        <w:jc w:val="both"/>
      </w:pPr>
      <w:r>
        <w:rPr>
          <w:rFonts w:ascii="Times New Roman" w:cs="Times New Roman" w:eastAsia="Times New Roman" w:hAnsi="Times New Roman"/>
          <w:sz w:val="24"/>
          <w:szCs w:val="24"/>
        </w:rPr>
        <w:t>LIFELINK directly supports UN SDG 3 by helping patients detect chronic disease risk early and keep their medical history in one accessible place.</w:t>
      </w:r>
    </w:p>
    <w:p>
      <w:pPr>
        <w:pStyle w:val="Heading1"/>
        <w:spacing w:after="100" w:before="200" w:line="360"/>
      </w:pPr>
      <w:r>
        <w:rPr>
          <w:rFonts w:ascii="Times New Roman" w:cs="Times New Roman" w:eastAsia="Times New Roman" w:hAnsi="Times New Roman"/>
          <w:b/>
          <w:bCs/>
          <w:color w:val="1F4E79"/>
          <w:sz w:val="30"/>
          <w:szCs w:val="30"/>
        </w:rPr>
        <w:t>11. References</w:t>
      </w:r>
    </w:p>
    <w:p>
      <w:pPr>
        <w:spacing w:after="120" w:line="360"/>
        <w:jc w:val="both"/>
      </w:pPr>
      <w:r>
        <w:rPr>
          <w:rFonts w:ascii="Times New Roman" w:cs="Times New Roman" w:eastAsia="Times New Roman" w:hAnsi="Times New Roman"/>
          <w:sz w:val="24"/>
          <w:szCs w:val="24"/>
        </w:rPr>
        <w:t>[1] P. Mell and T. Grance, "The NIST Definition of Cloud Computing," NIST Special Publication 800-145, Sep. 2011. Available: https://csrc.nist.gov/publications/detail/sp/800-145/final</w:t>
      </w:r>
    </w:p>
    <w:p>
      <w:pPr>
        <w:spacing w:after="120" w:line="360"/>
        <w:jc w:val="both"/>
      </w:pPr>
      <w:r>
        <w:rPr>
          <w:rFonts w:ascii="Times New Roman" w:cs="Times New Roman" w:eastAsia="Times New Roman" w:hAnsi="Times New Roman"/>
          <w:sz w:val="24"/>
          <w:szCs w:val="24"/>
        </w:rPr>
        <w:t>[2] Vercel, "Vercel Documentation." Available: https://vercel.com/docs</w:t>
      </w:r>
    </w:p>
    <w:p>
      <w:pPr>
        <w:spacing w:after="120" w:line="360"/>
        <w:jc w:val="both"/>
      </w:pPr>
      <w:r>
        <w:rPr>
          <w:rFonts w:ascii="Times New Roman" w:cs="Times New Roman" w:eastAsia="Times New Roman" w:hAnsi="Times New Roman"/>
          <w:sz w:val="24"/>
          <w:szCs w:val="24"/>
        </w:rPr>
        <w:t>[3] Render, "Render Documentation — Web Services and Blueprints." Available: https://render.com/docs</w:t>
      </w:r>
    </w:p>
    <w:p>
      <w:pPr>
        <w:spacing w:after="120" w:line="360"/>
        <w:jc w:val="both"/>
      </w:pPr>
      <w:r>
        <w:rPr>
          <w:rFonts w:ascii="Times New Roman" w:cs="Times New Roman" w:eastAsia="Times New Roman" w:hAnsi="Times New Roman"/>
          <w:sz w:val="24"/>
          <w:szCs w:val="24"/>
        </w:rPr>
        <w:t>[4] Supabase, "Supabase Documentation — Database and Storage." Available: https://supabase.com/docs</w:t>
      </w:r>
    </w:p>
    <w:p>
      <w:pPr>
        <w:spacing w:after="120" w:line="360"/>
        <w:jc w:val="both"/>
      </w:pPr>
      <w:r>
        <w:rPr>
          <w:rFonts w:ascii="Times New Roman" w:cs="Times New Roman" w:eastAsia="Times New Roman" w:hAnsi="Times New Roman"/>
          <w:sz w:val="24"/>
          <w:szCs w:val="24"/>
        </w:rPr>
        <w:t>[5] pgvector, "Open-source vector similarity search for Postgres." Available: https://github.com/pgvector/pgvector</w:t>
      </w:r>
    </w:p>
    <w:p>
      <w:pPr>
        <w:spacing w:after="120" w:line="360"/>
        <w:jc w:val="both"/>
      </w:pPr>
      <w:r>
        <w:rPr>
          <w:rFonts w:ascii="Times New Roman" w:cs="Times New Roman" w:eastAsia="Times New Roman" w:hAnsi="Times New Roman"/>
          <w:sz w:val="24"/>
          <w:szCs w:val="24"/>
        </w:rPr>
        <w:t>[6] Groq, "GroqCloud Documentation." Available: https://console.groq.com/docs</w:t>
      </w:r>
    </w:p>
    <w:p>
      <w:pPr>
        <w:spacing w:after="120" w:line="360"/>
        <w:jc w:val="both"/>
      </w:pPr>
      <w:r>
        <w:rPr>
          <w:rFonts w:ascii="Times New Roman" w:cs="Times New Roman" w:eastAsia="Times New Roman" w:hAnsi="Times New Roman"/>
          <w:sz w:val="24"/>
          <w:szCs w:val="24"/>
        </w:rPr>
        <w:t>[7] S. Ramírez, "FastAPI — Modern Web Framework for Building APIs with Python." Available: https://fastapi.tiangolo.com/</w:t>
      </w:r>
    </w:p>
    <w:p>
      <w:pPr>
        <w:spacing w:after="120" w:line="360"/>
        <w:jc w:val="both"/>
      </w:pPr>
      <w:r>
        <w:rPr>
          <w:rFonts w:ascii="Times New Roman" w:cs="Times New Roman" w:eastAsia="Times New Roman" w:hAnsi="Times New Roman"/>
          <w:sz w:val="24"/>
          <w:szCs w:val="24"/>
        </w:rPr>
        <w:t>[8] United Nations, "Goal 3: Ensure healthy lives and promote well-being for all at all ages," UN DESA. Available: https://sdgs.un.org/goals/goal3</w:t>
      </w:r>
    </w:p>
    <w:p>
      <w:pPr>
        <w:spacing w:after="120" w:line="360"/>
        <w:jc w:val="both"/>
      </w:pPr>
      <w:r>
        <w:rPr>
          <w:rFonts w:ascii="Times New Roman" w:cs="Times New Roman" w:eastAsia="Times New Roman" w:hAnsi="Times New Roman"/>
          <w:sz w:val="24"/>
          <w:szCs w:val="24"/>
        </w:rPr>
        <w:t>[9] United Nations, "Goal 9: Industry, Innovation and Infrastructure," UN DESA. Available: https://sdgs.un.org/goals/goal9</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999999"/>
        <w:sz w:val="18"/>
        <w:szCs w:val="18"/>
      </w:rPr>
      <w:t xml:space="preserve">Page </w:t>
    </w:r>
    <w:r>
      <w:rPr>
        <w:rFonts w:ascii="Times New Roman" w:cs="Times New Roman" w:eastAsia="Times New Roman" w:hAnsi="Times New Roman"/>
        <w:color w:val="999999"/>
        <w:sz w:val="18"/>
        <w:szCs w:val="18"/>
      </w:rPr>
      <w:fldChar w:fldCharType="begin"/>
      <w:instrText xml:space="preserve">PAGE</w:instrText>
      <w:fldChar w:fldCharType="separate"/>
      <w:fldChar w:fldCharType="end"/>
    </w:r>
    <w:r>
      <w:rPr>
        <w:rFonts w:ascii="Times New Roman" w:cs="Times New Roman" w:eastAsia="Times New Roman" w:hAnsi="Times New Roman"/>
        <w:color w:val="999999"/>
        <w:sz w:val="18"/>
        <w:szCs w:val="18"/>
      </w:rPr>
      <w:t xml:space="preserve"> of </w:t>
    </w:r>
    <w:r>
      <w:rPr>
        <w:rFonts w:ascii="Times New Roman" w:cs="Times New Roman" w:eastAsia="Times New Roman" w:hAnsi="Times New Roman"/>
        <w:color w:val="99999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999999"/>
        <w:sz w:val="16"/>
        <w:szCs w:val="16"/>
      </w:rPr>
      <w:t xml:space="preserve">Project LIFELINK — Cloud Computing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2026-07-31T08:06:10.035Z</dcterms:created>
  <dcterms:modified xsi:type="dcterms:W3CDTF">2026-07-31T08:06:10.036Z</dcterms:modified>
</cp:coreProperties>
</file>

<file path=docProps/custom.xml><?xml version="1.0" encoding="utf-8"?>
<Properties xmlns="http://schemas.openxmlformats.org/officeDocument/2006/custom-properties" xmlns:vt="http://schemas.openxmlformats.org/officeDocument/2006/docPropsVTypes"/>
</file>