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20"/>
          <w:szCs w:val="20"/>
        </w:rPr>
        <w:t xml:space="preserve">CASE STUDY</w:t>
      </w:r>
    </w:p>
    <w:p>
      <w:pPr>
        <w:spacing w:after="80"/>
      </w:pPr>
      <w:r>
        <w:rPr>
          <w:b/>
          <w:bCs/>
          <w:color w:val="111111"/>
          <w:sz w:val="40"/>
          <w:szCs w:val="40"/>
        </w:rPr>
        <w:t xml:space="preserve">Transaction Rule API: Untangling a Cross-Team Decisioning Bug</w:t>
      </w:r>
    </w:p>
    <w:p>
      <w:pPr>
        <w:spacing w:after="300"/>
      </w:pPr>
      <w:r>
        <w:rPr>
          <w:i/>
          <w:iCs/>
          <w:color w:val="555555"/>
          <w:sz w:val="22"/>
          <w:szCs w:val="22"/>
        </w:rPr>
        <w:t xml:space="preserve">Technical Product Owner — Payments API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F4E5F" w:val="clear"/>
            <w:tcMar>
              <w:top w:type="dxa" w:w="100"/>
              <w:left w:type="dxa" w:w="120"/>
              <w:bottom w:type="dxa" w:w="100"/>
              <w:right w:type="dxa" w:w="120"/>
            </w:tcMar>
          </w:tcPr>
          <w:p>
            <w:r>
              <w:rPr>
                <w:b/>
                <w:bCs/>
                <w:color w:val="FFFFFF"/>
                <w:sz w:val="20"/>
                <w:szCs w:val="20"/>
              </w:rPr>
              <w:t xml:space="preserve">Role</w:t>
            </w:r>
          </w:p>
        </w:tc>
        <w:tc>
          <w:tcPr>
            <w:tcW w:type="dxa" w:w="7020"/>
            <w:tcMar>
              <w:top w:type="dxa" w:w="100"/>
              <w:left w:type="dxa" w:w="120"/>
              <w:bottom w:type="dxa" w:w="100"/>
              <w:right w:type="dxa" w:w="120"/>
            </w:tcMar>
          </w:tcPr>
          <w:p>
            <w:r>
              <w:rPr>
                <w:b w:val="false"/>
                <w:bCs w:val="false"/>
                <w:color w:val="000000"/>
                <w:sz w:val="20"/>
                <w:szCs w:val="20"/>
              </w:rPr>
              <w:t xml:space="preserve">Technical Product Owner, API team (payments)</w:t>
            </w:r>
          </w:p>
        </w:tc>
      </w:tr>
      <w:tr>
        <w:tc>
          <w:tcPr>
            <w:tcW w:type="dxa" w:w="2340"/>
            <w:shd w:fill="1F4E5F" w:val="clear"/>
            <w:tcMar>
              <w:top w:type="dxa" w:w="100"/>
              <w:left w:type="dxa" w:w="120"/>
              <w:bottom w:type="dxa" w:w="100"/>
              <w:right w:type="dxa" w:w="120"/>
            </w:tcMar>
          </w:tcPr>
          <w:p>
            <w:r>
              <w:rPr>
                <w:b/>
                <w:bCs/>
                <w:color w:val="FFFFFF"/>
                <w:sz w:val="20"/>
                <w:szCs w:val="20"/>
              </w:rPr>
              <w:t xml:space="preserve">Trigger</w:t>
            </w:r>
          </w:p>
        </w:tc>
        <w:tc>
          <w:tcPr>
            <w:tcW w:type="dxa" w:w="7020"/>
            <w:tcMar>
              <w:top w:type="dxa" w:w="100"/>
              <w:left w:type="dxa" w:w="120"/>
              <w:bottom w:type="dxa" w:w="100"/>
              <w:right w:type="dxa" w:w="120"/>
            </w:tcMar>
          </w:tcPr>
          <w:p>
            <w:r>
              <w:rPr>
                <w:b w:val="false"/>
                <w:bCs w:val="false"/>
                <w:color w:val="000000"/>
                <w:sz w:val="20"/>
                <w:szCs w:val="20"/>
              </w:rPr>
              <w:t xml:space="preserve">Customer support ticket + business reporting flagging a drop in successful Digital Wallet transactions</w:t>
            </w:r>
          </w:p>
        </w:tc>
      </w:tr>
      <w:tr>
        <w:tc>
          <w:tcPr>
            <w:tcW w:type="dxa" w:w="2340"/>
            <w:shd w:fill="1F4E5F" w:val="clear"/>
            <w:tcMar>
              <w:top w:type="dxa" w:w="100"/>
              <w:left w:type="dxa" w:w="120"/>
              <w:bottom w:type="dxa" w:w="100"/>
              <w:right w:type="dxa" w:w="120"/>
            </w:tcMar>
          </w:tcPr>
          <w:p>
            <w:r>
              <w:rPr>
                <w:b/>
                <w:bCs/>
                <w:color w:val="FFFFFF"/>
                <w:sz w:val="20"/>
                <w:szCs w:val="20"/>
              </w:rPr>
              <w:t xml:space="preserve">Teams involved</w:t>
            </w:r>
          </w:p>
        </w:tc>
        <w:tc>
          <w:tcPr>
            <w:tcW w:type="dxa" w:w="7020"/>
            <w:tcMar>
              <w:top w:type="dxa" w:w="100"/>
              <w:left w:type="dxa" w:w="120"/>
              <w:bottom w:type="dxa" w:w="100"/>
              <w:right w:type="dxa" w:w="120"/>
            </w:tcMar>
          </w:tcPr>
          <w:p>
            <w:r>
              <w:rPr>
                <w:b w:val="false"/>
                <w:bCs w:val="false"/>
                <w:color w:val="000000"/>
                <w:sz w:val="20"/>
                <w:szCs w:val="20"/>
              </w:rPr>
              <w:t xml:space="preserve">API/platform team, decisioning rules engine team, architecture, business stakeholders, QA</w:t>
            </w:r>
          </w:p>
        </w:tc>
      </w:tr>
      <w:tr>
        <w:tc>
          <w:tcPr>
            <w:tcW w:type="dxa" w:w="2340"/>
            <w:shd w:fill="1F4E5F" w:val="clear"/>
            <w:tcMar>
              <w:top w:type="dxa" w:w="100"/>
              <w:left w:type="dxa" w:w="120"/>
              <w:bottom w:type="dxa" w:w="100"/>
              <w:right w:type="dxa" w:w="120"/>
            </w:tcMar>
          </w:tcPr>
          <w:p>
            <w:r>
              <w:rPr>
                <w:b/>
                <w:bCs/>
                <w:color w:val="FFFFFF"/>
                <w:sz w:val="20"/>
                <w:szCs w:val="20"/>
              </w:rPr>
              <w:t xml:space="preserve">My contribution</w:t>
            </w:r>
          </w:p>
        </w:tc>
        <w:tc>
          <w:tcPr>
            <w:tcW w:type="dxa" w:w="7020"/>
            <w:tcMar>
              <w:top w:type="dxa" w:w="100"/>
              <w:left w:type="dxa" w:w="120"/>
              <w:bottom w:type="dxa" w:w="100"/>
              <w:right w:type="dxa" w:w="120"/>
            </w:tcMar>
          </w:tcPr>
          <w:p>
            <w:r>
              <w:rPr>
                <w:b w:val="false"/>
                <w:bCs w:val="false"/>
                <w:color w:val="000000"/>
                <w:sz w:val="20"/>
                <w:szCs w:val="20"/>
              </w:rPr>
              <w:t xml:space="preserve">Root-caused the issue, evaluated competing technical solutions, negotiated a hybrid design, sequenced delivery across two teams with different release cadences, and delivered on time</w:t>
            </w:r>
          </w:p>
        </w:tc>
      </w:tr>
    </w:tbl>
    <w:p>
      <w:pPr>
        <w:pStyle w:val="Heading1"/>
        <w:spacing w:after="140" w:before="320"/>
      </w:pPr>
      <w:r>
        <w:t xml:space="preserve">The Trigger</w:t>
      </w:r>
    </w:p>
    <w:p>
      <w:pPr>
        <w:spacing w:after="160"/>
      </w:pPr>
      <w:r>
        <w:t xml:space="preserve">Business reported a drop in successful Digital Wallet transactions. On investigation, the root cause traced back to a decisioning rule that was silently declining legitimate payments.</w:t>
      </w:r>
    </w:p>
    <w:p>
      <w:pPr>
        <w:pStyle w:val="Heading1"/>
        <w:spacing w:after="140" w:before="320"/>
      </w:pPr>
      <w:r>
        <w:t xml:space="preserve">Understanding the Problem</w:t>
      </w:r>
    </w:p>
    <w:p>
      <w:pPr>
        <w:spacing w:after="160"/>
      </w:pPr>
      <w:r>
        <w:t xml:space="preserve">The existing rule capped how much a customer could pay via contactless card taps — a sensible fraud control on its own. But the same rule was also catching Digital Wallet payments, which shouldn't have been subject to that cap at all. Customers who'd already hit their contactless limit tried to pay by wallet instead, and were declined there too — forcing them back to chip-and-PIN at the terminal. For a payments business, that's friction at the worst possible moment: the point of sale. It showed up immediately in the wallet transaction numbers.</w:t>
      </w:r>
    </w:p>
    <w:p>
      <w:pPr>
        <w:pStyle w:val="Heading1"/>
        <w:spacing w:after="140" w:before="320"/>
      </w:pPr>
      <w:r>
        <w:t xml:space="preserve">The Technical Fork in the Road</w:t>
      </w:r>
    </w:p>
    <w:p>
      <w:pPr>
        <w:spacing w:after="160"/>
      </w:pPr>
      <w:r>
        <w:t xml:space="preserve">What looked like a one-line rule fix turned into a real architecture decision, because the two teams closest to it disagreed on how to solve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5F" w:val="clear"/>
            <w:tcMar>
              <w:top w:type="dxa" w:w="100"/>
              <w:left w:type="dxa" w:w="120"/>
              <w:bottom w:type="dxa" w:w="100"/>
              <w:right w:type="dxa" w:w="120"/>
            </w:tcMar>
          </w:tcPr>
          <w:p>
            <w:r>
              <w:rPr>
                <w:b/>
                <w:bCs/>
                <w:color w:val="FFFFFF"/>
                <w:sz w:val="20"/>
                <w:szCs w:val="20"/>
              </w:rPr>
              <w:t xml:space="preserve"/>
            </w:r>
          </w:p>
        </w:tc>
        <w:tc>
          <w:tcPr>
            <w:tcW w:type="dxa" w:w="3120"/>
            <w:shd w:fill="1F4E5F" w:val="clear"/>
            <w:tcMar>
              <w:top w:type="dxa" w:w="100"/>
              <w:left w:type="dxa" w:w="120"/>
              <w:bottom w:type="dxa" w:w="100"/>
              <w:right w:type="dxa" w:w="120"/>
            </w:tcMar>
          </w:tcPr>
          <w:p>
            <w:r>
              <w:rPr>
                <w:b/>
                <w:bCs/>
                <w:color w:val="FFFFFF"/>
                <w:sz w:val="20"/>
                <w:szCs w:val="20"/>
              </w:rPr>
              <w:t xml:space="preserve">Option A — Suppression flag</w:t>
            </w:r>
          </w:p>
        </w:tc>
        <w:tc>
          <w:tcPr>
            <w:tcW w:type="dxa" w:w="3120"/>
            <w:shd w:fill="1F4E5F" w:val="clear"/>
            <w:tcMar>
              <w:top w:type="dxa" w:w="100"/>
              <w:left w:type="dxa" w:w="120"/>
              <w:bottom w:type="dxa" w:w="100"/>
              <w:right w:type="dxa" w:w="120"/>
            </w:tcMar>
          </w:tcPr>
          <w:p>
            <w:r>
              <w:rPr>
                <w:b/>
                <w:bCs/>
                <w:color w:val="FFFFFF"/>
                <w:sz w:val="20"/>
                <w:szCs w:val="20"/>
              </w:rPr>
              <w:t xml:space="preserve">Option B — API redesign</w:t>
            </w:r>
          </w:p>
        </w:tc>
      </w:tr>
      <w:tr>
        <w:tc>
          <w:tcPr>
            <w:tcW w:type="dxa" w:w="3120"/>
            <w:tcMar>
              <w:top w:type="dxa" w:w="100"/>
              <w:left w:type="dxa" w:w="120"/>
              <w:bottom w:type="dxa" w:w="100"/>
              <w:right w:type="dxa" w:w="120"/>
            </w:tcMar>
          </w:tcPr>
          <w:p>
            <w:r>
              <w:rPr>
                <w:b w:val="false"/>
                <w:bCs w:val="false"/>
                <w:color w:val="000000"/>
                <w:sz w:val="20"/>
                <w:szCs w:val="20"/>
              </w:rPr>
              <w:t xml:space="preserve">Proposed by</w:t>
            </w:r>
          </w:p>
        </w:tc>
        <w:tc>
          <w:tcPr>
            <w:tcW w:type="dxa" w:w="3120"/>
            <w:tcMar>
              <w:top w:type="dxa" w:w="100"/>
              <w:left w:type="dxa" w:w="120"/>
              <w:bottom w:type="dxa" w:w="100"/>
              <w:right w:type="dxa" w:w="120"/>
            </w:tcMar>
          </w:tcPr>
          <w:p>
            <w:r>
              <w:rPr>
                <w:b w:val="false"/>
                <w:bCs w:val="false"/>
                <w:color w:val="000000"/>
                <w:sz w:val="20"/>
                <w:szCs w:val="20"/>
              </w:rPr>
              <w:t xml:space="preserve">Business, as the fastest path to a fix</w:t>
            </w:r>
          </w:p>
        </w:tc>
        <w:tc>
          <w:tcPr>
            <w:tcW w:type="dxa" w:w="3120"/>
            <w:tcMar>
              <w:top w:type="dxa" w:w="100"/>
              <w:left w:type="dxa" w:w="120"/>
              <w:bottom w:type="dxa" w:w="100"/>
              <w:right w:type="dxa" w:w="120"/>
            </w:tcMar>
          </w:tcPr>
          <w:p>
            <w:r>
              <w:rPr>
                <w:b w:val="false"/>
                <w:bCs w:val="false"/>
                <w:color w:val="000000"/>
                <w:sz w:val="20"/>
                <w:szCs w:val="20"/>
              </w:rPr>
              <w:t xml:space="preserve">Architecture team</w:t>
            </w:r>
          </w:p>
        </w:tc>
      </w:tr>
      <w:tr>
        <w:tc>
          <w:tcPr>
            <w:tcW w:type="dxa" w:w="3120"/>
            <w:tcMar>
              <w:top w:type="dxa" w:w="100"/>
              <w:left w:type="dxa" w:w="120"/>
              <w:bottom w:type="dxa" w:w="100"/>
              <w:right w:type="dxa" w:w="120"/>
            </w:tcMar>
          </w:tcPr>
          <w:p>
            <w:r>
              <w:rPr>
                <w:b w:val="false"/>
                <w:bCs w:val="false"/>
                <w:color w:val="000000"/>
                <w:sz w:val="20"/>
                <w:szCs w:val="20"/>
              </w:rPr>
              <w:t xml:space="preserve">What it involved</w:t>
            </w:r>
          </w:p>
        </w:tc>
        <w:tc>
          <w:tcPr>
            <w:tcW w:type="dxa" w:w="3120"/>
            <w:tcMar>
              <w:top w:type="dxa" w:w="100"/>
              <w:left w:type="dxa" w:w="120"/>
              <w:bottom w:type="dxa" w:w="100"/>
              <w:right w:type="dxa" w:w="120"/>
            </w:tcMar>
          </w:tcPr>
          <w:p>
            <w:r>
              <w:rPr>
                <w:b w:val="false"/>
                <w:bCs w:val="false"/>
                <w:color w:val="000000"/>
                <w:sz w:val="20"/>
                <w:szCs w:val="20"/>
              </w:rPr>
              <w:t xml:space="preserve">Add a field to the API so the decisioning engine could suppress the rule for defined scenarios</w:t>
            </w:r>
          </w:p>
        </w:tc>
        <w:tc>
          <w:tcPr>
            <w:tcW w:type="dxa" w:w="3120"/>
            <w:tcMar>
              <w:top w:type="dxa" w:w="100"/>
              <w:left w:type="dxa" w:w="120"/>
              <w:bottom w:type="dxa" w:w="100"/>
              <w:right w:type="dxa" w:w="120"/>
            </w:tcMar>
          </w:tcPr>
          <w:p>
            <w:r>
              <w:rPr>
                <w:b w:val="false"/>
                <w:bCs w:val="false"/>
                <w:color w:val="000000"/>
                <w:sz w:val="20"/>
                <w:szCs w:val="20"/>
              </w:rPr>
              <w:t xml:space="preserve">Rework the underlying API calls toward a more flexible, microservices-aligned design</w:t>
            </w:r>
          </w:p>
        </w:tc>
      </w:tr>
      <w:tr>
        <w:tc>
          <w:tcPr>
            <w:tcW w:type="dxa" w:w="3120"/>
            <w:tcMar>
              <w:top w:type="dxa" w:w="100"/>
              <w:left w:type="dxa" w:w="120"/>
              <w:bottom w:type="dxa" w:w="100"/>
              <w:right w:type="dxa" w:w="120"/>
            </w:tcMar>
          </w:tcPr>
          <w:p>
            <w:r>
              <w:rPr>
                <w:b w:val="false"/>
                <w:bCs w:val="false"/>
                <w:color w:val="000000"/>
                <w:sz w:val="20"/>
                <w:szCs w:val="20"/>
              </w:rPr>
              <w:t xml:space="preserve">Trade-off</w:t>
            </w:r>
          </w:p>
        </w:tc>
        <w:tc>
          <w:tcPr>
            <w:tcW w:type="dxa" w:w="3120"/>
            <w:tcMar>
              <w:top w:type="dxa" w:w="100"/>
              <w:left w:type="dxa" w:w="120"/>
              <w:bottom w:type="dxa" w:w="100"/>
              <w:right w:type="dxa" w:w="120"/>
            </w:tcMar>
          </w:tcPr>
          <w:p>
            <w:r>
              <w:rPr>
                <w:b w:val="false"/>
                <w:bCs w:val="false"/>
                <w:color w:val="000000"/>
                <w:sz w:val="20"/>
                <w:szCs w:val="20"/>
              </w:rPr>
              <w:t xml:space="preserve">Fast to ship, but a tactical patch — more flags over time, and it doesn't reduce coupling to the rules engine</w:t>
            </w:r>
          </w:p>
        </w:tc>
        <w:tc>
          <w:tcPr>
            <w:tcW w:type="dxa" w:w="3120"/>
            <w:tcMar>
              <w:top w:type="dxa" w:w="100"/>
              <w:left w:type="dxa" w:w="120"/>
              <w:bottom w:type="dxa" w:w="100"/>
              <w:right w:type="dxa" w:w="120"/>
            </w:tcMar>
          </w:tcPr>
          <w:p>
            <w:r>
              <w:rPr>
                <w:b w:val="false"/>
                <w:bCs w:val="false"/>
                <w:color w:val="000000"/>
                <w:sz w:val="20"/>
                <w:szCs w:val="20"/>
              </w:rPr>
              <w:t xml:space="preserve">Aligned with the strategic tech direction, but the estimate was significantly higher — real risk of missing the fix window entirely</w:t>
            </w:r>
          </w:p>
        </w:tc>
      </w:tr>
    </w:tbl>
    <w:p>
      <w:pPr>
        <w:spacing w:after="160"/>
      </w:pPr>
      <w:r>
        <w:t xml:space="preserve"/>
      </w:r>
    </w:p>
    <w:p>
      <w:pPr>
        <w:spacing w:after="160"/>
      </w:pPr>
      <w:r>
        <w:t xml:space="preserve">Both had legitimate technical merit and neither was a clean win, which is what pushed this from a rule tweak into a design decision that needed a Tech PO in the room, not just a ticket in a queue.</w:t>
      </w:r>
    </w:p>
    <w:p>
      <w:pPr>
        <w:pStyle w:val="Heading1"/>
        <w:spacing w:after="140" w:before="320"/>
      </w:pPr>
      <w:r>
        <w:t xml:space="preserve">What I Weighed as Tech PO</w:t>
      </w:r>
    </w:p>
    <w:p>
      <w:pPr>
        <w:spacing w:after="160"/>
      </w:pPr>
      <w:r>
        <w:t xml:space="preserve">Beyond the two proposals on the table, a few technical and delivery considerations shaped the call:</w:t>
      </w:r>
    </w:p>
    <w:p>
      <w:pPr>
        <w:pStyle w:val="ListParagraph"/>
        <w:numPr>
          <w:ilvl w:val="0"/>
          <w:numId w:val="2"/>
        </w:numPr>
        <w:spacing w:after="90"/>
      </w:pPr>
      <w:r>
        <w:rPr>
          <w:b/>
          <w:bCs/>
        </w:rPr>
        <w:t xml:space="preserve">API contract impact:</w:t>
      </w:r>
      <w:r>
        <w:t xml:space="preserve"> Getting a flag-based suppression path meant one more conditional layer in an already rules-heavy decisioning flow — worth being honest about as tech debt rather than pretending it was free.</w:t>
      </w:r>
    </w:p>
    <w:p>
      <w:pPr>
        <w:pStyle w:val="ListParagraph"/>
        <w:numPr>
          <w:ilvl w:val="0"/>
          <w:numId w:val="2"/>
        </w:numPr>
        <w:spacing w:after="90"/>
      </w:pPr>
      <w:r>
        <w:rPr>
          <w:b/>
          <w:bCs/>
        </w:rPr>
        <w:t xml:space="preserve">Cross-service dependency:</w:t>
      </w:r>
      <w:r>
        <w:t xml:space="preserve"> The fix wasn't self-contained in our API — it depended on a change in the rules engine, owned by a different team with its own backlog, priorities, and release cycle. That's a delivery risk as much as a technical one.</w:t>
      </w:r>
    </w:p>
    <w:p>
      <w:pPr>
        <w:pStyle w:val="ListParagraph"/>
        <w:numPr>
          <w:ilvl w:val="0"/>
          <w:numId w:val="2"/>
        </w:numPr>
        <w:spacing w:after="90"/>
      </w:pPr>
      <w:r>
        <w:rPr>
          <w:b/>
          <w:bCs/>
        </w:rPr>
        <w:t xml:space="preserve">Traceability of suppressed decisions:</w:t>
      </w:r>
      <w:r>
        <w:t xml:space="preserve"> In payments, suppressing a decisioning rule isn't something you do quietly — it needed to be traceable, so support and compliance could see exactly when and why a rule was bypassed for a transaction.</w:t>
      </w:r>
    </w:p>
    <w:p>
      <w:pPr>
        <w:pStyle w:val="ListParagraph"/>
        <w:numPr>
          <w:ilvl w:val="0"/>
          <w:numId w:val="2"/>
        </w:numPr>
        <w:spacing w:after="90"/>
      </w:pPr>
      <w:r>
        <w:rPr>
          <w:b/>
          <w:bCs/>
        </w:rPr>
        <w:t xml:space="preserve">Release sequencing:</w:t>
      </w:r>
      <w:r>
        <w:t xml:space="preserve"> The rules engine and our API didn't ship on the same cadence, so production rollout had to be sequenced deliberately rather than assumed to land together.</w:t>
      </w:r>
    </w:p>
    <w:p>
      <w:pPr>
        <w:pStyle w:val="ListParagraph"/>
        <w:numPr>
          <w:ilvl w:val="0"/>
          <w:numId w:val="2"/>
        </w:numPr>
        <w:spacing w:after="90"/>
      </w:pPr>
      <w:r>
        <w:rPr>
          <w:b/>
          <w:bCs/>
        </w:rPr>
        <w:t xml:space="preserve">Test coverage across systems:</w:t>
      </w:r>
      <w:r>
        <w:t xml:space="preserve"> A change touching two systems needed end-to-end scenario coverage, not just unit tests on our side — and edge cases wouldn't be visible until the rules engine's output was actually in hand.</w:t>
      </w:r>
    </w:p>
    <w:p>
      <w:pPr>
        <w:pStyle w:val="ListParagraph"/>
        <w:numPr>
          <w:ilvl w:val="0"/>
          <w:numId w:val="2"/>
        </w:numPr>
        <w:spacing w:after="90"/>
      </w:pPr>
      <w:r>
        <w:rPr>
          <w:b/>
          <w:bCs/>
        </w:rPr>
        <w:t xml:space="preserve">Speed vs. architectural direction:</w:t>
      </w:r>
      <w:r>
        <w:t xml:space="preserve"> Picking Option B outright risked the fix window; picking Option A outright meant quietly accepting more coupling and technical debt. A hybrid kept the fix on schedule while banking the redesign as a tracked commitment rather than losing it entirely.</w:t>
      </w:r>
    </w:p>
    <w:p>
      <w:pPr>
        <w:pStyle w:val="Heading1"/>
        <w:spacing w:after="140" w:before="320"/>
      </w:pPr>
      <w:r>
        <w:t xml:space="preserve">Getting to a Hybrid Solution</w:t>
      </w:r>
    </w:p>
    <w:p>
      <w:pPr>
        <w:spacing w:after="160"/>
      </w:pPr>
      <w:r>
        <w:t xml:space="preserve">I worked with both business and the architecture/engineering teams to land on a hybrid: ship the suppression-field approach now to hit the fix window, while formally committing the microservices redesign as tracked technical debt rather than letting it quietly disappear once the immediate pain was resolved. I documented the agreed high-level and low-level design in Confluence and got sign-off before any stories were cut.</w:t>
      </w:r>
    </w:p>
    <w:p>
      <w:pPr>
        <w:pStyle w:val="Heading1"/>
        <w:spacing w:after="140" w:before="320"/>
      </w:pPr>
      <w:r>
        <w:t xml:space="preserve">Delivery: Sequencing Across Two Teams</w:t>
      </w:r>
    </w:p>
    <w:p>
      <w:pPr>
        <w:spacing w:after="160"/>
      </w:pPr>
      <w:r>
        <w:t xml:space="preserve">The rules engine change turned out not to be a small dependency — it needed to go into another team's backlog as its own feature, with their own PO, developers, and QA. I flagged this as a risk early and worked to get it prioritised on their side, keeping business and architects informed as the dependency and its risk evolved.</w:t>
      </w:r>
    </w:p>
    <w:p>
      <w:pPr>
        <w:pStyle w:val="ListParagraph"/>
        <w:numPr>
          <w:ilvl w:val="0"/>
          <w:numId w:val="2"/>
        </w:numPr>
        <w:spacing w:after="90"/>
      </w:pPr>
      <w:r>
        <w:rPr>
          <w:b/>
          <w:bCs/>
        </w:rPr>
        <w:t xml:space="preserve">Sprints 1–2:</w:t>
      </w:r>
      <w:r>
        <w:t xml:space="preserve"> Sequenced our own stories so the changes within our team's control shipped in the first two sprints, while the rules team worked their decisioning updates in parallel.</w:t>
      </w:r>
    </w:p>
    <w:p>
      <w:pPr>
        <w:pStyle w:val="ListParagraph"/>
        <w:numPr>
          <w:ilvl w:val="0"/>
          <w:numId w:val="2"/>
        </w:numPr>
        <w:spacing w:after="90"/>
      </w:pPr>
      <w:r>
        <w:rPr>
          <w:b/>
          <w:bCs/>
        </w:rPr>
        <w:t xml:space="preserve">Sprint 3:</w:t>
      </w:r>
      <w:r>
        <w:t xml:space="preserve"> Our side was fully built and automation tests were ready, waiting on the rules engine deliverable.</w:t>
      </w:r>
    </w:p>
    <w:p>
      <w:pPr>
        <w:pStyle w:val="ListParagraph"/>
        <w:numPr>
          <w:ilvl w:val="0"/>
          <w:numId w:val="2"/>
        </w:numPr>
        <w:spacing w:after="90"/>
      </w:pPr>
      <w:r>
        <w:rPr>
          <w:b/>
          <w:bCs/>
        </w:rPr>
        <w:t xml:space="preserve">Sprint 4:</w:t>
      </w:r>
      <w:r>
        <w:t xml:space="preserve"> Rules engine changes landed early in the sprint, unblocking full end-to-end testing.</w:t>
      </w:r>
    </w:p>
    <w:p>
      <w:pPr>
        <w:pStyle w:val="ListParagraph"/>
        <w:numPr>
          <w:ilvl w:val="0"/>
          <w:numId w:val="2"/>
        </w:numPr>
        <w:spacing w:after="90"/>
      </w:pPr>
      <w:r>
        <w:rPr>
          <w:b/>
          <w:bCs/>
        </w:rPr>
        <w:t xml:space="preserve">Sprint 5:</w:t>
      </w:r>
      <w:r>
        <w:t xml:space="preserve"> Held back 30% of capacity as a deliberate buffer — for edge cases and any bugs surfacing from the rules engine integration, rather than assuming a clean handoff.</w:t>
      </w:r>
    </w:p>
    <w:p>
      <w:pPr>
        <w:spacing w:after="160"/>
      </w:pPr>
      <w:r>
        <w:t xml:space="preserve">Demo went well and business signed off. Production deployment still needed care: our release cycle and the rules engine's didn't run on the same schedule, so go-live had to be synced across both to land on time.</w:t>
      </w:r>
    </w:p>
    <w:p>
      <w:pPr>
        <w:pStyle w:val="Heading1"/>
        <w:spacing w:after="140" w:before="320"/>
      </w:pPr>
      <w:r>
        <w:t xml:space="preserve">Outcome</w:t>
      </w:r>
    </w:p>
    <w:p>
      <w:pPr>
        <w:spacing w:after="160"/>
      </w:pPr>
      <w:r>
        <w:t xml:space="preserve">The fix shipped on schedule, wallet decline rates recovered, and the cross-team dependency that could easily have blown the timeline was managed proactively rather than discovered late. Just as importantly, the underlying coupling to the rules engine didn't disappear once the fire was out — I got the microservices redesign written into the next PI's backlog as a tracked initiative, rather than letting a tactical fix quietly become the permanent architecture.</w:t>
      </w:r>
    </w:p>
    <w:p>
      <w:pPr>
        <w:pStyle w:val="Heading1"/>
        <w:spacing w:after="140" w:before="320"/>
      </w:pPr>
      <w:r>
        <w:t xml:space="preserve">What I'd Highlight</w:t>
      </w:r>
    </w:p>
    <w:p>
      <w:pPr>
        <w:spacing w:after="160"/>
      </w:pPr>
      <w:r>
        <w:t xml:space="preserve">This one's less about the code and more about the judgment calls: knowing when a “simple rule update” is actually an architecture decision, being willing to negotiate a hybrid instead of forcing a binary choice, and treating a cross-team dependency as a risk to manage from day one rather than a status update to react to later.</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2026-08-26T08:25:10.241Z</dcterms:created>
  <dcterms:modified xsi:type="dcterms:W3CDTF">2026-08-26T08:25:10.257Z</dcterms:modified>
</cp:coreProperties>
</file>

<file path=docProps/custom.xml><?xml version="1.0" encoding="utf-8"?>
<Properties xmlns="http://schemas.openxmlformats.org/officeDocument/2006/custom-properties" xmlns:vt="http://schemas.openxmlformats.org/officeDocument/2006/docPropsVTypes"/>
</file>