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0377F" w14:textId="3D702C59" w:rsidR="00D450EA" w:rsidRDefault="00A950BA" w:rsidP="00A95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0BA">
        <w:rPr>
          <w:rFonts w:ascii="Times New Roman" w:hAnsi="Times New Roman" w:cs="Times New Roman"/>
          <w:b/>
          <w:sz w:val="24"/>
          <w:szCs w:val="24"/>
        </w:rPr>
        <w:t>DATA ANALYSIS – KICK STARTER CAMPAIGNS</w:t>
      </w:r>
    </w:p>
    <w:p w14:paraId="136217B8" w14:textId="77777777" w:rsidR="00EE5A13" w:rsidRDefault="00EE5A13" w:rsidP="00A950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6FB4AA" w14:textId="7D158BBC" w:rsidR="00A950BA" w:rsidRDefault="00EE5A13" w:rsidP="00EE5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E5A13">
        <w:rPr>
          <w:rFonts w:ascii="Times New Roman" w:hAnsi="Times New Roman" w:cs="Times New Roman"/>
          <w:sz w:val="24"/>
          <w:szCs w:val="24"/>
          <w:u w:val="single"/>
        </w:rPr>
        <w:t>Conclusion about Kick Starter Campaign:</w:t>
      </w:r>
    </w:p>
    <w:p w14:paraId="3E9E9638" w14:textId="77777777" w:rsidR="00EE5A13" w:rsidRDefault="00EE5A13" w:rsidP="00EE5A1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4042CB45" w14:textId="57CE6790" w:rsidR="00EE5A13" w:rsidRDefault="00EE5A13" w:rsidP="00EE5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5A13">
        <w:rPr>
          <w:rFonts w:ascii="Times New Roman" w:hAnsi="Times New Roman" w:cs="Times New Roman"/>
        </w:rPr>
        <w:t xml:space="preserve">According to the </w:t>
      </w:r>
      <w:r>
        <w:rPr>
          <w:rFonts w:ascii="Times New Roman" w:hAnsi="Times New Roman" w:cs="Times New Roman"/>
        </w:rPr>
        <w:t>data provided the total success rate of the project is 54% and the failure rate of the project is 37.1%. Though it seems to be less the more of the project failure happened during the year of (2014 – 2016). Here is the pictorial representation of the new projects (Parent Category) added during the above-mentioned period:</w:t>
      </w:r>
      <w:r w:rsidR="00310C9D">
        <w:rPr>
          <w:rFonts w:ascii="Times New Roman" w:hAnsi="Times New Roman" w:cs="Times New Roman"/>
        </w:rPr>
        <w:t xml:space="preserve"> (Year vs Parent Category)</w:t>
      </w:r>
      <w:bookmarkStart w:id="0" w:name="_GoBack"/>
      <w:bookmarkEnd w:id="0"/>
    </w:p>
    <w:p w14:paraId="13B263E6" w14:textId="1D2AC51F" w:rsidR="00EE5A13" w:rsidRDefault="00EE5A13" w:rsidP="00EE5A13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F741B" wp14:editId="626679C7">
            <wp:simplePos x="0" y="0"/>
            <wp:positionH relativeFrom="column">
              <wp:posOffset>152400</wp:posOffset>
            </wp:positionH>
            <wp:positionV relativeFrom="paragraph">
              <wp:posOffset>67310</wp:posOffset>
            </wp:positionV>
            <wp:extent cx="5943600" cy="2696845"/>
            <wp:effectExtent l="0" t="0" r="0" b="825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1A4232-9BED-4E36-8772-A2DA16109E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13973" w14:textId="77777777" w:rsidR="00EE5A13" w:rsidRPr="00EE5A13" w:rsidRDefault="00EE5A13" w:rsidP="00EE5A13"/>
    <w:p w14:paraId="48B8732D" w14:textId="77777777" w:rsidR="00EE5A13" w:rsidRPr="00EE5A13" w:rsidRDefault="00EE5A13" w:rsidP="00EE5A13"/>
    <w:p w14:paraId="6CA3C44C" w14:textId="77777777" w:rsidR="00EE5A13" w:rsidRPr="00EE5A13" w:rsidRDefault="00EE5A13" w:rsidP="00EE5A13"/>
    <w:p w14:paraId="7F0BFA73" w14:textId="77777777" w:rsidR="00EE5A13" w:rsidRPr="00EE5A13" w:rsidRDefault="00EE5A13" w:rsidP="00EE5A13"/>
    <w:p w14:paraId="0D34672D" w14:textId="77777777" w:rsidR="00EE5A13" w:rsidRPr="00EE5A13" w:rsidRDefault="00EE5A13" w:rsidP="00EE5A13"/>
    <w:p w14:paraId="3C93EC6B" w14:textId="77777777" w:rsidR="00EE5A13" w:rsidRPr="00EE5A13" w:rsidRDefault="00EE5A13" w:rsidP="00EE5A13"/>
    <w:p w14:paraId="1647ECAA" w14:textId="77777777" w:rsidR="00EE5A13" w:rsidRPr="00EE5A13" w:rsidRDefault="00EE5A13" w:rsidP="00EE5A13"/>
    <w:p w14:paraId="504D7DD6" w14:textId="77777777" w:rsidR="00EE5A13" w:rsidRPr="00EE5A13" w:rsidRDefault="00EE5A13" w:rsidP="00EE5A13"/>
    <w:p w14:paraId="0CD90610" w14:textId="47E15BD9" w:rsidR="00EE5A13" w:rsidRDefault="00EE5A13" w:rsidP="00EE5A13"/>
    <w:p w14:paraId="0E332A61" w14:textId="446F599A" w:rsidR="00EB7DCE" w:rsidRPr="00EE5A13" w:rsidRDefault="00EE5A13" w:rsidP="00EE5A13">
      <w:pPr>
        <w:tabs>
          <w:tab w:val="left" w:pos="1545"/>
        </w:tabs>
      </w:pPr>
      <w:r>
        <w:tab/>
        <w:t xml:space="preserve">During the year of (2014 – 2016) new projects like Theatre, Photography, </w:t>
      </w:r>
      <w:r w:rsidR="00EB7DCE">
        <w:t>Technology (</w:t>
      </w:r>
      <w:r w:rsidR="007772B3">
        <w:t xml:space="preserve">increased) </w:t>
      </w:r>
      <w:r>
        <w:t xml:space="preserve">and Food have been added.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2610"/>
        <w:gridCol w:w="2610"/>
      </w:tblGrid>
      <w:tr w:rsidR="00EB7DCE" w14:paraId="210D015C" w14:textId="77777777" w:rsidTr="00EB7DCE">
        <w:tc>
          <w:tcPr>
            <w:tcW w:w="1435" w:type="dxa"/>
          </w:tcPr>
          <w:p w14:paraId="2CD691F1" w14:textId="77777777" w:rsidR="00EB7DCE" w:rsidRDefault="00EB7DCE" w:rsidP="00EE5A13">
            <w:pPr>
              <w:tabs>
                <w:tab w:val="left" w:pos="1545"/>
              </w:tabs>
            </w:pPr>
          </w:p>
        </w:tc>
        <w:tc>
          <w:tcPr>
            <w:tcW w:w="2610" w:type="dxa"/>
          </w:tcPr>
          <w:p w14:paraId="3EA9A30B" w14:textId="0D9AB7A4" w:rsidR="00EB7DCE" w:rsidRDefault="00EB7DCE" w:rsidP="00EE5A13">
            <w:pPr>
              <w:tabs>
                <w:tab w:val="left" w:pos="1545"/>
              </w:tabs>
            </w:pPr>
            <w:r>
              <w:t>SUCCESS RATE</w:t>
            </w:r>
          </w:p>
        </w:tc>
        <w:tc>
          <w:tcPr>
            <w:tcW w:w="2610" w:type="dxa"/>
          </w:tcPr>
          <w:p w14:paraId="0CE0A455" w14:textId="2318C171" w:rsidR="00EB7DCE" w:rsidRDefault="00EB7DCE" w:rsidP="00EE5A13">
            <w:pPr>
              <w:tabs>
                <w:tab w:val="left" w:pos="1545"/>
              </w:tabs>
            </w:pPr>
            <w:r>
              <w:t>FAILURE RATE</w:t>
            </w:r>
          </w:p>
        </w:tc>
      </w:tr>
      <w:tr w:rsidR="00EB7DCE" w14:paraId="1073D33C" w14:textId="77777777" w:rsidTr="00EB7DCE">
        <w:tc>
          <w:tcPr>
            <w:tcW w:w="1435" w:type="dxa"/>
          </w:tcPr>
          <w:p w14:paraId="0AF9EDE8" w14:textId="3FDD6287" w:rsidR="00EB7DCE" w:rsidRDefault="00EB7DCE" w:rsidP="00EE5A13">
            <w:pPr>
              <w:tabs>
                <w:tab w:val="left" w:pos="1545"/>
              </w:tabs>
            </w:pPr>
            <w:r>
              <w:t>THEATRE</w:t>
            </w:r>
          </w:p>
        </w:tc>
        <w:tc>
          <w:tcPr>
            <w:tcW w:w="2610" w:type="dxa"/>
          </w:tcPr>
          <w:p w14:paraId="31289BB3" w14:textId="38B0CC01" w:rsidR="00EB7DCE" w:rsidRDefault="00EB7DCE" w:rsidP="00EE5A13">
            <w:pPr>
              <w:tabs>
                <w:tab w:val="left" w:pos="1545"/>
              </w:tabs>
            </w:pPr>
            <w:r>
              <w:t>60%</w:t>
            </w:r>
          </w:p>
        </w:tc>
        <w:tc>
          <w:tcPr>
            <w:tcW w:w="2610" w:type="dxa"/>
          </w:tcPr>
          <w:p w14:paraId="7DE9E143" w14:textId="7298685C" w:rsidR="00EB7DCE" w:rsidRDefault="00EB7DCE" w:rsidP="00EE5A13">
            <w:pPr>
              <w:tabs>
                <w:tab w:val="left" w:pos="1545"/>
              </w:tabs>
            </w:pPr>
            <w:r>
              <w:t>35%</w:t>
            </w:r>
          </w:p>
        </w:tc>
      </w:tr>
      <w:tr w:rsidR="00EB7DCE" w14:paraId="7052B1F1" w14:textId="77777777" w:rsidTr="00EB7DCE">
        <w:tc>
          <w:tcPr>
            <w:tcW w:w="1435" w:type="dxa"/>
            <w:shd w:val="clear" w:color="auto" w:fill="AEAAAA" w:themeFill="background2" w:themeFillShade="BF"/>
          </w:tcPr>
          <w:p w14:paraId="467B5D11" w14:textId="2C498C1B" w:rsidR="00EB7DCE" w:rsidRDefault="00EB7DCE" w:rsidP="00EE5A13">
            <w:pPr>
              <w:tabs>
                <w:tab w:val="left" w:pos="1545"/>
              </w:tabs>
            </w:pPr>
            <w:r>
              <w:t>PHOTOGRAPHY</w:t>
            </w:r>
          </w:p>
        </w:tc>
        <w:tc>
          <w:tcPr>
            <w:tcW w:w="2610" w:type="dxa"/>
          </w:tcPr>
          <w:p w14:paraId="05AE3ED4" w14:textId="660B52E0" w:rsidR="00EB7DCE" w:rsidRDefault="00EB7DCE" w:rsidP="00EE5A13">
            <w:pPr>
              <w:tabs>
                <w:tab w:val="left" w:pos="1545"/>
              </w:tabs>
            </w:pPr>
            <w:r>
              <w:t>47%</w:t>
            </w:r>
          </w:p>
        </w:tc>
        <w:tc>
          <w:tcPr>
            <w:tcW w:w="2610" w:type="dxa"/>
          </w:tcPr>
          <w:p w14:paraId="08AD02D7" w14:textId="0B3AE2E0" w:rsidR="00EB7DCE" w:rsidRDefault="00EB7DCE" w:rsidP="00EE5A13">
            <w:pPr>
              <w:tabs>
                <w:tab w:val="left" w:pos="1545"/>
              </w:tabs>
            </w:pPr>
            <w:r>
              <w:t>53%</w:t>
            </w:r>
          </w:p>
        </w:tc>
      </w:tr>
      <w:tr w:rsidR="00EB7DCE" w14:paraId="3D7DAA1E" w14:textId="77777777" w:rsidTr="007772B3">
        <w:tc>
          <w:tcPr>
            <w:tcW w:w="1435" w:type="dxa"/>
            <w:shd w:val="clear" w:color="auto" w:fill="AEAAAA" w:themeFill="background2" w:themeFillShade="BF"/>
          </w:tcPr>
          <w:p w14:paraId="2F816177" w14:textId="0787D55F" w:rsidR="00EB7DCE" w:rsidRDefault="007772B3" w:rsidP="00EE5A13">
            <w:pPr>
              <w:tabs>
                <w:tab w:val="left" w:pos="1545"/>
              </w:tabs>
            </w:pPr>
            <w:r>
              <w:t>TECHNOLOGY</w:t>
            </w:r>
          </w:p>
        </w:tc>
        <w:tc>
          <w:tcPr>
            <w:tcW w:w="2610" w:type="dxa"/>
          </w:tcPr>
          <w:p w14:paraId="1184CFE6" w14:textId="4E52DDF4" w:rsidR="00EB7DCE" w:rsidRDefault="007772B3" w:rsidP="00EE5A13">
            <w:pPr>
              <w:tabs>
                <w:tab w:val="left" w:pos="1545"/>
              </w:tabs>
            </w:pPr>
            <w:r>
              <w:t>34%</w:t>
            </w:r>
          </w:p>
        </w:tc>
        <w:tc>
          <w:tcPr>
            <w:tcW w:w="2610" w:type="dxa"/>
          </w:tcPr>
          <w:p w14:paraId="2F2870D7" w14:textId="60A58BC0" w:rsidR="00EB7DCE" w:rsidRDefault="007772B3" w:rsidP="00EE5A13">
            <w:pPr>
              <w:tabs>
                <w:tab w:val="left" w:pos="1545"/>
              </w:tabs>
            </w:pPr>
            <w:r>
              <w:t>36%</w:t>
            </w:r>
          </w:p>
        </w:tc>
      </w:tr>
      <w:tr w:rsidR="00EB7DCE" w14:paraId="187C7BEE" w14:textId="77777777" w:rsidTr="00EB7DCE">
        <w:tc>
          <w:tcPr>
            <w:tcW w:w="1435" w:type="dxa"/>
            <w:shd w:val="clear" w:color="auto" w:fill="AEAAAA" w:themeFill="background2" w:themeFillShade="BF"/>
          </w:tcPr>
          <w:p w14:paraId="18F41BB7" w14:textId="301BCC2C" w:rsidR="00EB7DCE" w:rsidRDefault="00EB7DCE" w:rsidP="00EE5A13">
            <w:pPr>
              <w:tabs>
                <w:tab w:val="left" w:pos="1545"/>
              </w:tabs>
            </w:pPr>
            <w:r>
              <w:t>FOOD</w:t>
            </w:r>
          </w:p>
        </w:tc>
        <w:tc>
          <w:tcPr>
            <w:tcW w:w="2610" w:type="dxa"/>
          </w:tcPr>
          <w:p w14:paraId="67D7F4A6" w14:textId="57D9B260" w:rsidR="00EB7DCE" w:rsidRDefault="00EB7DCE" w:rsidP="00EE5A13">
            <w:pPr>
              <w:tabs>
                <w:tab w:val="left" w:pos="1545"/>
              </w:tabs>
            </w:pPr>
            <w:r>
              <w:t>70%</w:t>
            </w:r>
          </w:p>
        </w:tc>
        <w:tc>
          <w:tcPr>
            <w:tcW w:w="2610" w:type="dxa"/>
          </w:tcPr>
          <w:p w14:paraId="62D174D8" w14:textId="60E9431A" w:rsidR="00EB7DCE" w:rsidRDefault="00EB7DCE" w:rsidP="00EE5A13">
            <w:pPr>
              <w:tabs>
                <w:tab w:val="left" w:pos="1545"/>
              </w:tabs>
            </w:pPr>
            <w:r>
              <w:t>30%</w:t>
            </w:r>
          </w:p>
        </w:tc>
      </w:tr>
    </w:tbl>
    <w:p w14:paraId="2B8D7D42" w14:textId="6AACE7E9" w:rsidR="00EE5A13" w:rsidRDefault="00EE5A13" w:rsidP="00EE5A13">
      <w:pPr>
        <w:tabs>
          <w:tab w:val="left" w:pos="1545"/>
        </w:tabs>
      </w:pPr>
    </w:p>
    <w:p w14:paraId="0649BABA" w14:textId="154307B6" w:rsidR="00EB7DCE" w:rsidRDefault="007772B3" w:rsidP="00EB7DCE">
      <w:pPr>
        <w:pStyle w:val="ListParagraph"/>
        <w:numPr>
          <w:ilvl w:val="0"/>
          <w:numId w:val="2"/>
        </w:numPr>
        <w:tabs>
          <w:tab w:val="left" w:pos="1545"/>
        </w:tabs>
      </w:pPr>
      <w:r>
        <w:t>As we could see the new projects Photography, Food and Technology (expanded widely) added during the year (2014-2016) together has a success rate of 32% and a failure rate of 62%.</w:t>
      </w:r>
    </w:p>
    <w:p w14:paraId="4B102166" w14:textId="14D01D46" w:rsidR="007772B3" w:rsidRDefault="007772B3" w:rsidP="007772B3">
      <w:pPr>
        <w:pStyle w:val="ListParagraph"/>
        <w:numPr>
          <w:ilvl w:val="0"/>
          <w:numId w:val="2"/>
        </w:numPr>
        <w:tabs>
          <w:tab w:val="left" w:pos="1545"/>
        </w:tabs>
      </w:pPr>
      <w:r>
        <w:t>Hereby, I conclude that in the mere future instead of carrying out the failure projects their budgets can be allocated for the success run projects like Theatre, film &amp; video and music expansions.</w:t>
      </w:r>
    </w:p>
    <w:p w14:paraId="0EFFCAC5" w14:textId="5150C8EE" w:rsidR="007772B3" w:rsidRDefault="007772B3" w:rsidP="00310C9D">
      <w:pPr>
        <w:pStyle w:val="ListParagraph"/>
        <w:tabs>
          <w:tab w:val="left" w:pos="1545"/>
        </w:tabs>
        <w:ind w:left="180"/>
      </w:pPr>
    </w:p>
    <w:p w14:paraId="2339336C" w14:textId="2EF44E7B" w:rsidR="00310C9D" w:rsidRDefault="00310C9D" w:rsidP="00310C9D">
      <w:pPr>
        <w:pStyle w:val="ListParagraph"/>
        <w:tabs>
          <w:tab w:val="left" w:pos="1545"/>
        </w:tabs>
        <w:ind w:left="180"/>
        <w:rPr>
          <w:b/>
        </w:rPr>
      </w:pPr>
      <w:r w:rsidRPr="00310C9D">
        <w:rPr>
          <w:b/>
        </w:rPr>
        <w:t>LIMITATIONS OF THE DATA SET:</w:t>
      </w:r>
    </w:p>
    <w:p w14:paraId="6D738C16" w14:textId="04D22C2B" w:rsidR="00310C9D" w:rsidRDefault="00310C9D" w:rsidP="00310C9D">
      <w:pPr>
        <w:pStyle w:val="ListParagraph"/>
        <w:tabs>
          <w:tab w:val="left" w:pos="1545"/>
        </w:tabs>
        <w:ind w:left="180"/>
        <w:rPr>
          <w:b/>
        </w:rPr>
      </w:pPr>
    </w:p>
    <w:p w14:paraId="0DF530FC" w14:textId="2365A832" w:rsidR="00310C9D" w:rsidRPr="00310C9D" w:rsidRDefault="00310C9D" w:rsidP="00310C9D">
      <w:pPr>
        <w:pStyle w:val="ListParagraph"/>
        <w:numPr>
          <w:ilvl w:val="0"/>
          <w:numId w:val="3"/>
        </w:numPr>
        <w:tabs>
          <w:tab w:val="left" w:pos="1545"/>
        </w:tabs>
        <w:rPr>
          <w:b/>
        </w:rPr>
      </w:pPr>
      <w:r>
        <w:t>Lack of information needed to access the credibility of the data</w:t>
      </w:r>
    </w:p>
    <w:p w14:paraId="0DF250B9" w14:textId="1F6BA6E1" w:rsidR="00310C9D" w:rsidRDefault="00310C9D" w:rsidP="00310C9D">
      <w:pPr>
        <w:pStyle w:val="ListParagraph"/>
        <w:numPr>
          <w:ilvl w:val="0"/>
          <w:numId w:val="3"/>
        </w:numPr>
        <w:tabs>
          <w:tab w:val="left" w:pos="1545"/>
        </w:tabs>
      </w:pPr>
      <w:r w:rsidRPr="00310C9D">
        <w:lastRenderedPageBreak/>
        <w:t>Many</w:t>
      </w:r>
      <w:r>
        <w:t xml:space="preserve"> assumptions have been made during the analysis of the data</w:t>
      </w:r>
    </w:p>
    <w:p w14:paraId="1D7B79B7" w14:textId="7FEDBC6F" w:rsidR="00310C9D" w:rsidRDefault="00310C9D" w:rsidP="00310C9D">
      <w:pPr>
        <w:tabs>
          <w:tab w:val="left" w:pos="1545"/>
        </w:tabs>
        <w:ind w:left="540"/>
        <w:rPr>
          <w:b/>
        </w:rPr>
      </w:pPr>
      <w:r w:rsidRPr="00310C9D">
        <w:rPr>
          <w:b/>
        </w:rPr>
        <w:t>TYPES OF GRAPHS &amp; CHARTS:</w:t>
      </w:r>
    </w:p>
    <w:p w14:paraId="5E62DF17" w14:textId="198DDF99" w:rsidR="00310C9D" w:rsidRPr="00310C9D" w:rsidRDefault="00310C9D" w:rsidP="00310C9D">
      <w:pPr>
        <w:pStyle w:val="ListParagraph"/>
        <w:numPr>
          <w:ilvl w:val="0"/>
          <w:numId w:val="4"/>
        </w:numPr>
        <w:tabs>
          <w:tab w:val="left" w:pos="1545"/>
        </w:tabs>
        <w:rPr>
          <w:b/>
        </w:rPr>
      </w:pPr>
      <w:r>
        <w:t>Pie chart, circular area, scatter plot can also be used.</w:t>
      </w:r>
    </w:p>
    <w:p w14:paraId="72C7AF98" w14:textId="3EBCEA98" w:rsidR="00310C9D" w:rsidRPr="00310C9D" w:rsidRDefault="00310C9D" w:rsidP="00310C9D">
      <w:pPr>
        <w:pStyle w:val="ListParagraph"/>
        <w:numPr>
          <w:ilvl w:val="0"/>
          <w:numId w:val="4"/>
        </w:numPr>
        <w:tabs>
          <w:tab w:val="left" w:pos="1545"/>
        </w:tabs>
      </w:pPr>
      <w:r w:rsidRPr="00310C9D">
        <w:t xml:space="preserve">As shown above </w:t>
      </w:r>
      <w:r>
        <w:t xml:space="preserve">the </w:t>
      </w:r>
      <w:proofErr w:type="gramStart"/>
      <w:r>
        <w:t>( year</w:t>
      </w:r>
      <w:proofErr w:type="gramEnd"/>
      <w:r>
        <w:t xml:space="preserve"> vs Parent Category) chart was also helpful to analyze the new category products entered into the Kick starter project during the time where failure rates started growing.</w:t>
      </w:r>
    </w:p>
    <w:sectPr w:rsidR="00310C9D" w:rsidRPr="0031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58AD"/>
    <w:multiLevelType w:val="hybridMultilevel"/>
    <w:tmpl w:val="592ECE9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26445B1"/>
    <w:multiLevelType w:val="hybridMultilevel"/>
    <w:tmpl w:val="993E552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7013E3C"/>
    <w:multiLevelType w:val="hybridMultilevel"/>
    <w:tmpl w:val="A6CE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C1D3A"/>
    <w:multiLevelType w:val="hybridMultilevel"/>
    <w:tmpl w:val="AB1846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3C"/>
    <w:rsid w:val="00310C9D"/>
    <w:rsid w:val="007772B3"/>
    <w:rsid w:val="00A950BA"/>
    <w:rsid w:val="00BD0B3C"/>
    <w:rsid w:val="00D450EA"/>
    <w:rsid w:val="00EB7DCE"/>
    <w:rsid w:val="00E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ECD1"/>
  <w15:chartTrackingRefBased/>
  <w15:docId w15:val="{3356B729-C1CF-42F2-9395-83373004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13"/>
    <w:pPr>
      <w:ind w:left="720"/>
      <w:contextualSpacing/>
    </w:pPr>
  </w:style>
  <w:style w:type="table" w:styleId="TableGrid">
    <w:name w:val="Table Grid"/>
    <w:basedOn w:val="TableNormal"/>
    <w:uiPriority w:val="39"/>
    <w:rsid w:val="00EB7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ranya\Desktop\UCI%20Data%20Analytic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[StarterBook.xlsx]Sheet6!PivotTable2</c:name>
    <c:fmtId val="-1"/>
  </c:pivotSource>
  <c:chart>
    <c:autoTitleDeleted val="0"/>
    <c:pivotFmts>
      <c:pivotFmt>
        <c:idx val="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Sheet6!$B$3:$B$4</c:f>
              <c:strCache>
                <c:ptCount val="1"/>
                <c:pt idx="0">
                  <c:v>film &amp; video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Sheet6!$A$5:$A$15</c:f>
              <c:strCache>
                <c:ptCount val="10"/>
                <c:pt idx="0">
                  <c:v>&lt;5/17/2009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Sheet6!$B$5:$B$15</c:f>
              <c:numCache>
                <c:formatCode>General</c:formatCode>
                <c:ptCount val="10"/>
                <c:pt idx="1">
                  <c:v>4</c:v>
                </c:pt>
                <c:pt idx="2">
                  <c:v>21</c:v>
                </c:pt>
                <c:pt idx="3">
                  <c:v>48</c:v>
                </c:pt>
                <c:pt idx="4">
                  <c:v>55</c:v>
                </c:pt>
                <c:pt idx="5">
                  <c:v>53</c:v>
                </c:pt>
                <c:pt idx="6">
                  <c:v>110</c:v>
                </c:pt>
                <c:pt idx="7">
                  <c:v>139</c:v>
                </c:pt>
                <c:pt idx="8">
                  <c:v>80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1F-469F-B0E2-938F9A84EDFC}"/>
            </c:ext>
          </c:extLst>
        </c:ser>
        <c:ser>
          <c:idx val="1"/>
          <c:order val="1"/>
          <c:tx>
            <c:strRef>
              <c:f>Sheet6!$C$3:$C$4</c:f>
              <c:strCache>
                <c:ptCount val="1"/>
                <c:pt idx="0">
                  <c:v>food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Sheet6!$A$5:$A$15</c:f>
              <c:strCache>
                <c:ptCount val="10"/>
                <c:pt idx="0">
                  <c:v>&lt;5/17/2009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Sheet6!$C$5:$C$15</c:f>
              <c:numCache>
                <c:formatCode>General</c:formatCode>
                <c:ptCount val="10"/>
                <c:pt idx="6">
                  <c:v>64</c:v>
                </c:pt>
                <c:pt idx="7">
                  <c:v>77</c:v>
                </c:pt>
                <c:pt idx="8">
                  <c:v>46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1F-469F-B0E2-938F9A84EDFC}"/>
            </c:ext>
          </c:extLst>
        </c:ser>
        <c:ser>
          <c:idx val="2"/>
          <c:order val="2"/>
          <c:tx>
            <c:strRef>
              <c:f>Sheet6!$D$3:$D$4</c:f>
              <c:strCache>
                <c:ptCount val="1"/>
                <c:pt idx="0">
                  <c:v>games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Sheet6!$A$5:$A$15</c:f>
              <c:strCache>
                <c:ptCount val="10"/>
                <c:pt idx="0">
                  <c:v>&lt;5/17/2009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Sheet6!$D$5:$D$15</c:f>
              <c:numCache>
                <c:formatCode>General</c:formatCode>
                <c:ptCount val="10"/>
                <c:pt idx="2">
                  <c:v>4</c:v>
                </c:pt>
                <c:pt idx="3">
                  <c:v>7</c:v>
                </c:pt>
                <c:pt idx="4">
                  <c:v>13</c:v>
                </c:pt>
                <c:pt idx="5">
                  <c:v>23</c:v>
                </c:pt>
                <c:pt idx="6">
                  <c:v>55</c:v>
                </c:pt>
                <c:pt idx="7">
                  <c:v>43</c:v>
                </c:pt>
                <c:pt idx="8">
                  <c:v>61</c:v>
                </c:pt>
                <c:pt idx="9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1F-469F-B0E2-938F9A84EDFC}"/>
            </c:ext>
          </c:extLst>
        </c:ser>
        <c:ser>
          <c:idx val="3"/>
          <c:order val="3"/>
          <c:tx>
            <c:strRef>
              <c:f>Sheet6!$E$3:$E$4</c:f>
              <c:strCache>
                <c:ptCount val="1"/>
                <c:pt idx="0">
                  <c:v>journalism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Sheet6!$A$5:$A$15</c:f>
              <c:strCache>
                <c:ptCount val="10"/>
                <c:pt idx="0">
                  <c:v>&lt;5/17/2009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Sheet6!$E$5:$E$15</c:f>
              <c:numCache>
                <c:formatCode>General</c:formatCode>
                <c:ptCount val="10"/>
                <c:pt idx="6">
                  <c:v>6</c:v>
                </c:pt>
                <c:pt idx="7">
                  <c:v>8</c:v>
                </c:pt>
                <c:pt idx="8">
                  <c:v>9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1F-469F-B0E2-938F9A84EDFC}"/>
            </c:ext>
          </c:extLst>
        </c:ser>
        <c:ser>
          <c:idx val="4"/>
          <c:order val="4"/>
          <c:tx>
            <c:strRef>
              <c:f>Sheet6!$F$3:$F$4</c:f>
              <c:strCache>
                <c:ptCount val="1"/>
                <c:pt idx="0">
                  <c:v>music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Sheet6!$A$5:$A$15</c:f>
              <c:strCache>
                <c:ptCount val="10"/>
                <c:pt idx="0">
                  <c:v>&lt;5/17/2009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Sheet6!$F$5:$F$15</c:f>
              <c:numCache>
                <c:formatCode>General</c:formatCode>
                <c:ptCount val="10"/>
                <c:pt idx="1">
                  <c:v>7</c:v>
                </c:pt>
                <c:pt idx="2">
                  <c:v>30</c:v>
                </c:pt>
                <c:pt idx="3">
                  <c:v>89</c:v>
                </c:pt>
                <c:pt idx="4">
                  <c:v>159</c:v>
                </c:pt>
                <c:pt idx="5">
                  <c:v>118</c:v>
                </c:pt>
                <c:pt idx="6">
                  <c:v>102</c:v>
                </c:pt>
                <c:pt idx="7">
                  <c:v>99</c:v>
                </c:pt>
                <c:pt idx="8">
                  <c:v>68</c:v>
                </c:pt>
                <c:pt idx="9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C1F-469F-B0E2-938F9A84EDFC}"/>
            </c:ext>
          </c:extLst>
        </c:ser>
        <c:ser>
          <c:idx val="5"/>
          <c:order val="5"/>
          <c:tx>
            <c:strRef>
              <c:f>Sheet6!$G$3:$G$4</c:f>
              <c:strCache>
                <c:ptCount val="1"/>
                <c:pt idx="0">
                  <c:v>photography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Sheet6!$A$5:$A$15</c:f>
              <c:strCache>
                <c:ptCount val="10"/>
                <c:pt idx="0">
                  <c:v>&lt;5/17/2009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Sheet6!$G$5:$G$15</c:f>
              <c:numCache>
                <c:formatCode>General</c:formatCode>
                <c:ptCount val="10"/>
                <c:pt idx="2">
                  <c:v>1</c:v>
                </c:pt>
                <c:pt idx="6">
                  <c:v>61</c:v>
                </c:pt>
                <c:pt idx="7">
                  <c:v>81</c:v>
                </c:pt>
                <c:pt idx="8">
                  <c:v>65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C1F-469F-B0E2-938F9A84EDFC}"/>
            </c:ext>
          </c:extLst>
        </c:ser>
        <c:ser>
          <c:idx val="6"/>
          <c:order val="6"/>
          <c:tx>
            <c:strRef>
              <c:f>Sheet6!$H$3:$H$4</c:f>
              <c:strCache>
                <c:ptCount val="1"/>
                <c:pt idx="0">
                  <c:v>publishing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Sheet6!$A$5:$A$15</c:f>
              <c:strCache>
                <c:ptCount val="10"/>
                <c:pt idx="0">
                  <c:v>&lt;5/17/2009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Sheet6!$H$5:$H$15</c:f>
              <c:numCache>
                <c:formatCode>General</c:formatCode>
                <c:ptCount val="10"/>
                <c:pt idx="1">
                  <c:v>2</c:v>
                </c:pt>
                <c:pt idx="2">
                  <c:v>3</c:v>
                </c:pt>
                <c:pt idx="3">
                  <c:v>18</c:v>
                </c:pt>
                <c:pt idx="4">
                  <c:v>32</c:v>
                </c:pt>
                <c:pt idx="5">
                  <c:v>40</c:v>
                </c:pt>
                <c:pt idx="6">
                  <c:v>44</c:v>
                </c:pt>
                <c:pt idx="7">
                  <c:v>55</c:v>
                </c:pt>
                <c:pt idx="8">
                  <c:v>40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1F-469F-B0E2-938F9A84EDFC}"/>
            </c:ext>
          </c:extLst>
        </c:ser>
        <c:ser>
          <c:idx val="7"/>
          <c:order val="7"/>
          <c:tx>
            <c:strRef>
              <c:f>Sheet6!$I$3:$I$4</c:f>
              <c:strCache>
                <c:ptCount val="1"/>
                <c:pt idx="0">
                  <c:v>technology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Sheet6!$A$5:$A$15</c:f>
              <c:strCache>
                <c:ptCount val="10"/>
                <c:pt idx="0">
                  <c:v>&lt;5/17/2009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Sheet6!$I$5:$I$15</c:f>
              <c:numCache>
                <c:formatCode>General</c:formatCode>
                <c:ptCount val="10"/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15</c:v>
                </c:pt>
                <c:pt idx="5">
                  <c:v>29</c:v>
                </c:pt>
                <c:pt idx="6">
                  <c:v>131</c:v>
                </c:pt>
                <c:pt idx="7">
                  <c:v>205</c:v>
                </c:pt>
                <c:pt idx="8">
                  <c:v>190</c:v>
                </c:pt>
                <c:pt idx="9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C1F-469F-B0E2-938F9A84EDFC}"/>
            </c:ext>
          </c:extLst>
        </c:ser>
        <c:ser>
          <c:idx val="8"/>
          <c:order val="8"/>
          <c:tx>
            <c:strRef>
              <c:f>Sheet6!$J$3:$J$4</c:f>
              <c:strCache>
                <c:ptCount val="1"/>
                <c:pt idx="0">
                  <c:v>theater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Sheet6!$A$5:$A$15</c:f>
              <c:strCache>
                <c:ptCount val="10"/>
                <c:pt idx="0">
                  <c:v>&lt;5/17/2009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Sheet6!$J$5:$J$15</c:f>
              <c:numCache>
                <c:formatCode>General</c:formatCode>
                <c:ptCount val="10"/>
                <c:pt idx="2">
                  <c:v>3</c:v>
                </c:pt>
                <c:pt idx="3">
                  <c:v>4</c:v>
                </c:pt>
                <c:pt idx="4">
                  <c:v>8</c:v>
                </c:pt>
                <c:pt idx="5">
                  <c:v>11</c:v>
                </c:pt>
                <c:pt idx="6">
                  <c:v>403</c:v>
                </c:pt>
                <c:pt idx="7">
                  <c:v>518</c:v>
                </c:pt>
                <c:pt idx="8">
                  <c:v>391</c:v>
                </c:pt>
                <c:pt idx="9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1F-469F-B0E2-938F9A84EDFC}"/>
            </c:ext>
          </c:extLst>
        </c:ser>
        <c:ser>
          <c:idx val="9"/>
          <c:order val="9"/>
          <c:tx>
            <c:strRef>
              <c:f>Sheet6!$K$3:$K$4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Sheet6!$A$5:$A$15</c:f>
              <c:strCache>
                <c:ptCount val="10"/>
                <c:pt idx="0">
                  <c:v>&lt;5/17/2009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</c:strCache>
            </c:strRef>
          </c:cat>
          <c:val>
            <c:numRef>
              <c:f>Sheet6!$K$5:$K$15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9-1C1F-469F-B0E2-938F9A84E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76971792"/>
        <c:axId val="376977696"/>
      </c:barChart>
      <c:catAx>
        <c:axId val="37697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977696"/>
        <c:crosses val="autoZero"/>
        <c:auto val="1"/>
        <c:lblAlgn val="ctr"/>
        <c:lblOffset val="100"/>
        <c:noMultiLvlLbl val="0"/>
      </c:catAx>
      <c:valAx>
        <c:axId val="37697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97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546526470491346"/>
          <c:y val="5.4713189683423778E-2"/>
          <c:w val="0.1413427456967255"/>
          <c:h val="0.807499592808041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Babuselvan</dc:creator>
  <cp:keywords/>
  <dc:description/>
  <cp:lastModifiedBy>Saranya Babuselvan</cp:lastModifiedBy>
  <cp:revision>2</cp:revision>
  <dcterms:created xsi:type="dcterms:W3CDTF">2018-01-20T09:45:00Z</dcterms:created>
  <dcterms:modified xsi:type="dcterms:W3CDTF">2018-01-20T10:46:00Z</dcterms:modified>
</cp:coreProperties>
</file>