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Architecture of Software</w:t>
      </w:r>
    </w:p>
    <w:p>
      <w:r>
        <w:t>The device runs a layered software architecture.</w:t>
      </w:r>
    </w:p>
    <w:p>
      <w:pPr>
        <w:pStyle w:val="Heading2"/>
      </w:pPr>
      <w:r>
        <w:t>1.1 LCD Module</w:t>
      </w:r>
    </w:p>
    <w:p>
      <w:r>
        <w:t>The LCD module renders status and warnings.</w:t>
      </w:r>
    </w:p>
    <w:p>
      <w:pPr>
        <w:pStyle w:val="Heading1"/>
      </w:pPr>
      <w:r>
        <w:t>2. Serial Communication Architecture</w:t>
      </w:r>
    </w:p>
    <w:p>
      <w:r>
        <w:t>Serial link uses RS-232 at 115200 baud.</w:t>
      </w:r>
    </w:p>
    <w:p>
      <w:pPr>
        <w:pStyle w:val="Heading1"/>
      </w:pPr>
      <w:r>
        <w:t>7. Software Specifications</w:t>
      </w:r>
    </w:p>
    <w:p>
      <w:r>
        <w:t>Driver and Qt specifications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