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 me: SARIMAX model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predicting the overall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sales</w:t>
      </w:r>
      <w:r w:rsidDel="00000000" w:rsidR="00000000" w:rsidRPr="00000000">
        <w:rPr>
          <w:sz w:val="24"/>
          <w:szCs w:val="24"/>
          <w:rtl w:val="0"/>
        </w:rPr>
        <w:t xml:space="preserve"> next year and specify future sales for each category of products we applied the SARIMA</w:t>
      </w:r>
      <w:r w:rsidDel="00000000" w:rsidR="00000000" w:rsidRPr="00000000">
        <w:rPr>
          <w:sz w:val="24"/>
          <w:szCs w:val="24"/>
          <w:rtl w:val="0"/>
        </w:rPr>
        <w:t xml:space="preserve"> model which takes into account the past experience (autoregressive model) and seasonality patterns. The model includes the following parameters: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- order of the autoregressive part;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- degree of first differencing involved;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- order of the moving average part.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P, D, Q - all previous characteristics with seasonal factors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-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seasonal length in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followed the steps below considering the example of overall sales: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Identifying the stationarity and difference of the time series: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results of Dickey-Fuller test p-value = 0.11 &gt; 0.05, we can suggest that our time series is not stationary.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730" cy="310512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730" cy="3105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Analyzing the ADF chart we can suggest that parameter p = 0 since coefficients of autocorrelation slowly decrease over time lags, so autocorrelation is not significant.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Suggesting the initial parameters: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our series are not stationary, for further analysis we need to find the difference series with lag=1: </w:t>
      </w:r>
      <w:r w:rsidDel="00000000" w:rsidR="00000000" w:rsidRPr="00000000">
        <w:rPr>
          <w:i w:val="1"/>
          <w:sz w:val="24"/>
          <w:szCs w:val="24"/>
          <w:rtl w:val="0"/>
        </w:rPr>
        <w:t xml:space="preserve">y_dif(t+1)=y(t+1)- y(t)</w:t>
      </w:r>
      <w:r w:rsidDel="00000000" w:rsidR="00000000" w:rsidRPr="00000000">
        <w:rPr>
          <w:sz w:val="24"/>
          <w:szCs w:val="24"/>
          <w:rtl w:val="0"/>
        </w:rPr>
        <w:t xml:space="preserve"> . The p-value = 0.00 of Dickey-Fuller test, so it is stationary. We can suggest the other parameters: q=1 (the first lag has a spike).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see little spikes at lag 12 and 24 on ACF, so P can be equal to 1.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decomposition of the time series we can see the seasonal trend, so s =12: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5238" cy="175806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758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Generating the final parameters for the model: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find the best parameters for our model, we generated different series of parameters (p, d, q, P, D, Q) with the lowest AIC(Akaike’s Information Criterion).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Finally, we run the SARIMAX model: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1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 of residuals shows, that the model fits well: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