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https://beetroot2024.atlassian.net/browse/SCRUM-78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https://beetroot2024.atlassian.net/browse/SCRUM-100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Beet Sprout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https://beetroot2024.atlassian.net/browse/SCRUM-97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https://beetroot2024.atlassian.net/browse/SCRUM-98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https://beetroot2024.atlassian.net/browse/SCRUM-99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Mighty Beet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(UX):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Test if the UI design is consistent and appellative</w:t>
      </w:r>
      <w:r w:rsidDel="00000000" w:rsidR="00000000" w:rsidRPr="00000000">
        <w:rPr>
          <w:rtl w:val="0"/>
        </w:rPr>
        <w:t xml:space="preserve">: consistency on fonts, colors, and sizes; elements aligned and visually appealing;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Test on different devices, sizes, and screen orientations</w:t>
      </w:r>
      <w:r w:rsidDel="00000000" w:rsidR="00000000" w:rsidRPr="00000000">
        <w:rPr>
          <w:rtl w:val="0"/>
        </w:rPr>
        <w:t xml:space="preserve">: are the elements aligned equally when changing the screen orientation?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 (Functionality):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Test the login process</w:t>
      </w:r>
      <w:r w:rsidDel="00000000" w:rsidR="00000000" w:rsidRPr="00000000">
        <w:rPr>
          <w:rtl w:val="0"/>
        </w:rPr>
        <w:t xml:space="preserve">: is it impossible to log in with an unregistered email? Can I log in with an incorrect password?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Test the messages section</w:t>
      </w:r>
      <w:r w:rsidDel="00000000" w:rsidR="00000000" w:rsidRPr="00000000">
        <w:rPr>
          <w:rtl w:val="0"/>
        </w:rPr>
        <w:t xml:space="preserve">: Is it possible to send messages to other users without issues? Is it possible to receive messages from other users? Check if everything works as expected.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eetroot2024.atlassian.net/browse/SCRUM-99" TargetMode="External"/><Relationship Id="rId9" Type="http://schemas.openxmlformats.org/officeDocument/2006/relationships/hyperlink" Target="https://beetroot2024.atlassian.net/browse/SCRUM-98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2024.atlassian.net/browse/SCRUM-78" TargetMode="External"/><Relationship Id="rId7" Type="http://schemas.openxmlformats.org/officeDocument/2006/relationships/hyperlink" Target="https://beetroot2024.atlassian.net/browse/SCRUM-100" TargetMode="External"/><Relationship Id="rId8" Type="http://schemas.openxmlformats.org/officeDocument/2006/relationships/hyperlink" Target="https://beetroot2024.atlassian.net/browse/SCRUM-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