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Arial" w:hAnsi="Arial" w:eastAsia="Arial"/>
          <w:rFonts w:ascii="Arial" w:hAnsi="Arial"/>
          <w:b/>
          <w:color w:val="C41020"/>
          <w:sz w:val="22"/>
        </w:rPr>
        <w:t>V4 COMPANY</w:t>
      </w:r>
    </w:p>
    <w:p>
      <w:pPr>
        <w:spacing w:after="80" w:before="0" w:line="240" w:lineRule="auto"/>
        <w:jc w:val="center"/>
      </w:pPr>
      <w:r>
        <w:rPr>
          <w:rFonts w:ascii="Arial" w:hAnsi="Arial" w:eastAsia="Arial"/>
          <w:rFonts w:ascii="Arial" w:hAnsi="Arial"/>
          <w:b/>
          <w:color w:val="1A1A1A"/>
          <w:sz w:val="40"/>
        </w:rPr>
        <w:t>PROPOSTA DE PARCERIA</w:t>
      </w:r>
    </w:p>
    <w:p>
      <w:pPr>
        <w:spacing w:after="120" w:before="0" w:line="240" w:lineRule="auto"/>
        <w:jc w:val="center"/>
      </w:pPr>
      <w:r>
        <w:rPr>
          <w:rFonts w:ascii="Arial" w:hAnsi="Arial" w:eastAsia="Arial"/>
          <w:rFonts w:ascii="Arial" w:hAnsi="Arial"/>
          <w:b/>
          <w:color w:val="C41020"/>
          <w:sz w:val="32"/>
        </w:rPr>
        <w:t>AGM Distribuidora</w:t>
      </w:r>
    </w:p>
    <w:p>
      <w:pPr>
        <w:spacing w:after="20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555555"/>
          <w:sz w:val="20"/>
        </w:rPr>
        <w:t>Assessoria de Growth · Execução do plano da Estruturação Estratégica · 12 meses</w:t>
      </w:r>
    </w:p>
    <w:p>
      <w:pPr>
        <w:spacing w:after="80" w:before="0" w:line="240" w:lineRule="auto"/>
        <w:jc w:val="center"/>
      </w:pPr>
      <w:r>
        <w:rPr>
          <w:rFonts w:ascii="Arial" w:hAnsi="Arial" w:eastAsia="Arial"/>
          <w:rFonts w:ascii="Arial" w:hAnsi="Arial"/>
          <w:b w:val="0"/>
          <w:color w:val="555555"/>
          <w:sz w:val="20"/>
        </w:rPr>
        <w:t>Documento estratégico de continuidade | Julho/2026</w:t>
      </w:r>
    </w:p>
    <w:p>
      <w:pPr>
        <w:spacing w:before="160" w:after="160"/>
        <w:pBdr>
          <w:bottom w:val="single" w:sz="12" w:space="1" w:color="C41020"/>
        </w:pBdr>
      </w:pPr>
    </w:p>
    <w:p>
      <w:pPr>
        <w:spacing w:after="120" w:before="320" w:line="240" w:lineRule="auto"/>
        <w:jc w:val="left"/>
      </w:pPr>
      <w:r>
        <w:rPr>
          <w:rFonts w:ascii="Arial" w:hAnsi="Arial" w:eastAsia="Arial"/>
          <w:rFonts w:ascii="Arial" w:hAnsi="Arial"/>
          <w:b/>
          <w:color w:val="C41020"/>
          <w:sz w:val="28"/>
        </w:rPr>
        <w:t>1. Contexto da parceria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A AGM Distribuidora construiu uma operação sólida no offline: base B2B recorrente, vendedores experientes, logística por rotas e um B2B (Mercos) que já funciona como canal relevante de pedidos. O desafio atual não é falta de mercado — é transformar o digital em um canal previsível de aquisição e recompra, capaz de sustentar a meta de crescimento (de aproximadamente R$ 330 mil/mês para R$ 500 mil/mês).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Ao longo da Estruturação Estratégica (E.E.), mapeamos mercado, concorrência, personas, funil, oferta, tracking, redes, tráfego e oportunidades de reativação da base. O diagnóstico confirma: existe demanda digital já validada (clientes chegando por Instagram inclusive de outras cidades), porém sem mensuração, sem processo de atendimento inbound e sem rotina comercial digital integrada.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Este documento apresenta a proposta de continuidade: colocar o plano da E.E. em operação, com time dedicado da V4, pelo período de 12 meses.</w:t>
      </w:r>
    </w:p>
    <w:p>
      <w:pPr>
        <w:spacing w:after="120" w:before="320" w:line="240" w:lineRule="auto"/>
        <w:jc w:val="left"/>
      </w:pPr>
      <w:r>
        <w:rPr>
          <w:rFonts w:ascii="Arial" w:hAnsi="Arial" w:eastAsia="Arial"/>
          <w:rFonts w:ascii="Arial" w:hAnsi="Arial"/>
          <w:b/>
          <w:color w:val="C41020"/>
          <w:sz w:val="28"/>
        </w:rPr>
        <w:t>2. O que a Estruturação Estratégica já entregou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A E.E. organizou a base para a tomada de decisão e para a execução. Entre os principais entregáveis e direcionamentos: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Diagnóstico de marketing, vendas e canais digitais da AGM.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Leitura de mercado, concorrentes e oportunidades regionais (incluindo potencial local sem expansão territorial).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Definição de personas prioritárias: lojista de bairro, lojista sazonal e base inativa.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Matriz de ofertas e funil (cadastro → primeiro pedido → cliente ativo → recompra).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Direcionamento de comunicação (bio, destaques, manuais de copy e identidade visual).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Plano de tráfego (Meta + Google) e projeção de 12 meses.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Prioridades de retenção/reativação (semáforo de base e réguas de contato).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Roadmap de fundação → ativação → consolidação (30 a 90 dias e além).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Com o mapa definido, o próximo passo natural é a operação assistida e contínua — para que estratégia vire rotina, lead e receita.</w:t>
      </w:r>
    </w:p>
    <w:p>
      <w:pPr>
        <w:spacing w:after="120" w:before="320" w:line="240" w:lineRule="auto"/>
        <w:jc w:val="left"/>
      </w:pPr>
      <w:r>
        <w:rPr>
          <w:rFonts w:ascii="Arial" w:hAnsi="Arial" w:eastAsia="Arial"/>
          <w:rFonts w:ascii="Arial" w:hAnsi="Arial"/>
          <w:b/>
          <w:color w:val="C41020"/>
          <w:sz w:val="28"/>
        </w:rPr>
        <w:t>3. Proposta: Assessoria de Growth (Executar)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A Assessoria de Growth é o braço de execução da V4. Em vez de deixar o plano dependente da agenda interna já sobrecarregada da AGM, a V4 assume a operação digital com um time multidisciplinar, conectado ao comercial e aos objetivos de faturamento.</w:t>
      </w:r>
    </w:p>
    <w:p>
      <w:pPr>
        <w:spacing w:after="80" w:before="200" w:line="240" w:lineRule="auto"/>
        <w:jc w:val="left"/>
      </w:pPr>
      <w:r>
        <w:rPr>
          <w:rFonts w:ascii="Arial" w:hAnsi="Arial" w:eastAsia="Arial"/>
          <w:rFonts w:ascii="Arial" w:hAnsi="Arial"/>
          <w:b/>
          <w:color w:val="1A1A1A"/>
          <w:sz w:val="24"/>
        </w:rPr>
        <w:t>Objetivo da parceria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Tornar o digital um canal estruturado de geração de demanda B2B.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Aumentar a base de clientes ativos e acelerar o primeiro pedido.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Organizar recompra e reativação com processo (não só esforço espontâneo).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Gerar previsibilidade: origem do lead, custo, conversão e retorno.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Reduzir a dependência exclusiva do esforço manual do sócio no marketing.</w:t>
      </w:r>
    </w:p>
    <w:p>
      <w:pPr>
        <w:spacing w:after="80" w:before="200" w:line="240" w:lineRule="auto"/>
        <w:jc w:val="left"/>
      </w:pPr>
      <w:r>
        <w:rPr>
          <w:rFonts w:ascii="Arial" w:hAnsi="Arial" w:eastAsia="Arial"/>
          <w:rFonts w:ascii="Arial" w:hAnsi="Arial"/>
          <w:b/>
          <w:color w:val="1A1A1A"/>
          <w:sz w:val="24"/>
        </w:rPr>
        <w:t>Escopo de execução (12 meses)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Gestão e otimização de tráfego pago (Meta Ads e Google Ads), com ritmo de investimento alinhado à AGM.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Produção de copy e criativos orientados a performance (não apenas engajamento).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Social media com calendário e comunicação alinhada ao funil B2B.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Landing pages / pontos de captura para rastrear origem e qualificar entrada de leads.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Acompanhamento de performance com rotinas claras de alinhamento.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Integração do plano de aquisição com atendimento e recompra.</w:t>
      </w:r>
    </w:p>
    <w:p>
      <w:pPr>
        <w:spacing w:after="120" w:before="320" w:line="240" w:lineRule="auto"/>
        <w:jc w:val="left"/>
      </w:pPr>
      <w:r>
        <w:rPr>
          <w:rFonts w:ascii="Arial" w:hAnsi="Arial" w:eastAsia="Arial"/>
          <w:rFonts w:ascii="Arial" w:hAnsi="Arial"/>
          <w:b/>
          <w:color w:val="C41020"/>
          <w:sz w:val="28"/>
        </w:rPr>
        <w:t>4. Time dedicado e como funciona o dia a dia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A AGM passa a contar com um time V4 responsável por operar o plano: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fill="C41020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rFonts w:ascii="Arial" w:hAnsi="Arial"/>
                <w:b/>
                <w:color w:val="FFFFFF"/>
                <w:sz w:val="20"/>
              </w:rPr>
              <w:t>Papel</w:t>
            </w:r>
          </w:p>
        </w:tc>
        <w:tc>
          <w:tcPr>
            <w:tcW w:type="dxa" w:w="6912"/>
            <w:shd w:fill="C41020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rFonts w:ascii="Arial" w:hAnsi="Arial"/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eastAsia="Arial"/>
                <w:rFonts w:ascii="Arial" w:hAnsi="Arial"/>
                <w:b/>
                <w:color w:val="1A1A1A"/>
                <w:sz w:val="20"/>
              </w:rPr>
              <w:t>Account Manager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Orquestra a conta, prioriza o backlog, alinha expectativas e garante ritmo de entrega.</w:t>
            </w:r>
          </w:p>
        </w:tc>
      </w:tr>
      <w:tr>
        <w:tc>
          <w:tcPr>
            <w:tcW w:type="dxa" w:w="2592"/>
            <w:shd w:fill="F7F7F7" w:val="clear"/>
          </w:tcPr>
          <w:p>
            <w:r/>
            <w:r>
              <w:rPr>
                <w:rFonts w:ascii="Arial" w:hAnsi="Arial" w:eastAsia="Arial"/>
                <w:rFonts w:ascii="Arial" w:hAnsi="Arial"/>
                <w:b/>
                <w:color w:val="1A1A1A"/>
                <w:sz w:val="20"/>
              </w:rPr>
              <w:t>Copywriter</w:t>
            </w:r>
          </w:p>
        </w:tc>
        <w:tc>
          <w:tcPr>
            <w:tcW w:type="dxa" w:w="6912"/>
            <w:shd w:fill="F7F7F7" w:val="clear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Mensagens, anúncios, roteiros e comunicação orientada a conversão B2B.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eastAsia="Arial"/>
                <w:rFonts w:ascii="Arial" w:hAnsi="Arial"/>
                <w:b/>
                <w:color w:val="1A1A1A"/>
                <w:sz w:val="20"/>
              </w:rPr>
              <w:t>Designer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Criativos, peças e padronização visual para campanhas e redes.</w:t>
            </w:r>
          </w:p>
        </w:tc>
      </w:tr>
      <w:tr>
        <w:tc>
          <w:tcPr>
            <w:tcW w:type="dxa" w:w="2592"/>
            <w:shd w:fill="F7F7F7" w:val="clear"/>
          </w:tcPr>
          <w:p>
            <w:r/>
            <w:r>
              <w:rPr>
                <w:rFonts w:ascii="Arial" w:hAnsi="Arial" w:eastAsia="Arial"/>
                <w:rFonts w:ascii="Arial" w:hAnsi="Arial"/>
                <w:b/>
                <w:color w:val="1A1A1A"/>
                <w:sz w:val="20"/>
              </w:rPr>
              <w:t>Gestor de Tráfego (GT)</w:t>
            </w:r>
          </w:p>
        </w:tc>
        <w:tc>
          <w:tcPr>
            <w:tcW w:type="dxa" w:w="6912"/>
            <w:shd w:fill="F7F7F7" w:val="clear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Planeja, veicula e otimiza campanhas em Meta e Google.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 w:eastAsia="Arial"/>
                <w:rFonts w:ascii="Arial" w:hAnsi="Arial"/>
                <w:b/>
                <w:color w:val="1A1A1A"/>
                <w:sz w:val="20"/>
              </w:rPr>
              <w:t>Social Media</w:t>
            </w:r>
          </w:p>
        </w:tc>
        <w:tc>
          <w:tcPr>
            <w:tcW w:type="dxa" w:w="6912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Presença contínua no Instagram/redes com foco em demanda e relacionamento.</w:t>
            </w:r>
          </w:p>
        </w:tc>
      </w:tr>
    </w:tbl>
    <w:p>
      <w:pPr>
        <w:spacing w:after="120"/>
      </w:pPr>
    </w:p>
    <w:p>
      <w:pPr>
        <w:spacing w:after="80" w:before="200" w:line="240" w:lineRule="auto"/>
        <w:jc w:val="left"/>
      </w:pPr>
      <w:r>
        <w:rPr>
          <w:rFonts w:ascii="Arial" w:hAnsi="Arial" w:eastAsia="Arial"/>
          <w:rFonts w:ascii="Arial" w:hAnsi="Arial"/>
          <w:b/>
          <w:color w:val="1A1A1A"/>
          <w:sz w:val="24"/>
        </w:rPr>
        <w:t>Rotinas de alinhamento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Contato contínuo via grupo/canal da conta (acompanhamento do dia a dia).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Reuniões quinzenais de performance (números, aprendizados e próximos testes).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Reuniões estratégicas trimestrais (visão de ciclo, metas e ajustes de rota).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Papel da AGM na operação: aprovar direcionamentos, liberar acessos, validar criativos quando necessário e manter o time comercial alinhado ao fluxo de leads. A operação digital fica sob responsabilidade da V4.</w:t>
      </w:r>
    </w:p>
    <w:p>
      <w:pPr>
        <w:spacing w:after="120" w:before="320" w:line="240" w:lineRule="auto"/>
        <w:jc w:val="left"/>
      </w:pPr>
      <w:r>
        <w:rPr>
          <w:rFonts w:ascii="Arial" w:hAnsi="Arial" w:eastAsia="Arial"/>
          <w:rFonts w:ascii="Arial" w:hAnsi="Arial"/>
          <w:b/>
          <w:color w:val="C41020"/>
          <w:sz w:val="28"/>
        </w:rPr>
        <w:t>5. Implementação do CRM Kommo (bonificada)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Para que aquisição não “vaze” no atendimento, a proposta inclui a implementação do Kommo CRM de forma bonificada na parceria de Growth.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Por que isso importa para a AGM: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Centralizar leads vindos de Instagram, campanhas, indicação e outros canais.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Organizar o primeiro contato com SLA (atendimento rápido e rastreável).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Criar visão de funil: novo lead → atendimento → primeiro pedido → recompra.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Sustentar réguas de reativação da base (clientes inativos e cadastrados sem compra).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Dar visibilidade ao Marcelo e à Débora sobre o que está entrando e o que está avançando.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Observação: a ferramenta só gera resultado com uso disciplinado. Por isso a implementação vem acompanhada de configuração orientada ao processo da AGM e alinhamento com o time que vai operar o dia a dia comercial.</w:t>
      </w:r>
    </w:p>
    <w:p>
      <w:pPr>
        <w:spacing w:after="120" w:before="320" w:line="240" w:lineRule="auto"/>
        <w:jc w:val="left"/>
      </w:pPr>
      <w:r>
        <w:rPr>
          <w:rFonts w:ascii="Arial" w:hAnsi="Arial" w:eastAsia="Arial"/>
          <w:rFonts w:ascii="Arial" w:hAnsi="Arial"/>
          <w:b/>
          <w:color w:val="C41020"/>
          <w:sz w:val="28"/>
        </w:rPr>
        <w:t>6. Frente complementar: Estruturação Comercial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Além da Assessoria de Growth, a V4 recomenda uma Estruturação Comercial — um sprint para organizar processos, scripts, playbooks e treinamento do time, preparando a máquina comercial para receber e converter a demanda digital com mais consistência.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Essa frente aborda, entre outros pontos: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Mapeamento e desenho do processo comercial (do lead ao pedido).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Roteiros e playbooks de atendimento (WhatsApp e time interno/representantes).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Treinamento prático do time para leads inbound.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Alinhamento de metas e rituais comerciais ligados ao funil digital.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Growth gera e qualifica demanda. Estruturação Comercial fortalece a conversão e a recompra. Juntas, as frentes reduzem o risco de “trazer lead e não converter”.</w:t>
      </w:r>
    </w:p>
    <w:p>
      <w:pPr>
        <w:spacing w:after="120" w:before="320" w:line="240" w:lineRule="auto"/>
        <w:jc w:val="left"/>
      </w:pPr>
      <w:r>
        <w:rPr>
          <w:rFonts w:ascii="Arial" w:hAnsi="Arial" w:eastAsia="Arial"/>
          <w:rFonts w:ascii="Arial" w:hAnsi="Arial"/>
          <w:b/>
          <w:color w:val="C41020"/>
          <w:sz w:val="28"/>
        </w:rPr>
        <w:t>7. Prioridades dos primeiros 90 dias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fill="C41020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rFonts w:ascii="Arial" w:hAnsi="Arial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3744"/>
            <w:shd w:fill="C41020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rFonts w:ascii="Arial" w:hAnsi="Arial"/>
                <w:b/>
                <w:color w:val="FFFFFF"/>
                <w:sz w:val="20"/>
              </w:rPr>
              <w:t>Foco</w:t>
            </w:r>
          </w:p>
        </w:tc>
        <w:tc>
          <w:tcPr>
            <w:tcW w:type="dxa" w:w="3744"/>
            <w:shd w:fill="C41020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rFonts w:ascii="Arial" w:hAnsi="Arial"/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 w:eastAsia="Arial"/>
                <w:rFonts w:ascii="Arial" w:hAnsi="Arial"/>
                <w:b/>
                <w:color w:val="1A1A1A"/>
                <w:sz w:val="20"/>
              </w:rPr>
              <w:t>Fundação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Tracking, acessos, Kommo, pontos de captura, alinhamento de atendimento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Base mensurável e processo mínimo de entrada de leads</w:t>
            </w:r>
          </w:p>
        </w:tc>
      </w:tr>
      <w:tr>
        <w:tc>
          <w:tcPr>
            <w:tcW w:type="dxa" w:w="2016"/>
            <w:shd w:fill="F7F7F7" w:val="clear"/>
          </w:tcPr>
          <w:p>
            <w:r/>
            <w:r>
              <w:rPr>
                <w:rFonts w:ascii="Arial" w:hAnsi="Arial" w:eastAsia="Arial"/>
                <w:rFonts w:ascii="Arial" w:hAnsi="Arial"/>
                <w:b/>
                <w:color w:val="1A1A1A"/>
                <w:sz w:val="20"/>
              </w:rPr>
              <w:t>Ativação</w:t>
            </w:r>
          </w:p>
        </w:tc>
        <w:tc>
          <w:tcPr>
            <w:tcW w:type="dxa" w:w="3744"/>
            <w:shd w:fill="F7F7F7" w:val="clear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Tráfego pago, calendário social, criativos, ritmo de geração</w:t>
            </w:r>
          </w:p>
        </w:tc>
        <w:tc>
          <w:tcPr>
            <w:tcW w:type="dxa" w:w="3744"/>
            <w:shd w:fill="F7F7F7" w:val="clear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Motor digital ligado com aprendizado semanal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 w:eastAsia="Arial"/>
                <w:rFonts w:ascii="Arial" w:hAnsi="Arial"/>
                <w:b/>
                <w:color w:val="1A1A1A"/>
                <w:sz w:val="20"/>
              </w:rPr>
              <w:t>Consolidação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Otimização de campanhas + reativação/recompra da base</w:t>
            </w:r>
          </w:p>
        </w:tc>
        <w:tc>
          <w:tcPr>
            <w:tcW w:type="dxa" w:w="3744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Previsibilidade crescente e melhor aproveitamento da carteira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As prioridades respeitam a realidade operacional da AGM (correções de catálogo/site, sazonalidade e time enxuto): começamos pelo que desbloqueia resultado com menos fricção e evoluímos em ciclos.</w:t>
      </w:r>
    </w:p>
    <w:p>
      <w:pPr>
        <w:spacing w:after="120" w:before="320" w:line="240" w:lineRule="auto"/>
        <w:jc w:val="left"/>
      </w:pPr>
      <w:r>
        <w:rPr>
          <w:rFonts w:ascii="Arial" w:hAnsi="Arial" w:eastAsia="Arial"/>
          <w:rFonts w:ascii="Arial" w:hAnsi="Arial"/>
          <w:b/>
          <w:color w:val="C41020"/>
          <w:sz w:val="28"/>
        </w:rPr>
        <w:t>8. Investimento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Valores da proposta apresentada na reunião de continuidade da Estruturação Estratégica:</w:t>
      </w:r>
    </w:p>
    <w:p>
      <w:pPr>
        <w:spacing w:after="80" w:before="200" w:line="240" w:lineRule="auto"/>
        <w:jc w:val="left"/>
      </w:pPr>
      <w:r>
        <w:rPr>
          <w:rFonts w:ascii="Arial" w:hAnsi="Arial" w:eastAsia="Arial"/>
          <w:rFonts w:ascii="Arial" w:hAnsi="Arial"/>
          <w:b/>
          <w:color w:val="1A1A1A"/>
          <w:sz w:val="24"/>
        </w:rPr>
        <w:t>A) Assessoria de Growth — Executar (12 meses)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fill="C41020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C41020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rFonts w:ascii="Arial" w:hAnsi="Arial"/>
                <w:b/>
                <w:color w:val="FFFFFF"/>
                <w:sz w:val="20"/>
              </w:rPr>
              <w:t>Condição</w:t>
            </w:r>
          </w:p>
        </w:tc>
        <w:tc>
          <w:tcPr>
            <w:tcW w:type="dxa" w:w="2304"/>
            <w:shd w:fill="C41020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rFonts w:ascii="Arial" w:hAnsi="Arial"/>
                <w:b/>
                <w:color w:val="1A1A1A"/>
                <w:sz w:val="20"/>
              </w:rPr>
              <w:t>Mensalidade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12 meses de operação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R$ 6.172,87 / mês</w:t>
            </w:r>
          </w:p>
        </w:tc>
      </w:tr>
      <w:tr>
        <w:tc>
          <w:tcPr>
            <w:tcW w:type="dxa" w:w="2880"/>
            <w:shd w:fill="F7F7F7" w:val="clear"/>
          </w:tcPr>
          <w:p>
            <w:r/>
            <w:r>
              <w:rPr>
                <w:rFonts w:ascii="Arial" w:hAnsi="Arial" w:eastAsia="Arial"/>
                <w:rFonts w:ascii="Arial" w:hAnsi="Arial"/>
                <w:b/>
                <w:color w:val="1A1A1A"/>
                <w:sz w:val="20"/>
              </w:rPr>
              <w:t>Período</w:t>
            </w:r>
          </w:p>
        </w:tc>
        <w:tc>
          <w:tcPr>
            <w:tcW w:type="dxa" w:w="4320"/>
            <w:shd w:fill="F7F7F7" w:val="clear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Contrato anual operacional</w:t>
            </w:r>
          </w:p>
        </w:tc>
        <w:tc>
          <w:tcPr>
            <w:tcW w:type="dxa" w:w="2304"/>
            <w:shd w:fill="F7F7F7" w:val="clear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12 meses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rFonts w:ascii="Arial" w:hAnsi="Arial"/>
                <w:b/>
                <w:color w:val="1A1A1A"/>
                <w:sz w:val="20"/>
              </w:rPr>
              <w:t>Inclui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Time (Account, Copy, Design, GT e Social) + operação do plano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Incluso</w:t>
            </w:r>
          </w:p>
        </w:tc>
      </w:tr>
      <w:tr>
        <w:tc>
          <w:tcPr>
            <w:tcW w:type="dxa" w:w="2880"/>
            <w:shd w:fill="F7F7F7" w:val="clear"/>
          </w:tcPr>
          <w:p>
            <w:r/>
            <w:r>
              <w:rPr>
                <w:rFonts w:ascii="Arial" w:hAnsi="Arial" w:eastAsia="Arial"/>
                <w:rFonts w:ascii="Arial" w:hAnsi="Arial"/>
                <w:b/>
                <w:color w:val="1A1A1A"/>
                <w:sz w:val="20"/>
              </w:rPr>
              <w:t>CRM Kommo</w:t>
            </w:r>
          </w:p>
        </w:tc>
        <w:tc>
          <w:tcPr>
            <w:tcW w:type="dxa" w:w="4320"/>
            <w:shd w:fill="F7F7F7" w:val="clear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Implementação na parceria</w:t>
            </w:r>
          </w:p>
        </w:tc>
        <w:tc>
          <w:tcPr>
            <w:tcW w:type="dxa" w:w="2304"/>
            <w:shd w:fill="F7F7F7" w:val="clear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Bonificado</w:t>
            </w:r>
          </w:p>
        </w:tc>
      </w:tr>
    </w:tbl>
    <w:p>
      <w:pPr>
        <w:spacing w:after="120"/>
      </w:pPr>
    </w:p>
    <w:p>
      <w:pPr>
        <w:spacing w:after="20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 xml:space="preserve">Referência de investimento anual da Assessoria: </w:t>
      </w:r>
      <w:r>
        <w:rPr>
          <w:rFonts w:ascii="Arial" w:hAnsi="Arial" w:eastAsia="Arial"/>
          <w:rFonts w:ascii="Arial" w:hAnsi="Arial"/>
          <w:b/>
          <w:color w:val="C41020"/>
          <w:sz w:val="22"/>
        </w:rPr>
        <w:t>R$ 74.074,44</w:t>
      </w:r>
      <w:r>
        <w:rPr>
          <w:rFonts w:ascii="Arial" w:hAnsi="Arial" w:eastAsia="Arial"/>
          <w:rFonts w:ascii="Arial" w:hAnsi="Arial"/>
          <w:b w:val="0"/>
          <w:color w:val="1A1A1A"/>
          <w:sz w:val="22"/>
        </w:rPr>
        <w:t xml:space="preserve"> (12 × R$ 6.172,87).</w:t>
      </w:r>
    </w:p>
    <w:p>
      <w:pPr>
        <w:spacing w:after="80" w:before="200" w:line="240" w:lineRule="auto"/>
        <w:jc w:val="left"/>
      </w:pPr>
      <w:r>
        <w:rPr>
          <w:rFonts w:ascii="Arial" w:hAnsi="Arial" w:eastAsia="Arial"/>
          <w:rFonts w:ascii="Arial" w:hAnsi="Arial"/>
          <w:b/>
          <w:color w:val="1A1A1A"/>
          <w:sz w:val="24"/>
        </w:rPr>
        <w:t>B) Estruturação Comercial (sprint complementar)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fill="C41020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C41020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rFonts w:ascii="Arial" w:hAnsi="Arial"/>
                <w:b/>
                <w:color w:val="FFFFFF"/>
                <w:sz w:val="20"/>
              </w:rPr>
              <w:t>Condição</w:t>
            </w:r>
          </w:p>
        </w:tc>
        <w:tc>
          <w:tcPr>
            <w:tcW w:type="dxa" w:w="2304"/>
            <w:shd w:fill="C41020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rFonts w:ascii="Arial" w:hAnsi="Arial"/>
                <w:b/>
                <w:color w:val="1A1A1A"/>
                <w:sz w:val="20"/>
              </w:rPr>
              <w:t>Projeto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Estruturação comercial / processos e treinamento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R$ 11.523,21</w:t>
            </w:r>
          </w:p>
        </w:tc>
      </w:tr>
      <w:tr>
        <w:tc>
          <w:tcPr>
            <w:tcW w:type="dxa" w:w="2880"/>
            <w:shd w:fill="F7F7F7" w:val="clear"/>
          </w:tcPr>
          <w:p>
            <w:r/>
            <w:r>
              <w:rPr>
                <w:rFonts w:ascii="Arial" w:hAnsi="Arial" w:eastAsia="Arial"/>
                <w:rFonts w:ascii="Arial" w:hAnsi="Arial"/>
                <w:b/>
                <w:color w:val="1A1A1A"/>
                <w:sz w:val="20"/>
              </w:rPr>
              <w:t>Parcelamento</w:t>
            </w:r>
          </w:p>
        </w:tc>
        <w:tc>
          <w:tcPr>
            <w:tcW w:type="dxa" w:w="4320"/>
            <w:shd w:fill="F7F7F7" w:val="clear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12 vezes</w:t>
            </w:r>
          </w:p>
        </w:tc>
        <w:tc>
          <w:tcPr>
            <w:tcW w:type="dxa" w:w="2304"/>
            <w:shd w:fill="F7F7F7" w:val="clear"/>
          </w:tcPr>
          <w:p>
            <w:r/>
            <w:r>
              <w:rPr>
                <w:rFonts w:ascii="Arial" w:hAnsi="Arial" w:eastAsia="Arial"/>
                <w:rFonts w:ascii="Arial" w:hAnsi="Arial"/>
                <w:b w:val="0"/>
                <w:color w:val="1A1A1A"/>
                <w:sz w:val="20"/>
              </w:rPr>
              <w:t>12 × R$ 960,00</w:t>
            </w:r>
          </w:p>
        </w:tc>
      </w:tr>
    </w:tbl>
    <w:p>
      <w:pPr>
        <w:spacing w:after="120"/>
      </w:pPr>
    </w:p>
    <w:p>
      <w:pPr>
        <w:spacing w:after="80" w:before="200" w:line="240" w:lineRule="auto"/>
        <w:jc w:val="left"/>
      </w:pPr>
      <w:r>
        <w:rPr>
          <w:rFonts w:ascii="Arial" w:hAnsi="Arial" w:eastAsia="Arial"/>
          <w:rFonts w:ascii="Arial" w:hAnsi="Arial"/>
          <w:b/>
          <w:color w:val="1A1A1A"/>
          <w:sz w:val="24"/>
        </w:rPr>
        <w:t>Composição sugerida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Recomendação estratégica: iniciar a Assessoria de Growth para colocar o plano em execução imediatamente, com Kommo bonificado, e avançar a Estruturação Comercial para fortalecer conversão e rotina do time comercial em paralelo ou em sequência curta — conforme capacidade de caixa e prioridade da diretoria.</w:t>
      </w:r>
    </w:p>
    <w:p>
      <w:pPr>
        <w:spacing w:after="120" w:before="320" w:line="240" w:lineRule="auto"/>
        <w:jc w:val="left"/>
      </w:pPr>
      <w:r>
        <w:rPr>
          <w:rFonts w:ascii="Arial" w:hAnsi="Arial" w:eastAsia="Arial"/>
          <w:rFonts w:ascii="Arial" w:hAnsi="Arial"/>
          <w:b/>
          <w:color w:val="C41020"/>
          <w:sz w:val="28"/>
        </w:rPr>
        <w:t>9. Próximos passos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Validação da proposta com Marcelo e Débora (diretoria / financeiro).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Assinatura do contrato da frente escolhida (Growth e/ou Estruturação Comercial).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Setup interno V4 em até 7 dias úteis após assinatura (acessos, repasse estratégico e preparação do time).</w:t>
      </w:r>
    </w:p>
    <w:p>
      <w:pPr>
        <w:pStyle w:val="ListBullet"/>
        <w:spacing w:after="80" w:before="0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Kickoff oficial com apresentação do time e início do primeiro ciclo de execução.</w:t>
      </w:r>
    </w:p>
    <w:p>
      <w:pPr>
        <w:spacing w:after="160" w:before="0" w:line="240" w:lineRule="auto"/>
        <w:jc w:val="left"/>
      </w:pPr>
      <w:r>
        <w:rPr>
          <w:rFonts w:ascii="Arial" w:hAnsi="Arial" w:eastAsia="Arial"/>
          <w:rFonts w:ascii="Arial" w:hAnsi="Arial"/>
          <w:b w:val="0"/>
          <w:color w:val="1A1A1A"/>
          <w:sz w:val="22"/>
        </w:rPr>
        <w:t>A V4 permanece à disposição para esclarecer qualquer ponto desta proposta na devolutiva, com foco em tornar a decisão simples, segura e conectada ao objetivo de crescimento da AGM.</w:t>
      </w:r>
    </w:p>
    <w:p>
      <w:pPr>
        <w:spacing w:before="160" w:after="160"/>
        <w:pBdr>
          <w:bottom w:val="single" w:sz="12" w:space="1" w:color="C41020"/>
        </w:pBdr>
      </w:pPr>
    </w:p>
    <w:p>
      <w:pPr>
        <w:spacing w:after="40" w:before="0" w:line="240" w:lineRule="auto"/>
        <w:jc w:val="center"/>
      </w:pPr>
      <w:r>
        <w:rPr>
          <w:rFonts w:ascii="Arial" w:hAnsi="Arial" w:eastAsia="Arial"/>
          <w:rFonts w:ascii="Arial" w:hAnsi="Arial"/>
          <w:b/>
          <w:color w:val="555555"/>
          <w:sz w:val="20"/>
        </w:rPr>
        <w:t>V4 Company  ·  Assessoria em Marketing e Vendas</w:t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rFonts w:ascii="Arial" w:hAnsi="Arial"/>
          <w:b w:val="0"/>
          <w:color w:val="555555"/>
          <w:sz w:val="18"/>
        </w:rPr>
        <w:t>AGM Distribuidora — Proposta de continuidade pós Estruturação Estratégica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