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280001" w:val="clear"/>
          </w:tcPr>
          <w:p>
            <w:r/>
            <w:r>
              <w:rPr>
                <w:rFonts w:ascii="Calibri" w:hAnsi="Calibri"/>
                <w:b/>
                <w:i w:val="0"/>
                <w:color w:val="F5B5B8"/>
                <w:sz w:val="18"/>
              </w:rPr>
              <w:t>USO INTERNO  ·  NÃO ENVIAR AO CLIENTE</w:t>
            </w:r>
          </w:p>
          <w:p>
            <w:r>
              <w:rPr>
                <w:rFonts w:ascii="Calibri" w:hAnsi="Calibri"/>
                <w:b/>
                <w:i w:val="0"/>
                <w:color w:val="FFFFFF"/>
                <w:sz w:val="44"/>
              </w:rPr>
              <w:t>Script de pitch</w:t>
            </w:r>
          </w:p>
          <w:p>
            <w:r>
              <w:rPr>
                <w:rFonts w:ascii="Calibri" w:hAnsi="Calibri"/>
                <w:b w:val="0"/>
                <w:i w:val="0"/>
                <w:color w:val="FFD0D0"/>
                <w:sz w:val="28"/>
              </w:rPr>
              <w:t>Dental Muller  ×  V4 Company</w:t>
            </w:r>
          </w:p>
          <w:p>
            <w:r>
              <w:rPr>
                <w:rFonts w:ascii="Calibri" w:hAnsi="Calibri"/>
                <w:b w:val="0"/>
                <w:i w:val="0"/>
                <w:color w:val="E8D0D0"/>
                <w:sz w:val="22"/>
              </w:rPr>
              <w:t>EQV + Assessoria de Growth  ·  7 slides  ·  ~18–22 min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LINHA MESTRA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A operação já entrega. A origem complementar ainda não existe. EQV prepara o comercial para a demanda nova. Growth liga o canal no ritmo do estoque e da logística. R$ 1M é meta da empresa — não promessa de mídia.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0. Antes de abrir</w:t>
      </w:r>
    </w:p>
    <w:p>
      <w:pPr>
        <w:spacing w:after="160" w:before="0" w:line="276" w:lineRule="auto"/>
        <w:jc w:val="both"/>
      </w:pPr>
      <w:r>
        <w:rPr>
          <w:rFonts w:ascii="Calibri" w:hAnsi="Calibri"/>
          <w:b w:val="0"/>
          <w:i w:val="0"/>
          <w:color w:val="1A1A1A"/>
          <w:sz w:val="22"/>
        </w:rPr>
        <w:t>Sala cautelosa, 40 anos sem mídia, medo real de gerar demanda que a operação não atende. Tom: respeito pela operação. Continuidade da EE — não venda fria. Preço por último.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Falar</w:t>
            </w:r>
          </w:p>
        </w:tc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Não falar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Origem complementar, demanda técnica, capacidade como critério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Nome de concorrente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Comercial primeiro, demanda depois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“Zero”, “atrasados”, “nunca fizeram nada”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EE já entregou o mapa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Faturamento mensal, ticket, volume de pedidos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Mídia à parte; mês 1 é fundação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“Não é EC completa” · lead que “morre no Zap”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Condição especial 12× R$ 9.061,19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Desconto. É condição. EE reconhecida.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Pergunta de abertura (escolhe uma): “O que mais pesa hoje: preparar o time para um canal novo, ou o risco de puxar demanda acima da entrega?”</w:t>
      </w: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1. Capa  ·  Da origem relacional ao canal previsível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ancorar tese. ~40s.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Esta proposta não nasce hoje. Nasce do mapa que a EE já entregou. A Muller tem 40 anos de relacionamento, logística rápida e venda consultiva na Bahia. O próximo ciclo é capturar a demanda técnica que já circula no mercado — no ritmo do estoque e da entrega. Dois produtos, uma lógica: primeiro o comercial aguenta a origem nova. Depois o Growth liga o canal.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Abrir com preço. Reabrir diagnóstico. Prometer R$ 1M na mídia.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2. Diagnóstico  ·  A Muller já tem operação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espelhar a EE sem ofender. ~2 min. Passa os 6 pontos; não lê o slide.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A indicação construiu a empresa e continua sendo força. O que o próximo ciclo pede é um canal que chegue em quem já busca material e ainda não está na base. Essa demanda técnica — produto, disponibilidade, entrega — ainda não tem caminho estruturado até vocês. A decisão de compra acontece online; sem prova de mix e entrega, ela segue para quem já aparece. O time converte bem quem chega indicado. A origem nova pede o mesmo método: dono, prazo, próximo passo. Estoque e logística são o diferencial — e o critério de escala. Demanda entra no passo que a operação entrega. A meta de cerca de R$ 1 milhão por mês nasce de origem complementar mais comercial preparado. Não de volume solto. Por isso a ordem é esta: primeiro o método comercial. Depois a demanda. Capacidade libera o ritmo.</w:t>
            </w:r>
          </w:p>
        </w:tc>
      </w:tr>
    </w:tbl>
    <w:p>
      <w:pPr>
        <w:spacing w:after="120"/>
      </w:pPr>
    </w:p>
    <w:p>
      <w:pPr>
        <w:spacing w:after="80" w:before="0" w:line="276" w:lineRule="auto"/>
      </w:pPr>
      <w:r>
        <w:rPr>
          <w:rFonts w:ascii="Calibri" w:hAnsi="Calibri"/>
          <w:b/>
          <w:i w:val="0"/>
          <w:color w:val="A10F14"/>
          <w:sz w:val="20"/>
        </w:rPr>
        <w:t>Os 6 pontos (uma linha cada, se pedirem)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Ativo relacional — indicação segue; falta origem complementar.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Demanda técnica sem caminho até a Muller.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Território de busca — quem não aparece, não entra na decisão.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Comercial forte no conhecido — a demanda nova precisa do mesmo padrão.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Capacidade como critério — estoque e logística mandam no ritmo.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Meta com previsibilidade — R$ 1M é origem + método, não volume.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Gancho: “Desses seis, o que mais trava o próximo ciclo: o caminho da demanda — ou o comercial receber o que ainda não chegou por indicação?”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Citar faturamento ou ticket. Dizer que o comercial é fraco. Nomear player do mercado.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3. EQV  ·  O comercial preparado para a demanda nova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vender EQV como método, não como “curso”. ~2 min. Não lista os 6 como lista de dever.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Produto um: EQV. Diagnóstico Comercial 360. O time que já fecha no relacionamento ganha método para receber, qualificar e converter a origem complementar — com o padrão da venda consultiva Muller. Diagnóstico da operação. Fluxo de vendas mapeado. SLA entre marketing e vendas: dono, prazo, próximo passo. Manual em BPMN, para o jeito Muller não depender só de quem está na ponta. Perfil de cadeira. Imersão do time. Isso instala o método para a segunda origem entrar com a mesma qualidade da base que vocês já construíram.</w:t>
            </w:r>
          </w:p>
        </w:tc>
      </w:tr>
    </w:tbl>
    <w:p>
      <w:pPr>
        <w:spacing w:after="120"/>
      </w:pPr>
    </w:p>
    <w:p>
      <w:pPr>
        <w:spacing w:after="80" w:before="0" w:line="276" w:lineRule="auto"/>
      </w:pPr>
      <w:r>
        <w:rPr>
          <w:rFonts w:ascii="Calibri" w:hAnsi="Calibri"/>
          <w:b/>
          <w:i w:val="0"/>
          <w:color w:val="A10F14"/>
          <w:sz w:val="20"/>
        </w:rPr>
        <w:t>Se perguntarem “o que a gente leva”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Diagnóstico da Operação Comercial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Mapeamento do fluxo de vendas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Acordo Marketing ↔ Vendas (SLA)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Manual do processo (BPMN)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Perfil de Contratação por Cadeira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Imersão de Treinamento do Time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Gancho: “Se amanhã entrar um pedido que não veio de indicação, o time sabe dono, prazo e próximo passo — ou isso ainda depende de quem pegou o WhatsApp?”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“Não é EC completa.” “Para o lead não morrer no Zap.” Prometer CRM enterprise. Vender EC de novo.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4. Growth  ·  A demanda no ritmo do comercial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time + rotina. Mídia não sobe no mês 1. ~2 min.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Produto dois: Assessoria de Growth. Doze meses. Account, gestor de tráfego, copy e design. Account orquestra prioridade e o gate de estoque e logística com a diretoria. GT captura intenção técnica no Google; Meta só com fundamento. Presença digital antes de escalar verba. Copy e design provam variedade, conhecimento e entrega rápida na Bahia — a mesma promessa, em peça, vitrine e anúncio. Rotina Colli: grupo no dia a dia, check-in de performance, planejamento de 90 dias, growths internos. Vocês veem o que rodou e o que ajusta. Sem caixa-preta.</w:t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Gancho: “O que mais te dá segurança aqui: o gate de capacidade — ou ver a operação no grupo, todo dia?”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Prometer ROAS. Subir campanha antes da fundação. Misturar jornada. Verba de mídia inclusa na fee — é à parte.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5. Sequência  ·  Comercial pronto. Depois demanda.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ordem irreversível. ~1 min. Cinco caixas, uma frase cada.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EE já feita — não reabre diagnóstico. EQV instala fluxo, SLA e treino. Fundação: presença digital mínima e provas de mix, estoque e entrega. Piloto Google: intenção técnica, no volume que a operação aguenta. Escala só com SLA no ar e logística no ritmo. Mês um não é campanha. Mês um é chão. Os R$ 1 milhão são meta da empresa — não promessa de mídia.</w:t>
            </w:r>
          </w:p>
        </w:tc>
      </w:tr>
    </w:tbl>
    <w:p>
      <w:pPr>
        <w:spacing w:after="1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Inverter a ordem. “Semana que vem já está no ar.”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6. Com o ciclo fechado  ·  O que muda na operação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critério observável, não slogan. ~1 min. Lê 4; o resto o slide carrega.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O que a gente olha juntos: segunda origem com dono e próximo passo. SLA entre marketing e vendas. Processo visível, fora da cabeça do time. Presença com prova de variedade, estoque e entrega. Google de intenção no ritmo da logística. Copy e design na mesma narrativa. Account no ritmo Colli com a diretoria. R$ 1 milhão continua meta de vocês. O ciclo opera a origem previsível.</w:t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Gancho: “Se a gente olhar daqui 90 dias, o que vocês querem conseguir apontar com clareza?”</w:t>
      </w: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7. Investimento  ·  Condição especial</w:t>
      </w: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4A4A4A"/>
          <w:sz w:val="20"/>
        </w:rPr>
        <w:t>Objetivo: âncora alta → EE → condição. Quando o número aparecer, a discussão que resta é a condição. ~2 min.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8EFEF" w:val="clear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 xml:space="preserve">FALA  </w:t>
            </w:r>
            <w:r>
              <w:rPr>
                <w:rFonts w:ascii="Calibri" w:hAnsi="Calibri"/>
                <w:b w:val="0"/>
                <w:i/>
                <w:color w:val="1A1A1A"/>
                <w:sz w:val="22"/>
              </w:rPr>
              <w:t>Dois produtos. Um ciclo. A EE trabalha a favor de vocês. EQV, Diagnóstico Comercial 360: referência R$ 34.900. Assessoria de Growth, time completo, doze meses: fee de referência R$ 11.223,40 por mês. O que vocês já investiram na Estruturação Estratégica — R$ 12.364 — é reconhecido neste desenho. Não se paga o mapa de novo. Desenho completo, EQV mais Growth, condição especial: doze vezes R$ 9.061,19. De R$ 14.131,73 ao mês para essa condição. Verba de mídia à parte. Fundação antes de escala.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Peça</w:t>
            </w:r>
          </w:p>
        </w:tc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Número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EQV · referência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R$ 34.900,00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Growth · fee de referência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R$ 11.223,40 /mês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EE reconhecida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− R$ 12.364,00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De (desenho na referência)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R$ 14.131,73 /mês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Condição especial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12× R$ 9.061,19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/>
          <w:b w:val="0"/>
          <w:i/>
          <w:color w:val="1A1A1A"/>
          <w:sz w:val="22"/>
        </w:rPr>
        <w:t>Fecho: “A pergunta que fecha: começamos pelo comercial — para a demanda nova entrar com método — ainda neste ciclo?”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4F4F4" w:val="clear"/>
          </w:tcPr>
          <w:p>
            <w:r/>
            <w:r>
              <w:rPr>
                <w:rFonts w:ascii="Calibri" w:hAnsi="Calibri"/>
                <w:b/>
                <w:i w:val="0"/>
                <w:color w:val="A10F14"/>
                <w:sz w:val="18"/>
              </w:rPr>
              <w:t>EVITAR</w:t>
              <w:br/>
            </w:r>
            <w:r>
              <w:rPr>
                <w:rFonts w:ascii="Calibri" w:hAnsi="Calibri"/>
                <w:b w:val="0"/>
                <w:i w:val="0"/>
                <w:color w:val="4A4A4A"/>
                <w:sz w:val="21"/>
              </w:rPr>
              <w:t>A palavra “desconto”. Reabrir o diagnóstico para justificar preço. Empilhar bônus que não estão no deck.</w:t>
            </w:r>
          </w:p>
        </w:tc>
      </w:tr>
    </w:tbl>
    <w:p>
      <w:pPr>
        <w:spacing w:after="12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8. Objeções (uma frase)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Objeção</w:t>
            </w:r>
          </w:p>
        </w:tc>
        <w:tc>
          <w:tcPr>
            <w:tcW w:type="dxa" w:w="4819"/>
            <w:shd w:fill="A10F14" w:val="clea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Resposta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“Indicação sempre deu conta.”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Deu conta de construir. O próximo ciclo pede origem complementar — sem largar a indicação.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“E se a demanda estourar a entrega?”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Por isso capacidade é gate. Sem estoque e logística no ritmo, mídia não escala.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“Nunca fizemos mídia.”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Por isso mês 1 é fundação. Não é campanha no escuro.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“Por que os dois juntos?”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Comercial sem canal não cria a origem. Canal sem comercial queima a demanda nova.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“Está caro.”</w:t>
            </w:r>
          </w:p>
        </w:tc>
        <w:tc>
          <w:tcPr>
            <w:tcW w:type="dxa" w:w="4819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A referência está no slide. A EE já entra. A condição é 12× R$ 9.061,19 no desenho completo.</w:t>
            </w:r>
          </w:p>
        </w:tc>
      </w:tr>
      <w:tr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/>
                <w:i w:val="0"/>
                <w:color w:val="1A1A1A"/>
                <w:sz w:val="20"/>
              </w:rPr>
              <w:t>“Só Growth / só EQV.”</w:t>
            </w:r>
          </w:p>
        </w:tc>
        <w:tc>
          <w:tcPr>
            <w:tcW w:type="dxa" w:w="4819"/>
            <w:shd w:fill="F8EFEF" w:val="clear"/>
          </w:tcPr>
          <w:p>
            <w:r/>
            <w:r>
              <w:rPr>
                <w:rFonts w:ascii="Calibri" w:hAnsi="Calibri"/>
                <w:b w:val="0"/>
                <w:i w:val="0"/>
                <w:color w:val="1A1A1A"/>
                <w:sz w:val="20"/>
              </w:rPr>
              <w:t>Pode. O diagnóstico pede os dois na ordem. Separar enfraquece o ciclo.</w:t>
            </w:r>
          </w:p>
        </w:tc>
      </w:tr>
    </w:tbl>
    <w:p>
      <w:pPr>
        <w:spacing w:after="80"/>
      </w:pPr>
    </w:p>
    <w:p>
      <w:pPr>
        <w:spacing w:before="280" w:after="120"/>
        <w:pBdr>
          <w:bottom w:val="single" w:sz="8" w:space="4" w:color="A10F14"/>
        </w:pBdr>
      </w:pPr>
      <w:r>
        <w:rPr>
          <w:rFonts w:ascii="Calibri" w:hAnsi="Calibri"/>
          <w:b/>
          <w:i w:val="0"/>
          <w:color w:val="A10F14"/>
          <w:sz w:val="28"/>
        </w:rPr>
        <w:t>9. Depois da call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Não deixar a sala só com “vamos pensar”. Combinar data de retorno.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Se pedirem para internar: reenviar o deck + este script não vai. O cliente recebe só o HTML.</w:t>
      </w:r>
    </w:p>
    <w:p>
      <w:pPr>
        <w:pStyle w:val="ListBullet"/>
        <w:spacing w:after="40"/>
        <w:ind w:left="340"/>
      </w:pPr>
      <w:r>
        <w:rPr>
          <w:rFonts w:ascii="Calibri" w:hAnsi="Calibri"/>
          <w:b w:val="0"/>
          <w:i w:val="0"/>
          <w:color w:val="4A4A4A"/>
          <w:sz w:val="22"/>
        </w:rPr>
        <w:t>Follow em 48h: uma linha da tese + a condição. Sem novo PDF.</w:t>
      </w:r>
    </w:p>
    <w:p>
      <w:pPr>
        <w:spacing w:after="160" w:before="240" w:line="276" w:lineRule="auto"/>
      </w:pPr>
      <w:r>
        <w:rPr>
          <w:rFonts w:ascii="Calibri" w:hAnsi="Calibri"/>
          <w:b/>
          <w:i w:val="0"/>
          <w:color w:val="A10F14"/>
          <w:sz w:val="18"/>
        </w:rPr>
        <w:t>V4 Company  ·  Dental Muller  ·  Script interno alinhado ao deck de 7 slides</w:t>
      </w:r>
    </w:p>
    <w:p>
      <w:pPr>
        <w:spacing w:after="160" w:before="0" w:line="276" w:lineRule="auto"/>
      </w:pPr>
      <w:r>
        <w:rPr>
          <w:rFonts w:ascii="Calibri" w:hAnsi="Calibri"/>
          <w:b w:val="0"/>
          <w:i w:val="0"/>
          <w:color w:val="4A4A4A"/>
          <w:sz w:val="18"/>
        </w:rPr>
        <w:t>Deck: https://sarapizzico-hue.github.io/Sara/proposta-dental-muller.html</w:t>
      </w:r>
    </w:p>
    <w:sectPr w:rsidR="00FC693F" w:rsidRPr="0006063C" w:rsidSect="00034616">
      <w:pgSz w:w="11906" w:h="16838"/>
      <w:pgMar w:top="90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