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left"/>
      </w:pPr>
      <w:r>
        <w:rPr>
          <w:rFonts w:ascii="Calibri" w:hAnsi="Calibri" w:eastAsia="Calibri"/>
          <w:b/>
          <w:i w:val="0"/>
          <w:color w:val="A10F14"/>
          <w:sz w:val="40"/>
        </w:rPr>
        <w:t>Script consultivo — Dakar × V4</w:t>
      </w:r>
    </w:p>
    <w:p>
      <w:pPr>
        <w:spacing w:after="320"/>
      </w:pPr>
      <w:r>
        <w:rPr>
          <w:rFonts w:ascii="Calibri" w:hAnsi="Calibri" w:eastAsia="Calibri"/>
          <w:b w:val="0"/>
          <w:i/>
          <w:color w:val="555555"/>
          <w:sz w:val="22"/>
        </w:rPr>
        <w:t>Saber + Executar · Pós Estruturação Estratégica · Colli&amp;Co</w:t>
      </w:r>
    </w:p>
    <w:p>
      <w:pPr>
        <w:spacing w:after="120" w:line="300" w:lineRule="auto"/>
      </w:pPr>
      <w:r>
        <w:rPr>
          <w:rFonts w:ascii="Calibri" w:hAnsi="Calibri" w:eastAsia="Calibri"/>
          <w:b w:val="0"/>
          <w:i w:val="0"/>
          <w:sz w:val="22"/>
        </w:rPr>
        <w:t>Tom: vendedor consultivo. Escuta, conecta e traduz dor em caminho.</w:t>
      </w:r>
    </w:p>
    <w:p>
      <w:pPr>
        <w:spacing w:after="120" w:line="300" w:lineRule="auto"/>
      </w:pPr>
      <w:r>
        <w:rPr>
          <w:rFonts w:ascii="Calibri" w:hAnsi="Calibri" w:eastAsia="Calibri"/>
          <w:b w:val="0"/>
          <w:i w:val="0"/>
          <w:sz w:val="22"/>
        </w:rPr>
        <w:t>Não ler o slide. Usar o slide como apoio visual enquanto conduz a conversa.</w:t>
      </w:r>
    </w:p>
    <w:p>
      <w:pPr>
        <w:spacing w:before="360" w:after="120"/>
      </w:pPr>
      <w:r>
        <w:rPr>
          <w:rFonts w:ascii="Calibri" w:hAnsi="Calibri" w:eastAsia="Calibri"/>
          <w:b/>
          <w:i w:val="0"/>
          <w:color w:val="A10F14"/>
          <w:sz w:val="28"/>
        </w:rPr>
        <w:t>Slide 1 — Capa</w:t>
      </w:r>
    </w:p>
    <w:p>
      <w:pPr>
        <w:spacing w:before="160" w:after="80"/>
      </w:pPr>
      <w:r>
        <w:rPr>
          <w:rFonts w:ascii="Calibri" w:hAnsi="Calibri" w:eastAsia="Calibri"/>
          <w:b/>
          <w:i w:val="0"/>
          <w:color w:val="333333"/>
          <w:sz w:val="20"/>
        </w:rPr>
        <w:t>O que você quer que eles sintam</w:t>
      </w:r>
    </w:p>
    <w:p>
      <w:pPr>
        <w:spacing w:after="120" w:line="300" w:lineRule="auto"/>
      </w:pPr>
      <w:r>
        <w:rPr>
          <w:rFonts w:ascii="Calibri" w:hAnsi="Calibri" w:eastAsia="Calibri"/>
          <w:b w:val="0"/>
          <w:i w:val="0"/>
          <w:sz w:val="22"/>
        </w:rPr>
        <w:t>“Eles entenderam o nosso momento.”</w:t>
      </w:r>
    </w:p>
    <w:p>
      <w:pPr>
        <w:spacing w:before="160" w:after="80"/>
      </w:pPr>
      <w:r>
        <w:rPr>
          <w:rFonts w:ascii="Calibri" w:hAnsi="Calibri" w:eastAsia="Calibri"/>
          <w:b/>
          <w:i w:val="0"/>
          <w:color w:val="333333"/>
          <w:sz w:val="20"/>
        </w:rPr>
        <w:t>Falar</w:t>
      </w:r>
    </w:p>
    <w:p>
      <w:pPr>
        <w:spacing w:after="160" w:line="312" w:lineRule="auto"/>
        <w:ind w:left="360"/>
      </w:pPr>
      <w:r>
        <w:rPr>
          <w:rFonts w:ascii="Calibri" w:hAnsi="Calibri" w:eastAsia="Calibri"/>
          <w:b w:val="0"/>
          <w:i/>
          <w:color w:val="222222"/>
          <w:sz w:val="22"/>
        </w:rPr>
        <w:t>Antes de falar de produto ou valor, quero alinhar o ponto de partida.</w:t>
        <w:br/>
        <w:br/>
        <w:t>Vocês fizeram a Estruturação Estratégica com a gente. Não foi teoria — foi organizar a Dakar: quem é o cliente, como vende, onde o orçamento vaza, como o Google e as LPs entram.</w:t>
        <w:br/>
        <w:br/>
        <w:t>O que trouxe hoje é o próximo passo natural: como transformar esse mapa em operação do dia a dia — comercial com método e Growth rodando com vocês.</w:t>
        <w:br/>
        <w:br/>
        <w:t>Não é “mais uma proposta”. É a continuação do que a EE já começou.</w:t>
      </w:r>
    </w:p>
    <w:p>
      <w:pPr>
        <w:spacing w:before="160" w:after="80"/>
      </w:pPr>
      <w:r>
        <w:rPr>
          <w:rFonts w:ascii="Calibri" w:hAnsi="Calibri" w:eastAsia="Calibri"/>
          <w:b/>
          <w:i w:val="0"/>
          <w:color w:val="333333"/>
          <w:sz w:val="20"/>
        </w:rPr>
        <w:t>Dica</w:t>
      </w:r>
    </w:p>
    <w:p>
      <w:pPr>
        <w:spacing w:after="120" w:line="300" w:lineRule="auto"/>
      </w:pPr>
      <w:r>
        <w:rPr>
          <w:rFonts w:ascii="Calibri" w:hAnsi="Calibri" w:eastAsia="Calibri"/>
          <w:b w:val="0"/>
          <w:i w:val="0"/>
          <w:sz w:val="22"/>
        </w:rPr>
        <w:t>Pausa. Deixar respirar. Só então avançar.</w:t>
      </w:r>
    </w:p>
    <w:p>
      <w:pPr>
        <w:spacing w:before="360" w:after="120"/>
      </w:pPr>
      <w:r>
        <w:rPr>
          <w:rFonts w:ascii="Calibri" w:hAnsi="Calibri" w:eastAsia="Calibri"/>
          <w:b/>
          <w:i w:val="0"/>
          <w:color w:val="A10F14"/>
          <w:sz w:val="28"/>
        </w:rPr>
        <w:t>Slide 2 — Contexto</w:t>
      </w:r>
    </w:p>
    <w:p>
      <w:pPr>
        <w:spacing w:before="160" w:after="80"/>
      </w:pPr>
      <w:r>
        <w:rPr>
          <w:rFonts w:ascii="Calibri" w:hAnsi="Calibri" w:eastAsia="Calibri"/>
          <w:b/>
          <w:i w:val="0"/>
          <w:color w:val="333333"/>
          <w:sz w:val="20"/>
        </w:rPr>
        <w:t>O que você quer</w:t>
      </w:r>
    </w:p>
    <w:p>
      <w:pPr>
        <w:spacing w:after="120" w:line="300" w:lineRule="auto"/>
      </w:pPr>
      <w:r>
        <w:rPr>
          <w:rFonts w:ascii="Calibri" w:hAnsi="Calibri" w:eastAsia="Calibri"/>
          <w:b w:val="0"/>
          <w:i w:val="0"/>
          <w:sz w:val="22"/>
        </w:rPr>
        <w:t>Validar a dor deles com as palavras deles.</w:t>
      </w:r>
    </w:p>
    <w:p>
      <w:pPr>
        <w:spacing w:before="160" w:after="80"/>
      </w:pPr>
      <w:r>
        <w:rPr>
          <w:rFonts w:ascii="Calibri" w:hAnsi="Calibri" w:eastAsia="Calibri"/>
          <w:b/>
          <w:i w:val="0"/>
          <w:color w:val="333333"/>
          <w:sz w:val="20"/>
        </w:rPr>
        <w:t>Falar</w:t>
      </w:r>
    </w:p>
    <w:p>
      <w:pPr>
        <w:spacing w:after="160" w:line="312" w:lineRule="auto"/>
        <w:ind w:left="360"/>
      </w:pPr>
      <w:r>
        <w:rPr>
          <w:rFonts w:ascii="Calibri" w:hAnsi="Calibri" w:eastAsia="Calibri"/>
          <w:b w:val="0"/>
          <w:i/>
          <w:color w:val="222222"/>
          <w:sz w:val="22"/>
        </w:rPr>
        <w:t>Me digam se isso faz sentido: a EE tirou vocês da dúvida do “o que fazer”. O risco agora não é falta de ideia — é a operação voltar ao improviso depois que o diagnóstico esfria.</w:t>
        <w:br/>
        <w:br/>
        <w:t>Vocês mesmos disseram algo que ficou marcado pra gente: “Não adianta encher a oficina sem organização.”</w:t>
        <w:br/>
        <w:br/>
        <w:t>É exatamente isso. Dá pra gerar demanda. A pergunta é: quando o lead chega, a máquina comercial segura ou vaza?</w:t>
        <w:br/>
        <w:br/>
        <w:t>E tem um segundo ponto — de capacidade. Vocês têm estrutura pra ir mais longe do que o faturamento atual. Tem um gap relevante entre o que a oficina aguenta e o que entra todo mês. Isso não se resolve só com anúncio. Resolve com processo + demanda sincronizados.</w:t>
        <w:br/>
        <w:br/>
        <w:t>Por isso esta proposta tem dois movimentos: organizar a venda (Saber) e operar atração com disciplina (Executar).</w:t>
      </w:r>
    </w:p>
    <w:p>
      <w:pPr>
        <w:spacing w:before="160" w:after="80"/>
      </w:pPr>
      <w:r>
        <w:rPr>
          <w:rFonts w:ascii="Calibri" w:hAnsi="Calibri" w:eastAsia="Calibri"/>
          <w:b/>
          <w:i w:val="0"/>
          <w:color w:val="333333"/>
          <w:sz w:val="20"/>
        </w:rPr>
        <w:t>Pergunta de confirmação</w:t>
      </w:r>
    </w:p>
    <w:p>
      <w:pPr>
        <w:spacing w:after="160" w:line="312" w:lineRule="auto"/>
        <w:ind w:left="360"/>
      </w:pPr>
      <w:r>
        <w:rPr>
          <w:rFonts w:ascii="Calibri" w:hAnsi="Calibri" w:eastAsia="Calibri"/>
          <w:b w:val="0"/>
          <w:i/>
          <w:color w:val="222222"/>
          <w:sz w:val="22"/>
        </w:rPr>
        <w:t>Isso descreve o momento de vocês — ou tem alguma prioridade que eu esteja subestimando?</w:t>
      </w:r>
    </w:p>
    <w:p>
      <w:pPr>
        <w:spacing w:before="360" w:after="120"/>
      </w:pPr>
      <w:r>
        <w:rPr>
          <w:rFonts w:ascii="Calibri" w:hAnsi="Calibri" w:eastAsia="Calibri"/>
          <w:b/>
          <w:i w:val="0"/>
          <w:color w:val="A10F14"/>
          <w:sz w:val="28"/>
        </w:rPr>
        <w:t>Slide 3 — Jornada</w:t>
      </w:r>
    </w:p>
    <w:p>
      <w:pPr>
        <w:spacing w:before="160" w:after="80"/>
      </w:pPr>
      <w:r>
        <w:rPr>
          <w:rFonts w:ascii="Calibri" w:hAnsi="Calibri" w:eastAsia="Calibri"/>
          <w:b/>
          <w:i w:val="0"/>
          <w:color w:val="333333"/>
          <w:sz w:val="20"/>
        </w:rPr>
        <w:t>O que você quer</w:t>
      </w:r>
    </w:p>
    <w:p>
      <w:pPr>
        <w:spacing w:after="120" w:line="300" w:lineRule="auto"/>
      </w:pPr>
      <w:r>
        <w:rPr>
          <w:rFonts w:ascii="Calibri" w:hAnsi="Calibri" w:eastAsia="Calibri"/>
          <w:b w:val="0"/>
          <w:i w:val="0"/>
          <w:sz w:val="22"/>
        </w:rPr>
        <w:t>Reduzir medo de “projeto grande demais”.</w:t>
      </w:r>
    </w:p>
    <w:p>
      <w:pPr>
        <w:spacing w:before="160" w:after="80"/>
      </w:pPr>
      <w:r>
        <w:rPr>
          <w:rFonts w:ascii="Calibri" w:hAnsi="Calibri" w:eastAsia="Calibri"/>
          <w:b/>
          <w:i w:val="0"/>
          <w:color w:val="333333"/>
          <w:sz w:val="20"/>
        </w:rPr>
        <w:t>Falar</w:t>
      </w:r>
    </w:p>
    <w:p>
      <w:pPr>
        <w:spacing w:after="160" w:line="312" w:lineRule="auto"/>
        <w:ind w:left="360"/>
      </w:pPr>
      <w:r>
        <w:rPr>
          <w:rFonts w:ascii="Calibri" w:hAnsi="Calibri" w:eastAsia="Calibri"/>
          <w:b w:val="0"/>
          <w:i/>
          <w:color w:val="222222"/>
          <w:sz w:val="22"/>
        </w:rPr>
        <w:t>A gente desenhou uma sequência que respeita o caixa e o risco de vocês — sem tentar fazer tudo ao mesmo tempo.</w:t>
        <w:br/>
        <w:br/>
        <w:t>A EE já aconteceu. Isso é ativo. Não vamos recomeçar do zero.</w:t>
        <w:br/>
        <w:br/>
        <w:t>O próximo passo é o Saber: colocar o comercial pra funcionar de verdade — CRM, papéis, scripts, rituais, treinamento. É o que faz a organização que vocês pediram existir no chão da operação.</w:t>
        <w:br/>
        <w:br/>
        <w:t>Em paralelo na jornada — e sustentando no tempo — vem o Executar: um time de Growth operando mídia e design pra trazer demanda alinhada aos ICPs que a EE já mapeou.</w:t>
        <w:br/>
        <w:br/>
        <w:t>Em resumo: primeiro a gente garante que a Dakar sabe receber e fechar bem. Depois (e junto) a gente escala a atração com responsabilidade.</w:t>
      </w:r>
    </w:p>
    <w:p>
      <w:pPr>
        <w:spacing w:before="160" w:after="80"/>
      </w:pPr>
      <w:r>
        <w:rPr>
          <w:rFonts w:ascii="Calibri" w:hAnsi="Calibri" w:eastAsia="Calibri"/>
          <w:b/>
          <w:i w:val="0"/>
          <w:color w:val="333333"/>
          <w:sz w:val="20"/>
        </w:rPr>
        <w:t>Ponte</w:t>
      </w:r>
    </w:p>
    <w:p>
      <w:pPr>
        <w:spacing w:after="160" w:line="312" w:lineRule="auto"/>
        <w:ind w:left="360"/>
      </w:pPr>
      <w:r>
        <w:rPr>
          <w:rFonts w:ascii="Calibri" w:hAnsi="Calibri" w:eastAsia="Calibri"/>
          <w:b w:val="0"/>
          <w:i/>
          <w:color w:val="222222"/>
          <w:sz w:val="22"/>
        </w:rPr>
        <w:t>Se fizer sentido, no próximo slide eu mostro como cada necessidade de vocês vira uma frente concreta.</w:t>
      </w:r>
    </w:p>
    <w:p>
      <w:pPr>
        <w:spacing w:before="360" w:after="120"/>
      </w:pPr>
      <w:r>
        <w:rPr>
          <w:rFonts w:ascii="Calibri" w:hAnsi="Calibri" w:eastAsia="Calibri"/>
          <w:b/>
          <w:i w:val="0"/>
          <w:color w:val="A10F14"/>
          <w:sz w:val="28"/>
        </w:rPr>
        <w:t>Slide 4 — Mapa</w:t>
      </w:r>
    </w:p>
    <w:p>
      <w:pPr>
        <w:spacing w:before="160" w:after="80"/>
      </w:pPr>
      <w:r>
        <w:rPr>
          <w:rFonts w:ascii="Calibri" w:hAnsi="Calibri" w:eastAsia="Calibri"/>
          <w:b/>
          <w:i w:val="0"/>
          <w:color w:val="333333"/>
          <w:sz w:val="20"/>
        </w:rPr>
        <w:t>O que você quer</w:t>
      </w:r>
    </w:p>
    <w:p>
      <w:pPr>
        <w:spacing w:after="120" w:line="300" w:lineRule="auto"/>
      </w:pPr>
      <w:r>
        <w:rPr>
          <w:rFonts w:ascii="Calibri" w:hAnsi="Calibri" w:eastAsia="Calibri"/>
          <w:b w:val="0"/>
          <w:i w:val="0"/>
          <w:sz w:val="22"/>
        </w:rPr>
        <w:t>Eles enxergarem que cada dor tem um dono.</w:t>
      </w:r>
    </w:p>
    <w:p>
      <w:pPr>
        <w:spacing w:before="160" w:after="80"/>
      </w:pPr>
      <w:r>
        <w:rPr>
          <w:rFonts w:ascii="Calibri" w:hAnsi="Calibri" w:eastAsia="Calibri"/>
          <w:b/>
          <w:i w:val="0"/>
          <w:color w:val="333333"/>
          <w:sz w:val="20"/>
        </w:rPr>
        <w:t>Falar</w:t>
      </w:r>
    </w:p>
    <w:p>
      <w:pPr>
        <w:spacing w:after="160" w:line="312" w:lineRule="auto"/>
        <w:ind w:left="360"/>
      </w:pPr>
      <w:r>
        <w:rPr>
          <w:rFonts w:ascii="Calibri" w:hAnsi="Calibri" w:eastAsia="Calibri"/>
          <w:b w:val="0"/>
          <w:i/>
          <w:color w:val="222222"/>
          <w:sz w:val="22"/>
        </w:rPr>
        <w:t>Aqui não é organograma da V4. É o mapa do problema de vocês.</w:t>
        <w:br/>
        <w:br/>
        <w:t>Se o funil está solto, se não tem SLA, se cada um vende de um jeito — isso é Estruturação Comercial.</w:t>
        <w:br/>
        <w:br/>
        <w:t>Se o orçamento entra no WhatsApp e some, se não tem pipe, se não tem histórico — isso é CRM vivo, dentro do mesmo Saber.</w:t>
        <w:br/>
        <w:br/>
        <w:t>Se a oficina tem capacidade ociosa e precisa de demanda qualificada — isso é mídia com foco em orçamento e CAC, não em vanity metric.</w:t>
        <w:br/>
        <w:br/>
        <w:t>Se o anúncio fala preço e a Dakar vende confiança, especialidade, segurança pro agro, frota e família SUV — isso é design e mensagem certos.</w:t>
        <w:br/>
        <w:br/>
        <w:t>E o que amarra tudo: olhar o funil do clique até a receita. Não celebrar impressão. Celebrar orçamento e fechamento.</w:t>
        <w:br/>
        <w:br/>
        <w:t>Por isso falamos em dois motores: processo comercial e atração. Um sem o outro ou queima dinheiro, ou deixa a oficina vazia.</w:t>
      </w:r>
    </w:p>
    <w:p>
      <w:pPr>
        <w:spacing w:before="160" w:after="80"/>
      </w:pPr>
      <w:r>
        <w:rPr>
          <w:rFonts w:ascii="Calibri" w:hAnsi="Calibri" w:eastAsia="Calibri"/>
          <w:b/>
          <w:i w:val="0"/>
          <w:color w:val="333333"/>
          <w:sz w:val="20"/>
        </w:rPr>
        <w:t>Pergunta leve</w:t>
      </w:r>
    </w:p>
    <w:p>
      <w:pPr>
        <w:spacing w:after="160" w:line="312" w:lineRule="auto"/>
        <w:ind w:left="360"/>
      </w:pPr>
      <w:r>
        <w:rPr>
          <w:rFonts w:ascii="Calibri" w:hAnsi="Calibri" w:eastAsia="Calibri"/>
          <w:b w:val="0"/>
          <w:i/>
          <w:color w:val="222222"/>
          <w:sz w:val="22"/>
        </w:rPr>
        <w:t>Qual desses pontos dói mais hoje — o comercial interno ou a geração de demanda?</w:t>
      </w:r>
    </w:p>
    <w:p>
      <w:pPr>
        <w:spacing w:after="120" w:line="300" w:lineRule="auto"/>
      </w:pPr>
      <w:r>
        <w:rPr>
          <w:rFonts w:ascii="Calibri" w:hAnsi="Calibri" w:eastAsia="Calibri"/>
          <w:b w:val="0"/>
          <w:i w:val="0"/>
          <w:sz w:val="22"/>
        </w:rPr>
        <w:t>Use a resposta para calibrar a ênfase nos próximos slides.</w:t>
      </w:r>
    </w:p>
    <w:p>
      <w:pPr>
        <w:spacing w:before="360" w:after="120"/>
      </w:pPr>
      <w:r>
        <w:rPr>
          <w:rFonts w:ascii="Calibri" w:hAnsi="Calibri" w:eastAsia="Calibri"/>
          <w:b/>
          <w:i w:val="0"/>
          <w:color w:val="A10F14"/>
          <w:sz w:val="28"/>
        </w:rPr>
        <w:t>Slide 5 — Entregáveis</w:t>
      </w:r>
    </w:p>
    <w:p>
      <w:pPr>
        <w:spacing w:before="160" w:after="80"/>
      </w:pPr>
      <w:r>
        <w:rPr>
          <w:rFonts w:ascii="Calibri" w:hAnsi="Calibri" w:eastAsia="Calibri"/>
          <w:b/>
          <w:i w:val="0"/>
          <w:color w:val="333333"/>
          <w:sz w:val="20"/>
        </w:rPr>
        <w:t>O que você quer</w:t>
      </w:r>
    </w:p>
    <w:p>
      <w:pPr>
        <w:spacing w:after="120" w:line="300" w:lineRule="auto"/>
      </w:pPr>
      <w:r>
        <w:rPr>
          <w:rFonts w:ascii="Calibri" w:hAnsi="Calibri" w:eastAsia="Calibri"/>
          <w:b w:val="0"/>
          <w:i w:val="0"/>
          <w:sz w:val="22"/>
        </w:rPr>
        <w:t>Tangibilizar sem virar lista de supermercado.</w:t>
      </w:r>
    </w:p>
    <w:p>
      <w:pPr>
        <w:spacing w:before="160" w:after="80"/>
      </w:pPr>
      <w:r>
        <w:rPr>
          <w:rFonts w:ascii="Calibri" w:hAnsi="Calibri" w:eastAsia="Calibri"/>
          <w:b/>
          <w:i w:val="0"/>
          <w:color w:val="333333"/>
          <w:sz w:val="20"/>
        </w:rPr>
        <w:t>Falar</w:t>
      </w:r>
    </w:p>
    <w:p>
      <w:pPr>
        <w:spacing w:after="160" w:line="312" w:lineRule="auto"/>
        <w:ind w:left="360"/>
      </w:pPr>
      <w:r>
        <w:rPr>
          <w:rFonts w:ascii="Calibri" w:hAnsi="Calibri" w:eastAsia="Calibri"/>
          <w:b w:val="0"/>
          <w:i/>
          <w:color w:val="222222"/>
          <w:sz w:val="22"/>
        </w:rPr>
        <w:t>Vou ser bem transparente no que entra — porque proposta boa é proposta clara.</w:t>
        <w:br/>
        <w:br/>
        <w:t>No Saber, o trabalho é deixar a Dakar comercialmente operacional: funil e indicadores, playbooks e papéis, rituais de gestão, ICP e comissionamento alinhados, treinamento do time e CRM implementado — pipes, fases, canais, bot de boas-vindas. Ou seja: quando o lead chega, tem caminho.</w:t>
        <w:br/>
        <w:br/>
        <w:t>No Executar, por 12 meses, a V4 entra pra operar: mídia Google e Meta, criativos de performance, monitoramento, rituais de acompanhamento e revisão com a liderança olhando receita — não só mídia.</w:t>
        <w:br/>
        <w:br/>
        <w:t>O que isso muda na prática pra vocês:</w:t>
      </w:r>
    </w:p>
    <w:p>
      <w:pPr>
        <w:pStyle w:val="ListBullet"/>
        <w:spacing w:after="60" w:line="288" w:lineRule="auto"/>
      </w:pPr>
      <w:r>
        <w:rPr>
          <w:rFonts w:ascii="Calibri" w:hAnsi="Calibri" w:eastAsia="Calibri"/>
          <w:b w:val="0"/>
          <w:i w:val="0"/>
          <w:sz w:val="22"/>
        </w:rPr>
        <w:t>anúncio deixa de ser “esperança” e vira teste com meta;</w:t>
      </w:r>
    </w:p>
    <w:p>
      <w:pPr>
        <w:pStyle w:val="ListBullet"/>
        <w:spacing w:after="60" w:line="288" w:lineRule="auto"/>
      </w:pPr>
      <w:r>
        <w:rPr>
          <w:rFonts w:ascii="Calibri" w:hAnsi="Calibri" w:eastAsia="Calibri"/>
          <w:b w:val="0"/>
          <w:i w:val="0"/>
          <w:sz w:val="22"/>
        </w:rPr>
        <w:t>a comunicação passa a vender o que a Dakar realmente é — confiança, não briga de preço;</w:t>
      </w:r>
    </w:p>
    <w:p>
      <w:pPr>
        <w:pStyle w:val="ListBullet"/>
        <w:spacing w:after="60" w:line="288" w:lineRule="auto"/>
      </w:pPr>
      <w:r>
        <w:rPr>
          <w:rFonts w:ascii="Calibri" w:hAnsi="Calibri" w:eastAsia="Calibri"/>
          <w:b w:val="0"/>
          <w:i w:val="0"/>
          <w:sz w:val="22"/>
        </w:rPr>
        <w:t>o comercial deixa de ser reativo e passa a conduzir o orçamento até o fim.</w:t>
      </w:r>
    </w:p>
    <w:p>
      <w:pPr>
        <w:spacing w:before="160" w:after="80"/>
      </w:pPr>
      <w:r>
        <w:rPr>
          <w:rFonts w:ascii="Calibri" w:hAnsi="Calibri" w:eastAsia="Calibri"/>
          <w:b/>
          <w:i w:val="0"/>
          <w:color w:val="333333"/>
          <w:sz w:val="20"/>
        </w:rPr>
        <w:t>Dica</w:t>
      </w:r>
    </w:p>
    <w:p>
      <w:pPr>
        <w:spacing w:after="120" w:line="300" w:lineRule="auto"/>
      </w:pPr>
      <w:r>
        <w:rPr>
          <w:rFonts w:ascii="Calibri" w:hAnsi="Calibri" w:eastAsia="Calibri"/>
          <w:b w:val="0"/>
          <w:i w:val="0"/>
          <w:sz w:val="22"/>
        </w:rPr>
        <w:t>Se pedirem detalhe, aprofunde só o bloco que interessar. Não despejar todos os bullets.</w:t>
      </w:r>
    </w:p>
    <w:p>
      <w:pPr>
        <w:spacing w:before="360" w:after="120"/>
      </w:pPr>
      <w:r>
        <w:rPr>
          <w:rFonts w:ascii="Calibri" w:hAnsi="Calibri" w:eastAsia="Calibri"/>
          <w:b/>
          <w:i w:val="0"/>
          <w:color w:val="A10F14"/>
          <w:sz w:val="28"/>
        </w:rPr>
        <w:t>Slide 6 — Operação</w:t>
      </w:r>
    </w:p>
    <w:p>
      <w:pPr>
        <w:spacing w:before="160" w:after="80"/>
      </w:pPr>
      <w:r>
        <w:rPr>
          <w:rFonts w:ascii="Calibri" w:hAnsi="Calibri" w:eastAsia="Calibri"/>
          <w:b/>
          <w:i w:val="0"/>
          <w:color w:val="333333"/>
          <w:sz w:val="20"/>
        </w:rPr>
        <w:t>O que você quer</w:t>
      </w:r>
    </w:p>
    <w:p>
      <w:pPr>
        <w:spacing w:after="120" w:line="300" w:lineRule="auto"/>
      </w:pPr>
      <w:r>
        <w:rPr>
          <w:rFonts w:ascii="Calibri" w:hAnsi="Calibri" w:eastAsia="Calibri"/>
          <w:b w:val="0"/>
          <w:i w:val="0"/>
          <w:sz w:val="22"/>
        </w:rPr>
        <w:t>Matar o medo de “consultoria que some”.</w:t>
      </w:r>
    </w:p>
    <w:p>
      <w:pPr>
        <w:spacing w:before="160" w:after="80"/>
      </w:pPr>
      <w:r>
        <w:rPr>
          <w:rFonts w:ascii="Calibri" w:hAnsi="Calibri" w:eastAsia="Calibri"/>
          <w:b/>
          <w:i w:val="0"/>
          <w:color w:val="333333"/>
          <w:sz w:val="20"/>
        </w:rPr>
        <w:t>Falar</w:t>
      </w:r>
    </w:p>
    <w:p>
      <w:pPr>
        <w:spacing w:after="160" w:line="312" w:lineRule="auto"/>
        <w:ind w:left="360"/>
      </w:pPr>
      <w:r>
        <w:rPr>
          <w:rFonts w:ascii="Calibri" w:hAnsi="Calibri" w:eastAsia="Calibri"/>
          <w:b w:val="0"/>
          <w:i/>
          <w:color w:val="222222"/>
          <w:sz w:val="22"/>
        </w:rPr>
        <w:t>Uma preocupação justa de quem já contratou marketing: chega um PDF bonito e depois some o mundo.</w:t>
        <w:br/>
        <w:br/>
        <w:t>Aqui a lógica é outra. A gente abre com kickoff — acessos, responsáveis, escopo. Em seguida o Saber coloca CRM e método no time de vocês. O Growth entra em operação. E a cada trimestre a gente senta com a liderança pra olhar o que importou: funil e receita.</w:t>
        <w:br/>
        <w:br/>
        <w:t>Vocês não ficam sozinhos. E a gente também não opera no escuro: precisamos de Fernando, Heiner e Renan alinhados, acessos liberados e um ritmo de aprovação que não trave a oficina.</w:t>
        <w:br/>
        <w:br/>
        <w:t>O contrato de Growth é de 12 meses justamente pra dar tempo de construir curva — não pra “ligar campanha e ver em 15 dias”. E a EE que vocês já investiram entra como crédito nessa condição. Ou seja: o que já foi feito continua trabalhando a favor de vocês.</w:t>
      </w:r>
    </w:p>
    <w:p>
      <w:pPr>
        <w:spacing w:before="160" w:after="80"/>
      </w:pPr>
      <w:r>
        <w:rPr>
          <w:rFonts w:ascii="Calibri" w:hAnsi="Calibri" w:eastAsia="Calibri"/>
          <w:b/>
          <w:i w:val="0"/>
          <w:color w:val="333333"/>
          <w:sz w:val="20"/>
        </w:rPr>
        <w:t>Ponte para o preço</w:t>
      </w:r>
    </w:p>
    <w:p>
      <w:pPr>
        <w:spacing w:after="160" w:line="312" w:lineRule="auto"/>
        <w:ind w:left="360"/>
      </w:pPr>
      <w:r>
        <w:rPr>
          <w:rFonts w:ascii="Calibri" w:hAnsi="Calibri" w:eastAsia="Calibri"/>
          <w:b w:val="0"/>
          <w:i/>
          <w:color w:val="222222"/>
          <w:sz w:val="22"/>
        </w:rPr>
        <w:t>Se a lógica de operação faz sentido, o próximo passo é olhar as condições — já calibradas pro momento pós-EE.</w:t>
      </w:r>
    </w:p>
    <w:p>
      <w:pPr>
        <w:spacing w:before="360" w:after="120"/>
      </w:pPr>
      <w:r>
        <w:rPr>
          <w:rFonts w:ascii="Calibri" w:hAnsi="Calibri" w:eastAsia="Calibri"/>
          <w:b/>
          <w:i w:val="0"/>
          <w:color w:val="A10F14"/>
          <w:sz w:val="28"/>
        </w:rPr>
        <w:t>Slide 7 — Investimento</w:t>
      </w:r>
    </w:p>
    <w:p>
      <w:pPr>
        <w:spacing w:before="160" w:after="80"/>
      </w:pPr>
      <w:r>
        <w:rPr>
          <w:rFonts w:ascii="Calibri" w:hAnsi="Calibri" w:eastAsia="Calibri"/>
          <w:b/>
          <w:i w:val="0"/>
          <w:color w:val="333333"/>
          <w:sz w:val="20"/>
        </w:rPr>
        <w:t>O que você quer</w:t>
      </w:r>
    </w:p>
    <w:p>
      <w:pPr>
        <w:spacing w:after="120" w:line="300" w:lineRule="auto"/>
      </w:pPr>
      <w:r>
        <w:rPr>
          <w:rFonts w:ascii="Calibri" w:hAnsi="Calibri" w:eastAsia="Calibri"/>
          <w:b w:val="0"/>
          <w:i w:val="0"/>
          <w:sz w:val="22"/>
        </w:rPr>
        <w:t>Preço como consequência do valor, não como surpresa.</w:t>
      </w:r>
    </w:p>
    <w:p>
      <w:pPr>
        <w:spacing w:before="160" w:after="80"/>
      </w:pPr>
      <w:r>
        <w:rPr>
          <w:rFonts w:ascii="Calibri" w:hAnsi="Calibri" w:eastAsia="Calibri"/>
          <w:b/>
          <w:i w:val="0"/>
          <w:color w:val="333333"/>
          <w:sz w:val="20"/>
        </w:rPr>
        <w:t>Falar</w:t>
      </w:r>
    </w:p>
    <w:p>
      <w:pPr>
        <w:spacing w:after="160" w:line="312" w:lineRule="auto"/>
        <w:ind w:left="360"/>
      </w:pPr>
      <w:r>
        <w:rPr>
          <w:rFonts w:ascii="Calibri" w:hAnsi="Calibri" w:eastAsia="Calibri"/>
          <w:b w:val="0"/>
          <w:i/>
          <w:color w:val="222222"/>
          <w:sz w:val="22"/>
        </w:rPr>
        <w:t>Vou direto, sem enrolar.</w:t>
        <w:br/>
        <w:br/>
        <w:t>Tem duas frentes de investimento — e as duas já vêm com condição de cliente, porque vocês não estão começando do zero com a V4.</w:t>
        <w:br/>
        <w:br/>
        <w:t>A operação contínua — Assessoria de Growth, 12 meses:</w:t>
        <w:br/>
        <w:t>O valor de referência é R$ 11.223,40 por mês.</w:t>
        <w:br/>
        <w:t>Nesta proposta, com cashback da EE de cerca de R$ 13.488 e os descontos de cliente, o valor fica em R$ 6.172,87 por mês.</w:t>
        <w:br/>
        <w:t>É mídia + design rodando com vocês, mês a mês.</w:t>
        <w:br/>
        <w:br/>
        <w:t>A estruturação pontual — Performance Comercial 360º:</w:t>
        <w:br/>
        <w:t>De R$ 20.283,13 na tabela para R$ 9.127,41 nesta condição — ou 12 vezes de R$ 760,62.</w:t>
        <w:br/>
        <w:t>É o que liga o comercial: diagnóstico, CRM e treinamento.</w:t>
        <w:br/>
        <w:br/>
        <w:t>O jeito de ler isso: vocês não estão comprando “horas de agência”. Estão comprando a capacidade de organizar a venda e alimentar a oficina com demanda qualificada — usando o que a EE já construiu.</w:t>
      </w:r>
    </w:p>
    <w:p>
      <w:pPr>
        <w:spacing w:before="160" w:after="80"/>
      </w:pPr>
      <w:r>
        <w:rPr>
          <w:rFonts w:ascii="Calibri" w:hAnsi="Calibri" w:eastAsia="Calibri"/>
          <w:b/>
          <w:i w:val="0"/>
          <w:color w:val="333333"/>
          <w:sz w:val="20"/>
        </w:rPr>
        <w:t>Fechamento consultivo</w:t>
      </w:r>
    </w:p>
    <w:p>
      <w:pPr>
        <w:spacing w:after="160" w:line="312" w:lineRule="auto"/>
        <w:ind w:left="360"/>
      </w:pPr>
      <w:r>
        <w:rPr>
          <w:rFonts w:ascii="Calibri" w:hAnsi="Calibri" w:eastAsia="Calibri"/>
          <w:b w:val="0"/>
          <w:i/>
          <w:color w:val="222222"/>
          <w:sz w:val="22"/>
        </w:rPr>
        <w:t>Meu próximo passo sugerido é simples: validar se o escopo está redondo pra vocês, formalizar e em até cinco dias úteis a gente faz o kickoff com a Colli&amp;Co.</w:t>
        <w:br/>
        <w:br/>
        <w:t>Antes disso — o que ainda gera dúvida: o escopo do Saber, a operação dos 12 meses, ou a condição comercial?</w:t>
      </w:r>
    </w:p>
    <w:p>
      <w:pPr>
        <w:spacing w:before="160" w:after="80"/>
      </w:pPr>
      <w:r>
        <w:rPr>
          <w:rFonts w:ascii="Calibri" w:hAnsi="Calibri" w:eastAsia="Calibri"/>
          <w:b/>
          <w:i w:val="0"/>
          <w:color w:val="333333"/>
          <w:sz w:val="20"/>
        </w:rPr>
        <w:t>Se hesitarem no preço</w:t>
      </w:r>
    </w:p>
    <w:p>
      <w:pPr>
        <w:spacing w:after="160" w:line="312" w:lineRule="auto"/>
        <w:ind w:left="360"/>
      </w:pPr>
      <w:r>
        <w:rPr>
          <w:rFonts w:ascii="Calibri" w:hAnsi="Calibri" w:eastAsia="Calibri"/>
          <w:b w:val="0"/>
          <w:i/>
          <w:color w:val="222222"/>
          <w:sz w:val="22"/>
        </w:rPr>
        <w:t>Faz sentido. O que eu não gostaria é de vocês investirem em mídia sem o comercial pronto — ou estruturarem o comercial e ficarem sem demanda. Por isso a proposta vem em conjunto. Se quiserem, a gente prioriza a ordem de entrada sem perder a lógica dos dois motores.</w:t>
      </w:r>
    </w:p>
    <w:p>
      <w:pPr>
        <w:spacing w:before="360" w:after="120"/>
      </w:pPr>
      <w:r>
        <w:rPr>
          <w:rFonts w:ascii="Calibri" w:hAnsi="Calibri" w:eastAsia="Calibri"/>
          <w:b/>
          <w:i w:val="0"/>
          <w:color w:val="A10F14"/>
          <w:sz w:val="28"/>
        </w:rPr>
        <w:t>Postura geral — lembretes</w:t>
      </w:r>
    </w:p>
    <w:p>
      <w:pPr>
        <w:pStyle w:val="ListBullet"/>
        <w:spacing w:after="60" w:line="288" w:lineRule="auto"/>
      </w:pPr>
      <w:r>
        <w:rPr>
          <w:rFonts w:ascii="Calibri" w:hAnsi="Calibri" w:eastAsia="Calibri"/>
          <w:b w:val="0"/>
          <w:i w:val="0"/>
          <w:sz w:val="22"/>
        </w:rPr>
        <w:t>Pergunte mais do que afirme nos slides 2 e 4.</w:t>
      </w:r>
    </w:p>
    <w:p>
      <w:pPr>
        <w:pStyle w:val="ListBullet"/>
        <w:spacing w:after="60" w:line="288" w:lineRule="auto"/>
      </w:pPr>
      <w:r>
        <w:rPr>
          <w:rFonts w:ascii="Calibri" w:hAnsi="Calibri" w:eastAsia="Calibri"/>
          <w:b w:val="0"/>
          <w:i w:val="0"/>
          <w:sz w:val="22"/>
        </w:rPr>
        <w:t>Use a frase da Dakar como âncora emocional — ela vende sozinha.</w:t>
      </w:r>
    </w:p>
    <w:p>
      <w:pPr>
        <w:pStyle w:val="ListBullet"/>
        <w:spacing w:after="60" w:line="288" w:lineRule="auto"/>
      </w:pPr>
      <w:r>
        <w:rPr>
          <w:rFonts w:ascii="Calibri" w:hAnsi="Calibri" w:eastAsia="Calibri"/>
          <w:b w:val="0"/>
          <w:i w:val="0"/>
          <w:sz w:val="22"/>
        </w:rPr>
        <w:t>Preço só depois de valor e operação estarem claros.</w:t>
      </w:r>
    </w:p>
    <w:p>
      <w:pPr>
        <w:pStyle w:val="ListBullet"/>
        <w:spacing w:after="60" w:line="288" w:lineRule="auto"/>
      </w:pPr>
      <w:r>
        <w:rPr>
          <w:rFonts w:ascii="Calibri" w:hAnsi="Calibri" w:eastAsia="Calibri"/>
          <w:b w:val="0"/>
          <w:i w:val="0"/>
          <w:sz w:val="22"/>
        </w:rPr>
        <w:t>Nunca defenda desconto linha a linha; fale em condição pós-EE + parceria.</w:t>
      </w:r>
    </w:p>
    <w:p>
      <w:pPr>
        <w:pStyle w:val="ListBullet"/>
        <w:spacing w:after="60" w:line="288" w:lineRule="auto"/>
      </w:pPr>
      <w:r>
        <w:rPr>
          <w:rFonts w:ascii="Calibri" w:hAnsi="Calibri" w:eastAsia="Calibri"/>
          <w:b w:val="0"/>
          <w:i w:val="0"/>
          <w:sz w:val="22"/>
        </w:rPr>
        <w:t>Feche pedindo a próxima ação, não um “pensem e me falem”.</w:t>
      </w:r>
    </w:p>
    <w:sectPr w:rsidR="00FC693F" w:rsidRPr="0006063C" w:rsidSect="00034616">
      <w:pgSz w:w="12240" w:h="15840"/>
      <w:pgMar w:top="1440" w:right="1584" w:bottom="1440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