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280001" w:val="clear"/>
            <w:tcBorders>
              <w:top w:val="single" w:sz="0" w:space="0" w:color="280001"/>
              <w:left w:val="single" w:sz="0" w:space="0" w:color="280001"/>
              <w:bottom w:val="single" w:sz="0" w:space="0" w:color="280001"/>
              <w:right w:val="single" w:sz="0" w:space="0" w:color="280001"/>
            </w:tcBorders>
            <w:tcMar>
              <w:top w:w="280" w:type="dxa"/>
              <w:left w:w="220" w:type="dxa"/>
              <w:bottom w:w="280" w:type="dxa"/>
              <w:right w:w="22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5B5B8"/>
                <w:sz w:val="22"/>
              </w:rPr>
              <w:t>PROPOSTA COMERCIAL</w:t>
            </w:r>
          </w:p>
          <w:p>
            <w:pPr>
              <w:spacing w:before="200"/>
            </w:pPr>
            <w:r>
              <w:rPr>
                <w:rFonts w:ascii="Calibri" w:hAnsi="Calibri" w:eastAsia="Calibri"/>
                <w:b/>
                <w:i w:val="0"/>
                <w:color w:val="FFFFFF"/>
                <w:sz w:val="56"/>
              </w:rPr>
              <w:t>Empresa que Vende + SEO Growth</w:t>
            </w:r>
          </w:p>
          <w:p>
            <w:pPr>
              <w:spacing w:after="240"/>
            </w:pPr>
            <w:r>
              <w:rPr>
                <w:rFonts w:ascii="Calibri" w:hAnsi="Calibri" w:eastAsia="Calibri"/>
                <w:b w:val="0"/>
                <w:i w:val="0"/>
                <w:color w:val="FFD0D0"/>
                <w:sz w:val="32"/>
              </w:rPr>
              <w:t>CID — Clínica de Serviços Médicos  ×  V4 Company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0D0"/>
                <w:sz w:val="24"/>
              </w:rPr>
              <w:t>Consultoria, acompanhamento e execução assistida + origem orgânica. Ciclo de 6 meses no cartão de crédito. Sem verba de mídia paga.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Calibri" w:hAnsi="Calibri" w:eastAsia="Calibri"/>
          <w:b w:val="0"/>
          <w:i w:val="0"/>
          <w:color w:val="1A1A1A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60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46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Cliente</w:t>
            </w:r>
          </w:p>
        </w:tc>
        <w:tc>
          <w:tcPr>
            <w:tcW w:type="dxa" w:w="674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CID — Clínica de Serviços Médicos</w:t>
            </w:r>
          </w:p>
        </w:tc>
      </w:tr>
      <w:tr>
        <w:trPr>
          <w:cantSplit/>
        </w:trPr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Produto 1</w:t>
            </w:r>
          </w:p>
        </w:tc>
        <w:tc>
          <w:tcPr>
            <w:tcW w:type="dxa" w:w="674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Empresa que Vende (EQV) — execução assistida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Produto 2</w:t>
            </w:r>
          </w:p>
        </w:tc>
        <w:tc>
          <w:tcPr>
            <w:tcW w:type="dxa" w:w="674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SEO Growth — conteúdo + links + previsibilidade (6 meses)</w:t>
            </w:r>
          </w:p>
        </w:tc>
      </w:tr>
      <w:tr>
        <w:trPr>
          <w:cantSplit/>
        </w:trPr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Prazo</w:t>
            </w:r>
          </w:p>
        </w:tc>
        <w:tc>
          <w:tcPr>
            <w:tcW w:type="dxa" w:w="674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 meses  ·  5 fases  ·  squad (Conteúdo, SEO Growth, Comercial, CRM)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Separados</w:t>
            </w:r>
          </w:p>
        </w:tc>
        <w:tc>
          <w:tcPr>
            <w:tcW w:type="dxa" w:w="674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EQV R$ 35.000,00  ·  SEO Growth R$ 21.600,00 (6× R$ 3.600)</w:t>
            </w:r>
          </w:p>
        </w:tc>
      </w:tr>
      <w:tr>
        <w:trPr>
          <w:cantSplit/>
        </w:trPr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Ambos juntos (soma)</w:t>
            </w:r>
          </w:p>
        </w:tc>
        <w:tc>
          <w:tcPr>
            <w:tcW w:type="dxa" w:w="674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6× R$ 9.433,33 no cartão  ·  TCV R$ 56.600,00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Pacote · condição comercial</w:t>
            </w:r>
          </w:p>
        </w:tc>
        <w:tc>
          <w:tcPr>
            <w:tcW w:type="dxa" w:w="674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6× R$ 5.418,57 no cartão de crédito  ·  TCV R$ 32.511,42</w:t>
            </w:r>
          </w:p>
        </w:tc>
      </w:tr>
      <w:tr>
        <w:trPr>
          <w:cantSplit/>
        </w:trPr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Condução</w:t>
            </w:r>
          </w:p>
        </w:tc>
        <w:tc>
          <w:tcPr>
            <w:tcW w:type="dxa" w:w="674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V4 Company  ·  consultor estratégico (1h/mês) + squad de execução assistida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Incluso</w:t>
            </w:r>
          </w:p>
        </w:tc>
        <w:tc>
          <w:tcPr>
            <w:tcW w:type="dxa" w:w="674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Comunidade, monitoria coletiva mensal, conteúdo semanal e Fábrica de Receita (imersão presencial anual)</w:t>
            </w:r>
          </w:p>
        </w:tc>
      </w:tr>
      <w:tr>
        <w:trPr>
          <w:cantSplit/>
        </w:trPr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Garantia</w:t>
            </w:r>
          </w:p>
        </w:tc>
        <w:tc>
          <w:tcPr>
            <w:tcW w:type="dxa" w:w="674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30 dias de serviço — reembolso incondicional se a entrega não fizer sentido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LEITURA CENTRAL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A V4 não executa no lugar da CID: estrutura o negócio, treina o time e acompanha a execução. Quem opera é a CID. A máquina fica na empresa quando o ciclo acaba. A ordem é clareza → sistema → execução. SEO Growth entra como origem complementar, sem mídia paga.</w:t>
            </w:r>
          </w:p>
        </w:tc>
      </w:tr>
    </w:tbl>
    <w:p>
      <w:pPr>
        <w:spacing w:after="120"/>
      </w:pP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1. Objetivo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Instalar, em 6 meses, o método para a CID vender com previsibilidade: diagnóstico contínuo de maturidade GTM, consultoria estratégica mensal, execução assistida (conteúdo, comercial e CRM) e origem complementar em SEO Growth — sem verba de mídia paga. Comunidade de pares e imersão presencial da Fábrica de Receita.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O resultado esperado não é um PDF para a gaveta nem uma agência que some quando o contrato acaba. É o time operando com tese, artefato e cadência: conteúdo que gera demanda, comercial que fecha, CRM que governa o pipeline, e a CID aparecendo quando RH e Compras pesquisam — inclusive quando perguntam para a IA.</w:t>
      </w: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2. O problema que o programa resolve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311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Sintoma</w:t>
            </w:r>
          </w:p>
        </w:tc>
        <w:tc>
          <w:tcPr>
            <w:tcW w:type="dxa" w:w="6236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Efeito na operação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Receita imprevisível / concentração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mês é esforço, não método. 90% em um contrato não tem plano B privado.</w:t>
            </w:r>
          </w:p>
        </w:tc>
      </w:tr>
      <w:tr>
        <w:trPr>
          <w:cantSplit/>
        </w:trPr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Processo na cabeça de uma pessoa</w:t>
            </w:r>
          </w:p>
        </w:tc>
        <w:tc>
          <w:tcPr>
            <w:tcW w:type="dxa" w:w="623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comercial é o sócio Leonardo. Sem sistema, não se repete.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Marketing no achismo / nunca investiu em mídia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Canal, conteúdo e origem sem tese. Mídia paga não cabe na margem.</w:t>
            </w:r>
          </w:p>
        </w:tc>
      </w:tr>
      <w:tr>
        <w:trPr>
          <w:cantSplit/>
        </w:trPr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Agência executa — você não aprende</w:t>
            </w:r>
          </w:p>
        </w:tc>
        <w:tc>
          <w:tcPr>
            <w:tcW w:type="dxa" w:w="623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Quando o contrato acaba, o resultado vai junto.</w:t>
            </w:r>
          </w:p>
        </w:tc>
      </w:tr>
      <w:tr>
        <w:trPr>
          <w:cantSplit/>
        </w:trPr>
        <w:tc>
          <w:tcPr>
            <w:tcW w:type="dxa" w:w="311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Comercial amador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Script, follow-up e pipeline improvisados. A proposta não tem business case.</w:t>
            </w:r>
          </w:p>
        </w:tc>
      </w:tr>
      <w:tr>
        <w:trPr>
          <w:cantSplit/>
        </w:trPr>
        <w:tc>
          <w:tcPr>
            <w:tcW w:type="dxa" w:w="311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Posicionamento frouxo</w:t>
            </w:r>
          </w:p>
        </w:tc>
        <w:tc>
          <w:tcPr>
            <w:tcW w:type="dxa" w:w="623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mercado vê mão de obra avulsa, não gestão e continuidade.</w:t>
            </w:r>
          </w:p>
        </w:tc>
      </w:tr>
    </w:tbl>
    <w:p>
      <w:pPr>
        <w:spacing w:after="160"/>
      </w:pP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3. A solução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A ordem de construção é clareza → sistema → execução. Sem método, origem vira aposta. Com método, receita vira consequência.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94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Pilar</w:t>
            </w:r>
          </w:p>
        </w:tc>
        <w:tc>
          <w:tcPr>
            <w:tcW w:type="dxa" w:w="6406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instala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 · Diagnóstico contínuo</w:t>
            </w:r>
          </w:p>
        </w:tc>
        <w:tc>
          <w:tcPr>
            <w:tcW w:type="dxa" w:w="640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Maturidade GTM monitorada. Gargalos identificados a cada ciclo.</w:t>
            </w:r>
          </w:p>
        </w:tc>
      </w:tr>
      <w:tr>
        <w:trPr>
          <w:cantSplit/>
        </w:trPr>
        <w:tc>
          <w:tcPr>
            <w:tcW w:type="dxa" w:w="294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02 · Consultoria estratégica</w:t>
            </w:r>
          </w:p>
        </w:tc>
        <w:tc>
          <w:tcPr>
            <w:tcW w:type="dxa" w:w="640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1h/mês com consultor V4: prioridades e créditos do squad.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03 · Execução assistida</w:t>
            </w:r>
          </w:p>
        </w:tc>
        <w:tc>
          <w:tcPr>
            <w:tcW w:type="dxa" w:w="640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Squad: Conteúdo, SEO Growth, Comercial e CRM. Quem opera é a CID.</w:t>
            </w:r>
          </w:p>
        </w:tc>
      </w:tr>
      <w:tr>
        <w:trPr>
          <w:cantSplit/>
        </w:trPr>
        <w:tc>
          <w:tcPr>
            <w:tcW w:type="dxa" w:w="294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04 · Comunidade</w:t>
            </w:r>
          </w:p>
        </w:tc>
        <w:tc>
          <w:tcPr>
            <w:tcW w:type="dxa" w:w="6406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Peers, lives mensais e grupo fechado no WhatsApp.</w:t>
            </w:r>
          </w:p>
        </w:tc>
      </w:tr>
      <w:tr>
        <w:trPr>
          <w:cantSplit/>
        </w:trPr>
        <w:tc>
          <w:tcPr>
            <w:tcW w:type="dxa" w:w="294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05 · Fábrica de Receita</w:t>
            </w:r>
          </w:p>
        </w:tc>
        <w:tc>
          <w:tcPr>
            <w:tcW w:type="dxa" w:w="6406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Imersão presencial anual: hot seats, cases e workshops.</w:t>
            </w:r>
          </w:p>
        </w:tc>
      </w:tr>
    </w:tbl>
    <w:p>
      <w:pPr>
        <w:spacing w:after="160"/>
      </w:pP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4. Jornada de 6 meses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13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147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Quando</w:t>
            </w:r>
          </w:p>
        </w:tc>
        <w:tc>
          <w:tcPr>
            <w:tcW w:type="dxa" w:w="2608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Nome</w:t>
            </w:r>
          </w:p>
        </w:tc>
        <w:tc>
          <w:tcPr>
            <w:tcW w:type="dxa" w:w="413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1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Onboarding</w:t>
            </w:r>
          </w:p>
        </w:tc>
        <w:tc>
          <w:tcPr>
            <w:tcW w:type="dxa" w:w="413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Kickoff, maturidade GTM e prioridades do ciclo.</w:t>
            </w:r>
          </w:p>
        </w:tc>
      </w:tr>
      <w:tr>
        <w:trPr>
          <w:cantSplit/>
        </w:trPr>
        <w:tc>
          <w:tcPr>
            <w:tcW w:type="dxa" w:w="113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02</w:t>
            </w:r>
          </w:p>
        </w:tc>
        <w:tc>
          <w:tcPr>
            <w:tcW w:type="dxa" w:w="147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2</w:t>
            </w:r>
          </w:p>
        </w:tc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EE 3.0 completa</w:t>
            </w:r>
          </w:p>
        </w:tc>
        <w:tc>
          <w:tcPr>
            <w:tcW w:type="dxa" w:w="413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3P-IA, posicionamento ativo e canal de vendas no ar.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03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3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Consultoria de conteúdo</w:t>
            </w:r>
          </w:p>
        </w:tc>
        <w:tc>
          <w:tcPr>
            <w:tcW w:type="dxa" w:w="413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Produção assistida + mensagem para RH / Compras / Financeiro.</w:t>
            </w:r>
          </w:p>
        </w:tc>
      </w:tr>
      <w:tr>
        <w:trPr>
          <w:cantSplit/>
        </w:trPr>
        <w:tc>
          <w:tcPr>
            <w:tcW w:type="dxa" w:w="113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04</w:t>
            </w:r>
          </w:p>
        </w:tc>
        <w:tc>
          <w:tcPr>
            <w:tcW w:type="dxa" w:w="147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4</w:t>
            </w:r>
          </w:p>
        </w:tc>
        <w:tc>
          <w:tcPr>
            <w:tcW w:type="dxa" w:w="2608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SEO Growth</w:t>
            </w:r>
          </w:p>
        </w:tc>
        <w:tc>
          <w:tcPr>
            <w:tcW w:type="dxa" w:w="413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Base técnica, intenção, 4 posts/mês e entidade para busca e IA.</w:t>
            </w:r>
          </w:p>
        </w:tc>
      </w:tr>
      <w:tr>
        <w:trPr>
          <w:cantSplit/>
        </w:trPr>
        <w:tc>
          <w:tcPr>
            <w:tcW w:type="dxa" w:w="113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05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5/6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Consultoria comercial + CRM</w:t>
            </w:r>
          </w:p>
        </w:tc>
        <w:tc>
          <w:tcPr>
            <w:tcW w:type="dxa" w:w="413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Scripts, follow-up, pipeline e monetização do funil.</w:t>
            </w:r>
          </w:p>
        </w:tc>
      </w:tr>
    </w:tbl>
    <w:p>
      <w:pPr>
        <w:spacing w:after="160"/>
      </w:pP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5. Três sessões com entregáveis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6"/>
        </w:rPr>
        <w:t>Sessão 01 — Produto, oferta, posicionamento, conteúdo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O especialista V4 orienta a estratégia, calibra a mensagem para o ICP (RH, Compras, Financeiro) e acompanha a execução mês a mês. A CID para de falar de si e passa a falar da dor do comprador.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Oferta e posicionamento de gestão — não de mão de obra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Proposta com business case, cronograma e governança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Linha editorial e mensagem por persona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Prova comercial: SLA, indicador, caso autorizado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6"/>
        </w:rPr>
        <w:t>Sessão 02 — SEO Growth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SEO Growth é o plano de origem orgânica: crescimento consistente com conteúdo, links e previsibilidade. Não é post solto, não é “mexer no site”, não é garantia de posição. GEO não é um módulo à parte — é o efeito de conteúdo factual e entidade: RH e Compras já perguntam para a IA quem contratar; a CID precisa ser citada como referência de gestão.</w:t>
      </w:r>
    </w:p>
    <w:p>
      <w:pPr>
        <w:spacing w:before="0" w:after="80" w:line="276" w:lineRule="auto"/>
        <w:jc w:val="left"/>
      </w:pPr>
      <w:r>
        <w:rPr>
          <w:rFonts w:ascii="Calibri" w:hAnsi="Calibri" w:eastAsia="Calibri"/>
          <w:b/>
          <w:i w:val="0"/>
          <w:color w:val="1A1A1A"/>
          <w:sz w:val="22"/>
        </w:rPr>
        <w:t>Incluso no ciclo de 6 meses: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Base técnica, Search Console, Google Business Profile e otimização inicial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Auditoria técnica contínua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Pesquisa avançada sem limite + intenção de busca do comprador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4 blogposts/mês + briefings + snippet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Link building leve (1–2/mês) e recuperação de links quebrados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SEO local básico, se aplicável à operação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Gestão quinzenal + call mensal</w:t>
      </w:r>
    </w:p>
    <w:p>
      <w:pPr>
        <w:spacing w:before="120" w:after="80" w:line="276" w:lineRule="auto"/>
        <w:jc w:val="left"/>
      </w:pPr>
      <w:r>
        <w:rPr>
          <w:rFonts w:ascii="Calibri" w:hAnsi="Calibri" w:eastAsia="Calibri"/>
          <w:b/>
          <w:i w:val="0"/>
          <w:color w:val="1A1A1A"/>
          <w:sz w:val="22"/>
        </w:rPr>
        <w:t>Fora deste recorte: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Cluster pilar + satélites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Link building estratégico / Digital PR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Core Web Vitals avançado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CRO orgânico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6"/>
        </w:rPr>
        <w:t>Sessão 03 — Comercial e CRM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Acompanhamento comercial próximo: o especialista revisa scripts, analisa as objeções reais do mês e ajusta o processo com o time. O comercial deixa de morar na cabeça do Leonardo.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Revisão dos scripts de venda e cliente oculto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Análise de objeções reais do mês e treinamento comercial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Réguas de conversão, follow-up, renovação e upsell na base</w:t>
      </w:r>
    </w:p>
    <w:p>
      <w:pPr>
        <w:pStyle w:val="ListBullet"/>
        <w:spacing w:before="20" w:after="60"/>
        <w:ind w:left="425"/>
      </w:pPr>
      <w:r>
        <w:rPr>
          <w:rFonts w:ascii="Calibri" w:hAnsi="Calibri" w:eastAsia="Calibri"/>
          <w:b w:val="0"/>
          <w:i w:val="0"/>
          <w:color w:val="4A4A4A"/>
          <w:sz w:val="22"/>
        </w:rPr>
        <w:t>CRM ativo: cadência, pipeline e próxima ação — não agenda</w:t>
      </w: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6. Recorte EQV × SEO Growth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721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Frente</w:t>
            </w:r>
          </w:p>
        </w:tc>
        <w:tc>
          <w:tcPr>
            <w:tcW w:type="dxa" w:w="6633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 que entrega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EQV · sessão 01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Mensagem, oferta, prova e linha editorial. O que dizer e para quem.</w:t>
            </w:r>
          </w:p>
        </w:tc>
      </w:tr>
      <w:tr>
        <w:trPr>
          <w:cantSplit/>
        </w:trPr>
        <w:tc>
          <w:tcPr>
            <w:tcW w:type="dxa" w:w="2721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SEO Growth</w:t>
            </w:r>
          </w:p>
        </w:tc>
        <w:tc>
          <w:tcPr>
            <w:tcW w:type="dxa" w:w="6633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Produção orgânica contínua: 4 posts/mês, técnica, intenção e links leves.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EQV · sessão 03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Scripts, follow-up, pipeline e CRM. Como fechar e governar.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12" w:space="0" w:color="A10F14"/>
              <w:left w:val="single" w:sz="12" w:space="0" w:color="A10F14"/>
              <w:bottom w:val="single" w:sz="12" w:space="0" w:color="A10F14"/>
              <w:right w:val="single" w:sz="12" w:space="0" w:color="A10F1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SEM SOBREPOSIÇÃO DE ENTREGA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O EQV define a tese comercial. O SEO Growth produz o ativo orgânico com essa tese. Um não substitui o outro: sem mensagem, o post não converte; sem produção, a mensagem não aparece na busca.</w:t>
            </w:r>
          </w:p>
        </w:tc>
      </w:tr>
    </w:tbl>
    <w:p>
      <w:pPr>
        <w:spacing w:after="120"/>
      </w:pP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7. Investimento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c>
          <w:tcPr>
            <w:tcW w:type="dxa" w:w="4819"/>
            <w:shd w:fill="280001" w:val="clear"/>
            <w:tcBorders>
              <w:top w:val="single" w:sz="4" w:space="0" w:color="280001"/>
              <w:left w:val="single" w:sz="4" w:space="0" w:color="280001"/>
              <w:bottom w:val="single" w:sz="4" w:space="0" w:color="280001"/>
              <w:right w:val="single" w:sz="4" w:space="0" w:color="28000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5B5B8"/>
                <w:sz w:val="16"/>
              </w:rPr>
              <w:t>VALOR DE REFERÊNCIA</w:t>
            </w:r>
          </w:p>
          <w:p>
            <w:r>
              <w:rPr>
                <w:rFonts w:ascii="Calibri" w:hAnsi="Calibri" w:eastAsia="Calibri"/>
                <w:b w:val="0"/>
                <w:i w:val="0"/>
                <w:strike/>
                <w:color w:val="C9A0A0"/>
                <w:sz w:val="32"/>
              </w:rPr>
              <w:t>6× R$ 9.433,33</w:t>
            </w:r>
          </w:p>
          <w:p>
            <w:r>
              <w:rPr>
                <w:rFonts w:ascii="Calibri" w:hAnsi="Calibri" w:eastAsia="Calibri"/>
                <w:b/>
                <w:i w:val="0"/>
                <w:color w:val="F5B5B8"/>
                <w:sz w:val="16"/>
              </w:rPr>
              <w:t>CONDIÇÃO COMERCIAL CID</w:t>
            </w:r>
          </w:p>
          <w:p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6× R$ 5.418,57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0D0"/>
                <w:sz w:val="20"/>
              </w:rPr>
              <w:t>EQV execução assistida + SEO Growth</w:t>
              <w:br/>
              <w:t>6 meses no cartão de crédito</w:t>
            </w:r>
          </w:p>
        </w:tc>
        <w:tc>
          <w:tcPr>
            <w:tcW w:type="dxa" w:w="4819"/>
            <w:shd w:fill="F8EFEF" w:val="clear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A10F14"/>
                <w:sz w:val="16"/>
              </w:rPr>
              <w:t>CONDIÇÕES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A1A1A"/>
                <w:sz w:val="28"/>
              </w:rPr>
              <w:t>6× R$ 5.418,57 no cartão de crédito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TCV do pacote: R$ 32.511,42.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 fossem separados: EQV R$ 35.000,00 + SEO Growth R$ 21.600,00 (6× R$ 3.600) = R$ 56.600,00.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Ciclo de 6 meses. A máquina fica no time. Não é aluguel de agência. Mídia paga não entra neste desenho.</w:t>
            </w:r>
          </w:p>
        </w:tc>
      </w:tr>
    </w:tbl>
    <w:p>
      <w:pPr>
        <w:spacing w:after="20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E50914"/>
          <w:sz w:val="26"/>
        </w:rPr>
        <w:t>7.1 Se fossem contratados separados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535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Frente</w:t>
            </w:r>
          </w:p>
        </w:tc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Execução assistida (EQV)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R$ 35.000,00</w:t>
            </w:r>
          </w:p>
        </w:tc>
      </w:tr>
      <w:tr>
        <w:trPr>
          <w:cantSplit/>
        </w:trPr>
        <w:tc>
          <w:tcPr>
            <w:tcW w:type="dxa" w:w="45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SEO Growth (6× R$ 3.600)</w:t>
            </w:r>
          </w:p>
        </w:tc>
        <w:tc>
          <w:tcPr>
            <w:tcW w:type="dxa" w:w="481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R$ 21.600,00</w:t>
            </w:r>
          </w:p>
        </w:tc>
      </w:tr>
      <w:tr>
        <w:trPr>
          <w:cantSplit/>
        </w:trPr>
        <w:tc>
          <w:tcPr>
            <w:tcW w:type="dxa" w:w="4535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Ambos juntos (soma)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6× R$ 9.433,33 no cartão  ·  TCV R$ 56.600,00</w:t>
            </w:r>
          </w:p>
        </w:tc>
      </w:tr>
      <w:tr>
        <w:trPr>
          <w:cantSplit/>
        </w:trPr>
        <w:tc>
          <w:tcPr>
            <w:tcW w:type="dxa" w:w="4535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Pacote · condição comercial</w:t>
            </w:r>
          </w:p>
        </w:tc>
        <w:tc>
          <w:tcPr>
            <w:tcW w:type="dxa" w:w="4819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6× R$ 5.418,57 no cartão  ·  TCV R$ 32.511,42</w:t>
            </w:r>
          </w:p>
        </w:tc>
      </w:tr>
    </w:tbl>
    <w:p>
      <w:pPr>
        <w:spacing w:after="160"/>
      </w:pP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8. Garantia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22"/>
        </w:rPr>
        <w:t>Se após 30 dias de serviço você não estiver satisfeito com a entrega, devolvemos o investimento efetuado. Risco zero para entrar. O método precisa fazer sentido na operação — não só no papel.</w:t>
      </w:r>
    </w:p>
    <w:p>
      <w:pPr>
        <w:spacing w:before="320" w:after="160"/>
        <w:pBdr>
          <w:bottom w:val="single" w:sz="12" w:space="4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9.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55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494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6860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Ação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CID (Leonardo)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Validar a condição comercial (6× R$ 5.418,57 no cartão) e formalizar o start.</w:t>
            </w:r>
          </w:p>
        </w:tc>
      </w:tr>
      <w:tr>
        <w:trPr>
          <w:cantSplit/>
        </w:trPr>
        <w:tc>
          <w:tcPr>
            <w:tcW w:type="dxa" w:w="2494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V4</w:t>
            </w:r>
          </w:p>
        </w:tc>
        <w:tc>
          <w:tcPr>
            <w:tcW w:type="dxa" w:w="6860"/>
            <w:shd w:fill="F7F5F4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Kickoff do mês 01: diagnóstico de maturidade GTM, prioridades do ciclo e alocação do squad.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V4 + CID</w:t>
            </w:r>
          </w:p>
        </w:tc>
        <w:tc>
          <w:tcPr>
            <w:tcW w:type="dxa" w:w="6860"/>
            <w:shd w:fill="FFFFFF" w:val="clear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Entrar na comunidade, na monitoria mensal e no calendário da Fábrica de Receita a partir da assinatura.</w:t>
            </w:r>
          </w:p>
        </w:tc>
      </w:tr>
    </w:tbl>
    <w:p>
      <w:pPr>
        <w:spacing w:after="160"/>
      </w:pPr>
    </w:p>
    <w:p>
      <w:pPr>
        <w:spacing w:before="240" w:after="160" w:line="276" w:lineRule="auto"/>
        <w:jc w:val="left"/>
      </w:pPr>
      <w:r>
        <w:rPr>
          <w:rFonts w:ascii="Calibri" w:hAnsi="Calibri" w:eastAsia="Calibri"/>
          <w:b w:val="0"/>
          <w:i/>
          <w:color w:val="4A4A4A"/>
          <w:sz w:val="18"/>
        </w:rPr>
        <w:t>Documento elaborado pela V4 Company para a CID — Clínica de Serviços Médicos. Valores e prazos conforme condição comercial do pacote. Confidencial.</w:t>
      </w:r>
    </w:p>
    <w:p>
      <w:pPr>
        <w:spacing w:before="160" w:after="160" w:line="276" w:lineRule="auto"/>
        <w:jc w:val="center"/>
      </w:pPr>
      <w:r>
        <w:rPr>
          <w:rFonts w:ascii="Calibri" w:hAnsi="Calibri" w:eastAsia="Calibri"/>
          <w:b/>
          <w:i w:val="0"/>
          <w:color w:val="A10F14"/>
          <w:sz w:val="18"/>
        </w:rPr>
        <w:t>CID — Clínica de Serviços Médicos × V4 Company  ·  Empresa que Vende + SEO Growth  ·  Confidencial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4A4A4A"/>
        <w:sz w:val="16"/>
      </w:rPr>
      <w:t xml:space="preserve">Empresa que Vende + SEO Growth  ·  Confidencial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A10F14"/>
        <w:sz w:val="16"/>
      </w:rPr>
      <w:t>CID — Clínica de Serviços Médicos  ×  V4 Company  ·  Proposta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