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rFonts w:ascii="Calibri" w:hAnsi="Calibri" w:eastAsia="Calibri"/>
          <w:b/>
          <w:i w:val="0"/>
          <w:color w:val="A10F14"/>
          <w:sz w:val="32"/>
        </w:rPr>
        <w:t>OBSERVAÇÃO AO CONTRATO — ENTREGÁVEIS ACORDADOS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/>
          <w:i w:val="0"/>
          <w:color w:val="1A1A1A"/>
          <w:sz w:val="22"/>
        </w:rPr>
        <w:t>Produto: Estruturação Comercial (Sales V4)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 w:val="0"/>
          <w:color w:val="1A1A1A"/>
          <w:sz w:val="22"/>
        </w:rPr>
        <w:t>Contratada: V4 Company / Colli&amp;Co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 w:val="0"/>
          <w:color w:val="1A1A1A"/>
          <w:sz w:val="22"/>
        </w:rPr>
        <w:t>Contratante: G6 Internet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 w:val="0"/>
          <w:color w:val="1A1A1A"/>
          <w:sz w:val="22"/>
        </w:rPr>
        <w:t>Referência comercial: proposta personalizada G6 · condição R$ 71.582,32 (referência R$ 89.635,85)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 w:val="0"/>
          <w:color w:val="1A1A1A"/>
          <w:sz w:val="22"/>
        </w:rPr>
        <w:t>Prazo de execução: 12 (doze) semanas | Carga estimada V4: 106,5 horas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/>
          <w:color w:val="1A1A1A"/>
          <w:sz w:val="20"/>
        </w:rPr>
        <w:t>A presente Observação integra o instrumento contratual e descreve, de forma consolidada, os entregáveis, o formato de execução e os critérios de sucesso combinados entre as Partes para o projeto de Estruturação Comercial da G6 Internet.</w:t>
      </w:r>
    </w:p>
    <w:p>
      <w:pPr>
        <w:spacing w:before="240" w:after="80"/>
      </w:pPr>
      <w:r>
        <w:rPr>
          <w:rFonts w:ascii="Calibri" w:hAnsi="Calibri" w:eastAsia="Calibri"/>
          <w:b/>
          <w:i w:val="0"/>
          <w:color w:val="A10F14"/>
          <w:sz w:val="24"/>
        </w:rPr>
        <w:t>1. Objeto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 w:val="0"/>
          <w:color w:val="1A1A1A"/>
          <w:sz w:val="22"/>
        </w:rPr>
        <w:t>Instalação, pela Contratada, da fundação comercial da Contratante — processo, CRM em uso, scripts, cadências, indicadores, rituais de gestão e rotinas de ativação/follow-up/retenção — com implementação assistida junto aos canais loja e PAP (dual-track), de modo que a operação passe a vender, ativar e reter com maior previsibilidade (“Receita Previsível”).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 w:val="0"/>
          <w:color w:val="1A1A1A"/>
          <w:sz w:val="22"/>
        </w:rPr>
        <w:t>Fica expresso que o objeto não se limita à entrega de documentos ou treinamentos pontuais: o compromisso é de capacidade instalada na operação, com adesão assistida do time.</w:t>
      </w:r>
    </w:p>
    <w:p>
      <w:pPr>
        <w:spacing w:before="240" w:after="80"/>
      </w:pPr>
      <w:r>
        <w:rPr>
          <w:rFonts w:ascii="Calibri" w:hAnsi="Calibri" w:eastAsia="Calibri"/>
          <w:b/>
          <w:i w:val="0"/>
          <w:color w:val="A10F14"/>
          <w:sz w:val="24"/>
        </w:rPr>
        <w:t>2. Formato de execução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Modalidade: projeto consultivo com implementação assistida.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Duração: 12 semanas.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Carga V4: 106,5 horas (análise, desenho, CRM, QA, instalação e gestão de projeto — não apenas calls).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Coexecução: V4 constrói e conduz a instalação; o time G6 opera no dia a dia.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Ritmo: encontros semanais com sponsor/gestor e checkpoints com o time comercial.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Presencial nas fases críticas: Fase 1 (Diagnóstico) e Fase 5 (Instalação/treino).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Saída: handover com rotina de gestão instalada e plano de continuidade de 60 dias.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Escopo de canais: dual-track loja × PAP (5 vendedores de loja + 2 PAP, conforme operação atual).</w:t>
      </w:r>
    </w:p>
    <w:p>
      <w:pPr>
        <w:spacing w:before="240" w:after="80"/>
      </w:pPr>
      <w:r>
        <w:rPr>
          <w:rFonts w:ascii="Calibri" w:hAnsi="Calibri" w:eastAsia="Calibri"/>
          <w:b/>
          <w:i w:val="0"/>
          <w:color w:val="A10F14"/>
          <w:sz w:val="24"/>
        </w:rPr>
        <w:t>3. Escopo consolidado (o que fica instalado)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/>
          <w:i w:val="0"/>
          <w:color w:val="1A1A1A"/>
          <w:sz w:val="22"/>
        </w:rPr>
        <w:t>3.1. Fundação operacional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Arquitetura comercial loja × PAP, com critérios de etapa e papéis claros.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Scripts, cadências e jornada comercial por canal.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Rituais de gestão (diária / semanal / pipeline review).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Onboarding operacional de vendedores (pacote para novas contratações).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/>
          <w:i w:val="0"/>
          <w:color w:val="1A1A1A"/>
          <w:sz w:val="22"/>
        </w:rPr>
        <w:t>3.2. Controle e adesão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CRM reorganizado como painel de receita (não mera agenda).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Higiene de pipeline, motivos de perda, atividades/próximas ações obrigatórias e dashboard de uso/conversão.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Treinamento com instalação assistida e roleplay (loja e PAP).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Rotinas de ativação, follow-up e save/retenção incorporadas ao processo.</w:t>
      </w:r>
    </w:p>
    <w:p>
      <w:pPr>
        <w:spacing w:before="240" w:after="80"/>
      </w:pPr>
      <w:r>
        <w:rPr>
          <w:rFonts w:ascii="Calibri" w:hAnsi="Calibri" w:eastAsia="Calibri"/>
          <w:b/>
          <w:i w:val="0"/>
          <w:color w:val="A10F14"/>
          <w:sz w:val="24"/>
        </w:rPr>
        <w:t>4. Fases, horas e entregáveis por fase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 w:val="0"/>
          <w:color w:val="1A1A1A"/>
          <w:sz w:val="22"/>
        </w:rPr>
        <w:t>As horas abaixo são a composição acordada do projeto (total 106,5h, incluindo 6h de gestão de projeto, QA e alinhamentos internos).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/>
          <w:i w:val="0"/>
          <w:color w:val="1A1A1A"/>
          <w:sz w:val="22"/>
        </w:rPr>
        <w:t>FASE 1 — Diagnóstico operacional (18h) · presencial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Diagnóstico comercial detalhado da operação G6.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Entrevistas com sponsor, gestor, top e bottom performer.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Auditoria do CRM/RD atual.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Mapa de gargalos por etapa e priorização das dores que impedem venda previsível.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Imersão presencial com time fechado (loja + PAP).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/>
          <w:i w:val="0"/>
          <w:color w:val="1A1A1A"/>
          <w:sz w:val="22"/>
        </w:rPr>
        <w:t>FASE 2 — Arquitetura operacional comercial (15h)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ICP/segmentos e jornada comercial alvo.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Pipeline com critérios de etapa e definição de papéis.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SLA marketing ↔ comercial ↔ gestor.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Metas de atividade e indicadores.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Scripts, cadências, BPMN e matriz CHA.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Desenho dual-track loja × PAP.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/>
          <w:i w:val="0"/>
          <w:color w:val="1A1A1A"/>
          <w:sz w:val="22"/>
        </w:rPr>
        <w:t>FASE 3 — CRM e controle (15,5h) · em paralelo à Fase 2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Reorganização do pipeline no CRM.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Campos obrigatórios e motivos de perda.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Atividades obrigatórias e próximas ações.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Dashboard de gestão e conversão.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Regras de higiene e rotina de registro.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Campos mínimos acordados para G6: origem, tempo de resposta, status, dor, capacidade, produto, próxima ação e motivo de perda.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/>
          <w:i w:val="0"/>
          <w:color w:val="1A1A1A"/>
          <w:sz w:val="22"/>
        </w:rPr>
        <w:t>FASE 4 — Camada estratégica (20h)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Playbook comercial orientado ao uso.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Política de comissionamento (loja ≠ PAP).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Breakeven da operação comercial (amarrando CAC, payback e retenção).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Diretriz de meta como piso de performance (não como acomodação).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/>
          <w:i w:val="0"/>
          <w:color w:val="1A1A1A"/>
          <w:sz w:val="22"/>
        </w:rPr>
        <w:t>FASE 5 — Instalação da rotina (22h) · presencial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Onboarding operacional de vendedores.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Imersão do time e treinamento do gestor.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Roleplay de loja e PAP.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Pipeline review e reunião semanal assistidas.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Checklist semanal e correção de desvios de adesão.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Transferência da rotina para a liderança comercial (incluindo o gestor em onboarding).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/>
          <w:i w:val="0"/>
          <w:color w:val="1A1A1A"/>
          <w:sz w:val="22"/>
        </w:rPr>
        <w:t>FASE 6 — Handover e continuidade (10h)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Reunião final de transferência.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Score de maturidade antes/depois.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Plano de continuidade de 60 dias.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Rotinas de retenção e expansão (save/upsell) no processo.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Mapa de riscos de regressão e recomendações de evolução.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/>
          <w:i w:val="0"/>
          <w:color w:val="1A1A1A"/>
          <w:sz w:val="22"/>
        </w:rPr>
        <w:t>Gestão de projeto / QA / alinhamentos internos: 6h (compõem o total de 106,5h).</w:t>
      </w:r>
    </w:p>
    <w:p>
      <w:pPr>
        <w:spacing w:before="240" w:after="80"/>
      </w:pPr>
      <w:r>
        <w:rPr>
          <w:rFonts w:ascii="Calibri" w:hAnsi="Calibri" w:eastAsia="Calibri"/>
          <w:b/>
          <w:i w:val="0"/>
          <w:color w:val="A10F14"/>
          <w:sz w:val="24"/>
        </w:rPr>
        <w:t>5. Critérios de sucesso (Receita Previsível)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 w:val="0"/>
          <w:color w:val="1A1A1A"/>
          <w:sz w:val="22"/>
        </w:rPr>
        <w:t>Para fins de acompanhamento do resultado esperado do projeto, as Partes consideram como referência de sucesso a operação evidenciar, ao final da implantação assistida, os seguintes comportamentos/artefatos: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Pipeline configurado e efetivamente usado pelo time.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Reunião comercial semanal acontecendo de forma recorrente.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Follow-up sendo executado conforme cadência definida.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Gestor utilizando indicadores (não apenas feeling) na condução.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Time operando com scripts e critérios de etapa.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Onboarding de vendedores documentado e aplicável.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Rotinas de retenção em operação (save/pós-venda no processo).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Sponsor com visibilidade de pipeline, perdas e próximos passos (previsibilidade).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/>
          <w:color w:val="1A1A1A"/>
          <w:sz w:val="20"/>
        </w:rPr>
        <w:t>Os critérios acima orientam a qualidade da instalação e o acompanhamento conjunto; não constituem garantia de resultado financeiro específico (receita, churn ou ROI), os quais dependem também da execução contínua da Contratante após o handover.</w:t>
      </w:r>
    </w:p>
    <w:p>
      <w:pPr>
        <w:spacing w:before="240" w:after="80"/>
      </w:pPr>
      <w:r>
        <w:rPr>
          <w:rFonts w:ascii="Calibri" w:hAnsi="Calibri" w:eastAsia="Calibri"/>
          <w:b/>
          <w:i w:val="0"/>
          <w:color w:val="A10F14"/>
          <w:sz w:val="24"/>
        </w:rPr>
        <w:t>6. Obrigações de cooperação da Contratante (G6)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Disponibilizar sponsor, gestor e time comercial (loja e PAP) nas agendas combinadas, inclusive presenciais de F1 e F5.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Conceder acesso ao CRM/RD e informações operacionais necessárias ao diagnóstico e à configuração.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Designar interlocutor(es) para validação de artefatos e decisões de processo/incentivo.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Assegurar que a liderança comercial conduza os rituais após a instalação (coexecução).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Não alterar unilateralmente o escopo sem aditivo; pedidos fora do rol desta Observação serão tratados como mudança de escopo.</w:t>
      </w:r>
    </w:p>
    <w:p>
      <w:pPr>
        <w:spacing w:before="240" w:after="80"/>
      </w:pPr>
      <w:r>
        <w:rPr>
          <w:rFonts w:ascii="Calibri" w:hAnsi="Calibri" w:eastAsia="Calibri"/>
          <w:b/>
          <w:i w:val="0"/>
          <w:color w:val="A10F14"/>
          <w:sz w:val="24"/>
        </w:rPr>
        <w:t>7. Fora de escopo (salvo aditivo)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Substituição/aquisição de ferramenta de CRM diversa da utilizada na operação, ou migração completa de base histórica além do necessário à reorganização acordada.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Gestão operacional diária do time comercial pela V4 após o handover (a V4 não substitui a liderança da G6).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Mídia paga, produção criativa ou operação contínua de marketing (objeto de outros instrumentos, se houver).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Garantia de metas comerciais, taxa de churn ou ROI financeiro específico.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Ampliação para canais/unidades não contemplados no dual-track loja × PAP sem novo escopo.</w:t>
      </w:r>
    </w:p>
    <w:p>
      <w:pPr>
        <w:spacing w:before="240" w:after="80"/>
      </w:pPr>
      <w:r>
        <w:rPr>
          <w:rFonts w:ascii="Calibri" w:hAnsi="Calibri" w:eastAsia="Calibri"/>
          <w:b/>
          <w:i w:val="0"/>
          <w:color w:val="A10F14"/>
          <w:sz w:val="24"/>
        </w:rPr>
        <w:t>8. Investimento e condição comercial (referência)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Valor de referência do produto: R$ 89.635,85.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Condição comercial G6 acordada na proposta: R$ 71.582,32.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Condições de pagamento, reajuste, multa e vigência: conforme cláusulas do Contrato principal / proposta comercial assinada.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/>
          <w:color w:val="1A1A1A"/>
          <w:sz w:val="20"/>
        </w:rPr>
        <w:t>Em caso de divergência entre materiais de apresentação (deck/PDF) e o Contrato, prevalece o Contrato, integrado por esta Observação quanto à lista de entregáveis.</w:t>
      </w:r>
    </w:p>
    <w:p>
      <w:pPr>
        <w:spacing w:before="240" w:after="80"/>
      </w:pPr>
      <w:r>
        <w:rPr>
          <w:rFonts w:ascii="Calibri" w:hAnsi="Calibri" w:eastAsia="Calibri"/>
          <w:b/>
          <w:i w:val="0"/>
          <w:color w:val="A10F14"/>
          <w:sz w:val="24"/>
        </w:rPr>
        <w:t>9. Documentos de referência da proposta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Deck HTML: https://sarapizzico-hue.github.io/Sara/g6/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PDF da proposta: G6-Internet_Estruturacao-Comercial_V4.pdf</w:t>
      </w:r>
    </w:p>
    <w:p>
      <w:pPr>
        <w:spacing w:after="40" w:line="264" w:lineRule="auto"/>
        <w:ind w:left="227"/>
      </w:pPr>
      <w:r>
        <w:rPr>
          <w:rFonts w:ascii="Calibri" w:hAnsi="Calibri" w:eastAsia="Calibri"/>
          <w:b w:val="0"/>
          <w:i w:val="0"/>
          <w:color w:val="1A1A1A"/>
          <w:sz w:val="22"/>
        </w:rPr>
        <w:t>•  Estrutura enxuta da entrega: ESTRUTURA-ENTREGA-G6.docx / .md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/>
          <w:color w:val="1A1A1A"/>
          <w:sz w:val="20"/>
        </w:rPr>
        <w:t>Tais materiais servem de apoio comercial e alinhamento; a lista vinculante de entregáveis para execução é a constante nesta Observação.</w:t>
      </w:r>
    </w:p>
    <w:p>
      <w:pPr>
        <w:spacing w:before="240" w:after="80"/>
      </w:pPr>
      <w:r>
        <w:rPr>
          <w:rFonts w:ascii="Calibri" w:hAnsi="Calibri" w:eastAsia="Calibri"/>
          <w:b/>
          <w:i w:val="0"/>
          <w:color w:val="A10F14"/>
          <w:sz w:val="24"/>
        </w:rPr>
        <w:t>10. Encerramento desta Observação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 w:val="0"/>
          <w:color w:val="1A1A1A"/>
          <w:sz w:val="22"/>
        </w:rPr>
        <w:t>As Partes reconhecem que os entregáveis acima correspondem ao combinado para a Estruturação Comercial G6 e autorizam a inclusão deste texto como anexo/observação ao Contrato correspondente.</w:t>
      </w:r>
    </w:p>
    <w:p>
      <w:pPr>
        <w:spacing w:before="360"/>
      </w:pPr>
      <w:r>
        <w:rPr>
          <w:rFonts w:ascii="Calibri" w:hAnsi="Calibri" w:eastAsia="Calibri"/>
          <w:b w:val="0"/>
          <w:i w:val="0"/>
          <w:color w:val="1A1A1A"/>
          <w:sz w:val="22"/>
        </w:rPr>
        <w:t>Local / Data: _______________________ , ____ / ____ / ________</w:t>
      </w:r>
    </w:p>
    <w:p/>
    <w:p>
      <w:pPr>
        <w:spacing w:after="80" w:line="276" w:lineRule="auto"/>
        <w:ind w:firstLine="0"/>
      </w:pPr>
      <w:r>
        <w:rPr>
          <w:rFonts w:ascii="Calibri" w:hAnsi="Calibri" w:eastAsia="Calibri"/>
          <w:b/>
          <w:i w:val="0"/>
          <w:color w:val="1A1A1A"/>
          <w:sz w:val="22"/>
        </w:rPr>
        <w:t>Contratante — G6 Internet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 w:val="0"/>
          <w:color w:val="1A1A1A"/>
          <w:sz w:val="22"/>
        </w:rPr>
        <w:t>Nome: _______________________________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 w:val="0"/>
          <w:color w:val="1A1A1A"/>
          <w:sz w:val="22"/>
        </w:rPr>
        <w:t>Cargo: ______________________________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 w:val="0"/>
          <w:color w:val="1A1A1A"/>
          <w:sz w:val="22"/>
        </w:rPr>
        <w:t>Assinatura: __________________________</w:t>
      </w:r>
    </w:p>
    <w:p/>
    <w:p>
      <w:pPr>
        <w:spacing w:after="80" w:line="276" w:lineRule="auto"/>
        <w:ind w:firstLine="0"/>
      </w:pPr>
      <w:r>
        <w:rPr>
          <w:rFonts w:ascii="Calibri" w:hAnsi="Calibri" w:eastAsia="Calibri"/>
          <w:b/>
          <w:i w:val="0"/>
          <w:color w:val="1A1A1A"/>
          <w:sz w:val="22"/>
        </w:rPr>
        <w:t>Contratada — V4 Company / Colli&amp;Co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 w:val="0"/>
          <w:color w:val="1A1A1A"/>
          <w:sz w:val="22"/>
        </w:rPr>
        <w:t>Nome: _______________________________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 w:val="0"/>
          <w:color w:val="1A1A1A"/>
          <w:sz w:val="22"/>
        </w:rPr>
        <w:t>Cargo: ______________________________</w:t>
      </w:r>
    </w:p>
    <w:p>
      <w:pPr>
        <w:spacing w:after="80" w:line="276" w:lineRule="auto"/>
        <w:ind w:firstLine="0"/>
      </w:pPr>
      <w:r>
        <w:rPr>
          <w:rFonts w:ascii="Calibri" w:hAnsi="Calibri" w:eastAsia="Calibri"/>
          <w:b w:val="0"/>
          <w:i w:val="0"/>
          <w:color w:val="1A1A1A"/>
          <w:sz w:val="22"/>
        </w:rPr>
        <w:t>Assinatura: __________________________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