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A10F14"/>
          <w:sz w:val="36"/>
        </w:rPr>
        <w:t>G6 Internet × V4 Company</w:t>
      </w:r>
    </w:p>
    <w:p>
      <w:r>
        <w:rPr>
          <w:rFonts w:ascii="Calibri" w:hAnsi="Calibri" w:eastAsia="Calibri"/>
          <w:b/>
          <w:color w:val="111111"/>
          <w:sz w:val="24"/>
        </w:rPr>
        <w:t>Narrativa de pitch · Profissionais conectados ao ciclo</w:t>
      </w:r>
    </w:p>
    <w:p>
      <w:r>
        <w:rPr>
          <w:rFonts w:ascii="Calibri" w:hAnsi="Calibri" w:eastAsia="Calibri"/>
          <w:b w:val="0"/>
          <w:color w:val="5C5C5C"/>
          <w:sz w:val="20"/>
        </w:rPr>
        <w:t>Uso oral / colar no Word · Growth + CRM · 12 meses · tom leve (Rodrigo)</w:t>
      </w:r>
    </w:p>
    <w:p>
      <w:pPr>
        <w:spacing w:before="280" w:after="80"/>
      </w:pPr>
      <w:r>
        <w:rPr>
          <w:rFonts w:ascii="Calibri" w:hAnsi="Calibri" w:eastAsia="Calibri"/>
          <w:b/>
          <w:color w:val="111111"/>
          <w:sz w:val="24"/>
        </w:rPr>
        <w:t>Como usar</w:t>
      </w:r>
    </w:p>
    <w:p>
      <w:pPr>
        <w:spacing w:after="160" w:line="324" w:lineRule="auto"/>
      </w:pPr>
      <w:r>
        <w:rPr>
          <w:rFonts w:ascii="Calibri" w:hAnsi="Calibri" w:eastAsia="Calibri"/>
          <w:b w:val="0"/>
          <w:color w:val="222222"/>
          <w:sz w:val="22"/>
        </w:rPr>
        <w:t>Fale devagar. Pare para perguntar. Cada profissional entra conectado a uma dor do mapa — não como lista de cargo. Quando terminar o bloco do time, pergunte o que mais gostaram antes de ir para o preço.</w:t>
      </w:r>
    </w:p>
    <w:p>
      <w:pPr>
        <w:spacing w:before="280" w:after="80"/>
      </w:pPr>
      <w:r>
        <w:rPr>
          <w:rFonts w:ascii="Calibri" w:hAnsi="Calibri" w:eastAsia="Calibri"/>
          <w:b/>
          <w:color w:val="111111"/>
          <w:sz w:val="24"/>
        </w:rPr>
        <w:t>1. Ponte (depois do mapa / Fibranet)</w:t>
      </w:r>
    </w:p>
    <w:p>
      <w:pPr>
        <w:spacing w:after="200" w:line="336" w:lineRule="auto"/>
        <w:ind w:left="216"/>
      </w:pPr>
      <w:r>
        <w:rPr>
          <w:rFonts w:ascii="Calibri" w:hAnsi="Calibri" w:eastAsia="Calibri"/>
          <w:b w:val="0"/>
          <w:i/>
          <w:color w:val="222222"/>
          <w:sz w:val="22"/>
        </w:rPr>
        <w:t>“Beleza. A gente já viu o mapa: intenção, prova, jornada e LTV. Agora eu quero te mostrar quem fecha cada parte desse ciclo — não como organograma, mas como responsabilidade clara no dia a dia.”</w:t>
      </w:r>
    </w:p>
    <w:p>
      <w:pPr>
        <w:spacing w:before="280" w:after="80"/>
      </w:pPr>
      <w:r>
        <w:rPr>
          <w:rFonts w:ascii="Calibri" w:hAnsi="Calibri" w:eastAsia="Calibri"/>
          <w:b/>
          <w:color w:val="111111"/>
          <w:sz w:val="24"/>
        </w:rPr>
        <w:t>2. Narrativa dos profissionais</w:t>
      </w:r>
    </w:p>
    <w:p>
      <w:pPr>
        <w:spacing w:after="200" w:line="336" w:lineRule="auto"/>
        <w:ind w:left="216"/>
      </w:pPr>
      <w:r>
        <w:rPr>
          <w:rFonts w:ascii="Calibri" w:hAnsi="Calibri" w:eastAsia="Calibri"/>
          <w:b w:val="0"/>
          <w:i/>
          <w:color w:val="222222"/>
          <w:sz w:val="22"/>
        </w:rPr>
        <w:t>“O plano da G6 é um só: Assessoria de Growth e Profissional de CRM, juntos, por 12 meses. Cada pessoa entra para uma peça do ciclo que a gente acabou de olhar.”</w:t>
      </w:r>
    </w:p>
    <w:p>
      <w:pPr>
        <w:spacing w:after="160" w:line="324" w:lineRule="auto"/>
      </w:pPr>
      <w:r>
        <w:rPr>
          <w:rFonts w:ascii="Calibri" w:hAnsi="Calibri" w:eastAsia="Calibri"/>
          <w:b w:val="0"/>
          <w:color w:val="222222"/>
          <w:sz w:val="22"/>
        </w:rPr>
        <w:t>Account — orquestra o ciclo</w:t>
      </w:r>
    </w:p>
    <w:p>
      <w:pPr>
        <w:spacing w:after="200" w:line="336" w:lineRule="auto"/>
        <w:ind w:left="216"/>
      </w:pPr>
      <w:r>
        <w:rPr>
          <w:rFonts w:ascii="Calibri" w:hAnsi="Calibri" w:eastAsia="Calibri"/>
          <w:b w:val="0"/>
          <w:i/>
          <w:color w:val="222222"/>
          <w:sz w:val="22"/>
        </w:rPr>
        <w:t>“O Account é quem segura o fio. Traduz a estratégia em prioridade da semana, conecta o que a mídia está vendo com o que o CRM está devolvendo, e te mantém perto do que importa — sem você precisar caçar informação. É a linha de frente com vocês: clareza, ritmo e decisão.”</w:t>
      </w:r>
    </w:p>
    <w:p>
      <w:pPr>
        <w:pStyle w:val="ListBullet"/>
        <w:spacing w:after="80" w:line="312" w:lineRule="auto"/>
      </w:pPr>
      <w:r>
        <w:rPr>
          <w:rFonts w:ascii="Calibri" w:hAnsi="Calibri" w:eastAsia="Calibri"/>
          <w:b/>
          <w:color w:val="111111"/>
          <w:sz w:val="22"/>
        </w:rPr>
        <w:t>visão do ciclo inteiro · ritual · priorização</w:t>
      </w:r>
      <w:r>
        <w:rPr>
          <w:rFonts w:ascii="Calibri" w:hAnsi="Calibri" w:eastAsia="Calibri"/>
          <w:b w:val="0"/>
          <w:color w:val="222222"/>
          <w:sz w:val="22"/>
        </w:rPr>
        <w:t xml:space="preserve">Conecta com: </w:t>
      </w:r>
    </w:p>
    <w:p>
      <w:pPr>
        <w:spacing w:after="160" w:line="324" w:lineRule="auto"/>
      </w:pPr>
      <w:r>
        <w:rPr>
          <w:rFonts w:ascii="Calibri" w:hAnsi="Calibri" w:eastAsia="Calibri"/>
          <w:b w:val="0"/>
          <w:color w:val="222222"/>
          <w:sz w:val="22"/>
        </w:rPr>
        <w:t>Gestor de Tráfego — intenção com prova</w:t>
      </w:r>
    </w:p>
    <w:p>
      <w:pPr>
        <w:spacing w:after="200" w:line="336" w:lineRule="auto"/>
        <w:ind w:left="216"/>
      </w:pPr>
      <w:r>
        <w:rPr>
          <w:rFonts w:ascii="Calibri" w:hAnsi="Calibri" w:eastAsia="Calibri"/>
          <w:b w:val="0"/>
          <w:i/>
          <w:color w:val="222222"/>
          <w:sz w:val="22"/>
        </w:rPr>
        <w:t>“O Gestor de Tráfego cuida da intenção: palavras-chave, campanhas, criativos em teste, hipóteses. Mas não é ‘gastar para ver’. É ler o que vira assinante de verdade. Quando o trackeamento e o CRM devolvem resultado, a mídia para de operar no escuro e vocês ganham condição de escalar com critério — ou segurar com segurança.”</w:t>
      </w:r>
    </w:p>
    <w:p>
      <w:pPr>
        <w:pStyle w:val="ListBullet"/>
        <w:spacing w:after="80" w:line="312" w:lineRule="auto"/>
      </w:pPr>
      <w:r>
        <w:rPr>
          <w:rFonts w:ascii="Calibri" w:hAnsi="Calibri" w:eastAsia="Calibri"/>
          <w:b/>
          <w:color w:val="111111"/>
          <w:sz w:val="22"/>
        </w:rPr>
        <w:t>intenção · investimento em mídia · trackeamento / prova</w:t>
      </w:r>
      <w:r>
        <w:rPr>
          <w:rFonts w:ascii="Calibri" w:hAnsi="Calibri" w:eastAsia="Calibri"/>
          <w:b w:val="0"/>
          <w:color w:val="222222"/>
          <w:sz w:val="22"/>
        </w:rPr>
        <w:t xml:space="preserve">Conecta com: </w:t>
      </w:r>
    </w:p>
    <w:p>
      <w:pPr>
        <w:spacing w:after="160" w:line="324" w:lineRule="auto"/>
      </w:pPr>
      <w:r>
        <w:rPr>
          <w:rFonts w:ascii="Calibri" w:hAnsi="Calibri" w:eastAsia="Calibri"/>
          <w:b w:val="0"/>
          <w:color w:val="222222"/>
          <w:sz w:val="22"/>
        </w:rPr>
        <w:t>Copy — mensagem que atrai o assinante certo</w:t>
      </w:r>
    </w:p>
    <w:p>
      <w:pPr>
        <w:spacing w:after="200" w:line="336" w:lineRule="auto"/>
        <w:ind w:left="216"/>
      </w:pPr>
      <w:r>
        <w:rPr>
          <w:rFonts w:ascii="Calibri" w:hAnsi="Calibri" w:eastAsia="Calibri"/>
          <w:b w:val="0"/>
          <w:i/>
          <w:color w:val="222222"/>
          <w:sz w:val="22"/>
        </w:rPr>
        <w:t>“Copy não é texto bonito. É a narrativa que faz a pessoa certa se reconhecer. No digital da G6, a mensagem precisa falar com quem tem intenção de assinar — não só com quem clica. O copy trabalha junto com o tráfego para a demanda chegar mais qualificada e com a história certa da marca.”</w:t>
      </w:r>
    </w:p>
    <w:p>
      <w:pPr>
        <w:pStyle w:val="ListBullet"/>
        <w:spacing w:after="80" w:line="312" w:lineRule="auto"/>
      </w:pPr>
      <w:r>
        <w:rPr>
          <w:rFonts w:ascii="Calibri" w:hAnsi="Calibri" w:eastAsia="Calibri"/>
          <w:b/>
          <w:color w:val="111111"/>
          <w:sz w:val="22"/>
        </w:rPr>
        <w:t>intenção · mensagem · qualidade da demanda</w:t>
      </w:r>
      <w:r>
        <w:rPr>
          <w:rFonts w:ascii="Calibri" w:hAnsi="Calibri" w:eastAsia="Calibri"/>
          <w:b w:val="0"/>
          <w:color w:val="222222"/>
          <w:sz w:val="22"/>
        </w:rPr>
        <w:t xml:space="preserve">Conecta com: </w:t>
      </w:r>
    </w:p>
    <w:p>
      <w:pPr>
        <w:spacing w:after="160" w:line="324" w:lineRule="auto"/>
      </w:pPr>
      <w:r>
        <w:rPr>
          <w:rFonts w:ascii="Calibri" w:hAnsi="Calibri" w:eastAsia="Calibri"/>
          <w:b w:val="0"/>
          <w:color w:val="222222"/>
          <w:sz w:val="22"/>
        </w:rPr>
        <w:t>Designer — ativo que sustenta a conversão</w:t>
      </w:r>
    </w:p>
    <w:p>
      <w:pPr>
        <w:spacing w:after="200" w:line="336" w:lineRule="auto"/>
        <w:ind w:left="216"/>
      </w:pPr>
      <w:r>
        <w:rPr>
          <w:rFonts w:ascii="Calibri" w:hAnsi="Calibri" w:eastAsia="Calibri"/>
          <w:b w:val="0"/>
          <w:i/>
          <w:color w:val="222222"/>
          <w:sz w:val="22"/>
        </w:rPr>
        <w:t>“O Designer transforma essa narrativa em peça: criativo, visual, material que a campanha precisa para performar. Sem isso, o tráfego fica sem combustível novo e o teste trava. Com isso rodando, a gente consegue iterar rápido — o que funciona escala, o que não funciona ajusta.”</w:t>
      </w:r>
    </w:p>
    <w:p>
      <w:pPr>
        <w:pStyle w:val="ListBullet"/>
        <w:spacing w:after="80" w:line="312" w:lineRule="auto"/>
      </w:pPr>
      <w:r>
        <w:rPr>
          <w:rFonts w:ascii="Calibri" w:hAnsi="Calibri" w:eastAsia="Calibri"/>
          <w:b/>
          <w:color w:val="111111"/>
          <w:sz w:val="22"/>
        </w:rPr>
        <w:t>criativo · teste · ritmo de performance</w:t>
      </w:r>
      <w:r>
        <w:rPr>
          <w:rFonts w:ascii="Calibri" w:hAnsi="Calibri" w:eastAsia="Calibri"/>
          <w:b w:val="0"/>
          <w:color w:val="222222"/>
          <w:sz w:val="22"/>
        </w:rPr>
        <w:t xml:space="preserve">Conecta com: </w:t>
      </w:r>
    </w:p>
    <w:p>
      <w:pPr>
        <w:spacing w:after="160" w:line="324" w:lineRule="auto"/>
      </w:pPr>
      <w:r>
        <w:rPr>
          <w:rFonts w:ascii="Calibri" w:hAnsi="Calibri" w:eastAsia="Calibri"/>
          <w:b w:val="0"/>
          <w:color w:val="222222"/>
          <w:sz w:val="22"/>
        </w:rPr>
        <w:t>Profissional de CRM — jornada e LTV</w:t>
      </w:r>
    </w:p>
    <w:p>
      <w:pPr>
        <w:spacing w:after="200" w:line="336" w:lineRule="auto"/>
        <w:ind w:left="216"/>
      </w:pPr>
      <w:r>
        <w:rPr>
          <w:rFonts w:ascii="Calibri" w:hAnsi="Calibri" w:eastAsia="Calibri"/>
          <w:b w:val="0"/>
          <w:i/>
          <w:color w:val="222222"/>
          <w:sz w:val="22"/>
        </w:rPr>
        <w:t>“E o Profissional de CRM fecha o que a mídia sozinha não fecha: a jornada. Do primeiro contato à ativação, com origem, etapas e handoff. E depois — na base — ativação, retenção, prevenção de churn. Porque com ticket mensal, o projeto se paga no tempo. Sem dono no CRM, vocês pagam para adquirir e perdem cedo. Com dono, a mídia recebe feedback e a base deixa de ser ponto cego.”</w:t>
      </w:r>
    </w:p>
    <w:p>
      <w:pPr>
        <w:pStyle w:val="ListBullet"/>
        <w:spacing w:after="80" w:line="312" w:lineRule="auto"/>
      </w:pPr>
      <w:r>
        <w:rPr>
          <w:rFonts w:ascii="Calibri" w:hAnsi="Calibri" w:eastAsia="Calibri"/>
          <w:b/>
          <w:color w:val="111111"/>
          <w:sz w:val="22"/>
        </w:rPr>
        <w:t>CRM · jornada · retenção · LTV · devolução para a mídia</w:t>
      </w:r>
      <w:r>
        <w:rPr>
          <w:rFonts w:ascii="Calibri" w:hAnsi="Calibri" w:eastAsia="Calibri"/>
          <w:b w:val="0"/>
          <w:color w:val="222222"/>
          <w:sz w:val="22"/>
        </w:rPr>
        <w:t xml:space="preserve">Conecta com: </w:t>
      </w:r>
    </w:p>
    <w:p>
      <w:pPr>
        <w:spacing w:before="280" w:after="80"/>
      </w:pPr>
      <w:r>
        <w:rPr>
          <w:rFonts w:ascii="Calibri" w:hAnsi="Calibri" w:eastAsia="Calibri"/>
          <w:b/>
          <w:color w:val="111111"/>
          <w:sz w:val="24"/>
        </w:rPr>
        <w:t>3. Fecho do bloco (amarrar o sistema)</w:t>
      </w:r>
    </w:p>
    <w:p>
      <w:pPr>
        <w:spacing w:after="200" w:line="336" w:lineRule="auto"/>
        <w:ind w:left="216"/>
      </w:pPr>
      <w:r>
        <w:rPr>
          <w:rFonts w:ascii="Calibri" w:hAnsi="Calibri" w:eastAsia="Calibri"/>
          <w:b w:val="0"/>
          <w:i/>
          <w:color w:val="222222"/>
          <w:sz w:val="22"/>
        </w:rPr>
        <w:t>“Então fica assim, simples: tráfego e mensagem trazem intenção com método; Account orquestra; CRM conduz a pessoa e a base. Growth lê a demanda. CRM faz a demanda e o LTV andarem no mesmo sistema. Os dois, 12 meses, no mesmo plano — porque o ciclo só fecha completo.”</w:t>
      </w:r>
    </w:p>
    <w:p>
      <w:pPr>
        <w:spacing w:before="280" w:after="80"/>
      </w:pPr>
      <w:r>
        <w:rPr>
          <w:rFonts w:ascii="Calibri" w:hAnsi="Calibri" w:eastAsia="Calibri"/>
          <w:b/>
          <w:color w:val="111111"/>
          <w:sz w:val="24"/>
        </w:rPr>
        <w:t>4. Pergunta (Rodrigo — aberta, antes do preço)</w:t>
      </w:r>
    </w:p>
    <w:p>
      <w:pPr>
        <w:spacing w:after="200" w:line="336" w:lineRule="auto"/>
        <w:ind w:left="216"/>
      </w:pPr>
      <w:r>
        <w:rPr>
          <w:rFonts w:ascii="Calibri" w:hAnsi="Calibri" w:eastAsia="Calibri"/>
          <w:b w:val="0"/>
          <w:i/>
          <w:color w:val="222222"/>
          <w:sz w:val="22"/>
        </w:rPr>
        <w:t>“Olhando esses profissionais e essa conexão com o mapa de vocês: o que mais faz sentido? Tem alguma peça que vocês querem que eu detalhe antes da gente falar da condição?”</w:t>
      </w:r>
    </w:p>
    <w:p>
      <w:pPr>
        <w:spacing w:before="280" w:after="80"/>
      </w:pPr>
      <w:r>
        <w:rPr>
          <w:rFonts w:ascii="Calibri" w:hAnsi="Calibri" w:eastAsia="Calibri"/>
          <w:b/>
          <w:color w:val="111111"/>
          <w:sz w:val="24"/>
        </w:rPr>
        <w:t>5. Versão curta (se a sala estiver correndo)</w:t>
      </w:r>
    </w:p>
    <w:p>
      <w:pPr>
        <w:spacing w:after="200" w:line="336" w:lineRule="auto"/>
        <w:ind w:left="216"/>
      </w:pPr>
      <w:r>
        <w:rPr>
          <w:rFonts w:ascii="Calibri" w:hAnsi="Calibri" w:eastAsia="Calibri"/>
          <w:b w:val="0"/>
          <w:i/>
          <w:color w:val="222222"/>
          <w:sz w:val="22"/>
        </w:rPr>
        <w:t>“No Growth: Account orquestra, GT otimiza mídia com prova, Copy e Design sustentam a narrativa. No CRM: alguém dono da jornada e da base. Juntos, 12 meses, para fechar intenção → prova → assinatura → LTV. O que vocês mais gostaram desse desenho?”</w:t>
      </w:r>
    </w:p>
    <w:p>
      <w:pPr>
        <w:spacing w:before="280" w:after="80"/>
      </w:pPr>
      <w:r>
        <w:rPr>
          <w:rFonts w:ascii="Calibri" w:hAnsi="Calibri" w:eastAsia="Calibri"/>
          <w:b/>
          <w:color w:val="111111"/>
          <w:sz w:val="24"/>
        </w:rPr>
        <w:t>Lembretes rápidos</w:t>
      </w:r>
    </w:p>
    <w:p>
      <w:pPr>
        <w:pStyle w:val="ListBullet"/>
        <w:spacing w:after="80" w:line="312" w:lineRule="auto"/>
      </w:pPr>
      <w:r>
        <w:rPr>
          <w:rFonts w:ascii="Calibri" w:hAnsi="Calibri" w:eastAsia="Calibri"/>
          <w:b w:val="0"/>
          <w:color w:val="222222"/>
          <w:sz w:val="22"/>
        </w:rPr>
        <w:t>Não listar cargo sem conectar à dor do mapa.</w:t>
      </w:r>
    </w:p>
    <w:p>
      <w:pPr>
        <w:pStyle w:val="ListBullet"/>
        <w:spacing w:after="80" w:line="312" w:lineRule="auto"/>
      </w:pPr>
      <w:r>
        <w:rPr>
          <w:rFonts w:ascii="Calibri" w:hAnsi="Calibri" w:eastAsia="Calibri"/>
          <w:b w:val="0"/>
          <w:color w:val="222222"/>
          <w:sz w:val="22"/>
        </w:rPr>
        <w:t>Não plantar “e o social?” / “o que não entra”.</w:t>
      </w:r>
    </w:p>
    <w:p>
      <w:pPr>
        <w:pStyle w:val="ListBullet"/>
        <w:spacing w:after="80" w:line="312" w:lineRule="auto"/>
      </w:pPr>
      <w:r>
        <w:rPr>
          <w:rFonts w:ascii="Calibri" w:hAnsi="Calibri" w:eastAsia="Calibri"/>
          <w:b w:val="0"/>
          <w:color w:val="222222"/>
          <w:sz w:val="22"/>
        </w:rPr>
        <w:t>Não falar mal de agência nem nomear pessoas internas do cliente.</w:t>
      </w:r>
    </w:p>
    <w:p>
      <w:pPr>
        <w:pStyle w:val="ListBullet"/>
        <w:spacing w:after="80" w:line="312" w:lineRule="auto"/>
      </w:pPr>
      <w:r>
        <w:rPr>
          <w:rFonts w:ascii="Calibri" w:hAnsi="Calibri" w:eastAsia="Calibri"/>
          <w:b w:val="0"/>
          <w:color w:val="222222"/>
          <w:sz w:val="22"/>
        </w:rPr>
        <w:t>Depois do time: pergunta aberta → só então preço.</w:t>
      </w:r>
    </w:p>
    <w:p>
      <w:pPr>
        <w:pStyle w:val="ListBullet"/>
        <w:spacing w:after="80" w:line="312" w:lineRule="auto"/>
      </w:pPr>
      <w:r>
        <w:rPr>
          <w:rFonts w:ascii="Calibri" w:hAnsi="Calibri" w:eastAsia="Calibri"/>
          <w:b w:val="0"/>
          <w:color w:val="222222"/>
          <w:sz w:val="22"/>
        </w:rPr>
        <w:t>Preço (quando chegar): de R$ 17.237,73 → condição R$ 9.480,75/mês · 12 meses · cartão.</w:t>
      </w:r>
    </w:p>
    <w:p>
      <w:pPr>
        <w:spacing w:before="360"/>
      </w:pPr>
      <w:r>
        <w:rPr>
          <w:rFonts w:ascii="Calibri" w:hAnsi="Calibri" w:eastAsia="Calibri"/>
          <w:b w:val="0"/>
          <w:color w:val="787878"/>
          <w:sz w:val="18"/>
        </w:rPr>
        <w:t>Documento interno · Sara Pizzico · Farmer AM · V4 Company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