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rFonts w:ascii="Calibri" w:hAnsi="Calibri" w:eastAsia="Calibri"/>
          <w:b/>
          <w:color w:val="E50914"/>
          <w:sz w:val="20"/>
        </w:rPr>
        <w:t>PROPOSTA COMERCIAL · 2026</w:t>
      </w:r>
    </w:p>
    <w:p>
      <w:pPr>
        <w:spacing w:after="160" w:before="0"/>
      </w:pPr>
      <w:r>
        <w:rPr>
          <w:rFonts w:ascii="Calibri" w:hAnsi="Calibri" w:eastAsia="Calibri"/>
          <w:b/>
          <w:color w:val="E50914"/>
          <w:sz w:val="44"/>
        </w:rPr>
        <w:t>ISOLUZ × V4 COMPANY</w:t>
      </w:r>
    </w:p>
    <w:p>
      <w:pPr>
        <w:spacing w:after="120" w:before="280"/>
      </w:pPr>
      <w:r>
        <w:rPr>
          <w:rFonts w:ascii="Calibri" w:hAnsi="Calibri" w:eastAsia="Calibri"/>
          <w:b/>
          <w:color w:val="E50914"/>
          <w:sz w:val="32"/>
        </w:rPr>
        <w:t>ORGANIZAR PRA CRESCER.</w:t>
      </w:r>
    </w:p>
    <w:p>
      <w:pPr>
        <w:spacing w:after="120" w:before="0"/>
      </w:pPr>
      <w:r>
        <w:rPr>
          <w:rFonts w:ascii="Calibri" w:hAnsi="Calibri" w:eastAsia="Calibri"/>
          <w:b w:val="0"/>
          <w:color w:val="5A5A5A"/>
          <w:sz w:val="22"/>
        </w:rPr>
        <w:t>Vocês já vendem. O risco não é faltar cliente — é crescer bagunçado. Esta proposta organiza comercial, vitrine B2B e Growth no ritmo que a Isoluz aguenta.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80" w:before="0"/>
      </w:pPr>
      <w:r>
        <w:rPr>
          <w:rFonts w:ascii="Calibri" w:hAnsi="Calibri" w:eastAsia="Calibri"/>
          <w:b/>
          <w:color w:val="E50914"/>
          <w:sz w:val="20"/>
        </w:rPr>
        <w:t>Escopo da proposta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01 · Estruturação Comercial —</w:t>
      </w:r>
      <w:r>
        <w:rPr>
          <w:rFonts w:ascii="Calibri" w:hAnsi="Calibri" w:eastAsia="Calibri"/>
          <w:b w:val="0"/>
          <w:color w:val="5A5A5A"/>
          <w:sz w:val="22"/>
        </w:rPr>
        <w:t xml:space="preserve"> Processo, CRM, scripts e rotina para o time de vendas da Isoluz.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02 · E-commerce B2B —</w:t>
      </w:r>
      <w:r>
        <w:rPr>
          <w:rFonts w:ascii="Calibri" w:hAnsi="Calibri" w:eastAsia="Calibri"/>
          <w:b w:val="0"/>
          <w:color w:val="5A5A5A"/>
          <w:sz w:val="22"/>
        </w:rPr>
        <w:t xml:space="preserve"> Tema com adaptação visual — prazo de 30 dias.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03 · Assessoria de Growth — Gestor de Tráfego (GT) operando aquisição com método.</w:t>
      </w:r>
      <w:r>
        <w:rPr>
          <w:rFonts w:ascii="Calibri" w:hAnsi="Calibri" w:eastAsia="Calibri"/>
          <w:b w:val="0"/>
          <w:color w:val="5A5A5A"/>
          <w:sz w:val="22"/>
        </w:rPr>
      </w:r>
    </w:p>
    <w:p>
      <w:pPr>
        <w:spacing w:after="120" w:before="120"/>
      </w:pPr>
      <w:r>
        <w:rPr>
          <w:rFonts w:ascii="Calibri" w:hAnsi="Calibri" w:eastAsia="Calibri"/>
          <w:b w:val="0"/>
          <w:color w:val="5A5A5A"/>
          <w:sz w:val="20"/>
        </w:rPr>
        <w:t>Papel da V4: conectar comercial e marketing em uma operação simples, previsível e no controle da Micheline.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O PONTO DE PARTIDA · O QUE A EE MOSTROU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Vocês já vendem. Falta máquina simples.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Produto forte, carteira ativa e demanda real. O próximo passo não é “bombar”. É estancar o que vaza e crescer com controle — margem e entrega primeiro.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O que já funciona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Faturamento saudável (~R$ 120 mil/mês)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Nicho técnico com diferencial em remanufaturado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Meta Ads já gera resultado (operado pela Micheline)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WhatsApp como canal principal de conversão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3 vendedores ativos + base de indicação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O que ainda vaza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Sem CRM, pipeline e follow-up padronizado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Atendimento reativo — sem script por persona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Meta sem filtro assertivo de CNPJ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Site e ativos digitais gerando atrito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Capacidade limitada: pico de demanda já engasgou a entrega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PRODUTO 01 · ESTRUTURAÇÃO COMERCIAL · 45 DIAS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Estruturação Comercial para o time que já vende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Organizar processo, CRM e rotina dos vendedores da Isoluz — com clareza, sem complexidade e sem terceirizar o fechamento. Prazo de 45 dias para implementações e treinamento.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Time e processo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Mapeamento do time e fluxo atual de vendas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Papéis claros: qualificação (SDR) × fechamento (closers)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Scripts e cadências por persona (Sérgio, Cláudia, Marcos)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Régua de follow-up de orçamentos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CRM e controle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Recomendação e implementação de CRM leve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Réguas automáticas de relacionamento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Motivos de perda, histórico e rotina comercial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KPIs enxutos para a Micheline acompanhar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Gestão contínua · 45 dias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Implementações no prazo de 45 dias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Treino do time no novo processo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Rotina gerencial objetiva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SLA interno de resposta ao lead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O que muda no dia a dia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Lead com dono —</w:t>
      </w:r>
      <w:r>
        <w:rPr>
          <w:rFonts w:ascii="Calibri" w:hAnsi="Calibri" w:eastAsia="Calibri"/>
          <w:b w:val="0"/>
          <w:color w:val="5A5A5A"/>
          <w:sz w:val="22"/>
        </w:rPr>
        <w:t xml:space="preserve"> Toda oportunidade entra no pipeline com responsável e próximo passo.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Follow-up no prazo —</w:t>
      </w:r>
      <w:r>
        <w:rPr>
          <w:rFonts w:ascii="Calibri" w:hAnsi="Calibri" w:eastAsia="Calibri"/>
          <w:b w:val="0"/>
          <w:color w:val="5A5A5A"/>
          <w:sz w:val="22"/>
        </w:rPr>
        <w:t xml:space="preserve"> Nenhum orçamento some no WhatsApp sem retorno marcado.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Conversa certa —</w:t>
      </w:r>
      <w:r>
        <w:rPr>
          <w:rFonts w:ascii="Calibri" w:hAnsi="Calibri" w:eastAsia="Calibri"/>
          <w:b w:val="0"/>
          <w:color w:val="5A5A5A"/>
          <w:sz w:val="22"/>
        </w:rPr>
        <w:t xml:space="preserve"> Abordagem por persona — técnica, financeira ou parceria regional.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Visão da dona —</w:t>
      </w:r>
      <w:r>
        <w:rPr>
          <w:rFonts w:ascii="Calibri" w:hAnsi="Calibri" w:eastAsia="Calibri"/>
          <w:b w:val="0"/>
          <w:color w:val="5A5A5A"/>
          <w:sz w:val="22"/>
        </w:rPr>
        <w:t xml:space="preserve"> Números simples para decidir ritmo de crescimento com segurança.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PRODUTO 02 · E-COMMERCE B2B · TEMA · 30 DIAS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E-commerce B2B — tema com adaptação visual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Loja pronta para o modelo B2B da Isoluz — com tema padrão adaptado visualmente e go-live em 30 dias.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Implementação e configuração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Configuração e parametrização da plataforma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Parametrização de descontos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Integração ERP nativo, logística e gateway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Visual e conversão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Tema padrão com adaptação visual da Isoluz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Criação de banners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SEO da home, institucionais e categorias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Configuração de GTM e Analytics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Pós go-live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Treinamento de produto e plataforma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Monitoramento pós go-live (30 dias)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Assessoria logística e gateway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Prazo de entrega: 30 dias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PRODUTO 03 · ASSESSORIA DE GROWTH · 12 MESES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Gestor de Tráfego (GT)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Mídia, criativos e gestão contínua com cadência definida — para atrair o CNPJ certo e pulverizar regiões no ritmo da entrega.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Account —</w:t>
      </w:r>
      <w:r>
        <w:rPr>
          <w:rFonts w:ascii="Calibri" w:hAnsi="Calibri" w:eastAsia="Calibri"/>
          <w:b w:val="0"/>
          <w:color w:val="5A5A5A"/>
          <w:sz w:val="22"/>
        </w:rPr>
        <w:t xml:space="preserve"> Direcionamento de regiões, oferta, ritmo de aquisição e alinhamento com capacidade operacional.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Gestor de tráfego —</w:t>
      </w:r>
      <w:r>
        <w:rPr>
          <w:rFonts w:ascii="Calibri" w:hAnsi="Calibri" w:eastAsia="Calibri"/>
          <w:b w:val="0"/>
          <w:color w:val="5A5A5A"/>
          <w:sz w:val="22"/>
        </w:rPr>
        <w:t xml:space="preserve"> Meta com segmentação assertiva de CNPJ + Google de intenção, sem agressividade que estoure a operação.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Copy + Design —</w:t>
      </w:r>
      <w:r>
        <w:rPr>
          <w:rFonts w:ascii="Calibri" w:hAnsi="Calibri" w:eastAsia="Calibri"/>
          <w:b w:val="0"/>
          <w:color w:val="5A5A5A"/>
          <w:sz w:val="22"/>
        </w:rPr>
        <w:t xml:space="preserve"> Narrativa da Isoluz (“sua obra não para”) e criativos profissionais por formato e canal.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Gestão contínua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Otimização semanal de campanhas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Testes de criativo e público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Leitura de funil até oportunidade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5A5A5A"/>
          <w:sz w:val="22"/>
        </w:rPr>
        <w:t>Alinhamento com metas do negócio</w:t>
      </w:r>
    </w:p>
    <w:p>
      <w:pPr>
        <w:spacing w:after="40" w:before="160"/>
      </w:pPr>
      <w:r>
        <w:rPr>
          <w:rFonts w:ascii="Calibri" w:hAnsi="Calibri" w:eastAsia="Calibri"/>
          <w:b/>
          <w:color w:val="1E1E1E"/>
          <w:sz w:val="22"/>
        </w:rPr>
        <w:t>Nossas rotinas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Atendimento diário —</w:t>
      </w:r>
      <w:r>
        <w:rPr>
          <w:rFonts w:ascii="Calibri" w:hAnsi="Calibri" w:eastAsia="Calibri"/>
          <w:b w:val="0"/>
          <w:color w:val="5A5A5A"/>
          <w:sz w:val="22"/>
        </w:rPr>
        <w:t xml:space="preserve"> Dias úteis: tarefas, pendências, alinhamentos, backlog e resultados do dia.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Check-in de performance —</w:t>
      </w:r>
      <w:r>
        <w:rPr>
          <w:rFonts w:ascii="Calibri" w:hAnsi="Calibri" w:eastAsia="Calibri"/>
          <w:b w:val="0"/>
          <w:color w:val="5A5A5A"/>
          <w:sz w:val="22"/>
        </w:rPr>
        <w:t xml:space="preserve"> Reunião periódica: resultados, análise e próximos passos.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Planejamento trimestral —</w:t>
      </w:r>
      <w:r>
        <w:rPr>
          <w:rFonts w:ascii="Calibri" w:hAnsi="Calibri" w:eastAsia="Calibri"/>
          <w:b w:val="0"/>
          <w:color w:val="5A5A5A"/>
          <w:sz w:val="22"/>
        </w:rPr>
        <w:t xml:space="preserve"> Próximos três meses, budget, prioridades e aprendizados.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1E1E1E"/>
          <w:sz w:val="22"/>
        </w:rPr>
        <w:t>Growths e retrospectivas —</w:t>
      </w:r>
      <w:r>
        <w:rPr>
          <w:rFonts w:ascii="Calibri" w:hAnsi="Calibri" w:eastAsia="Calibri"/>
          <w:b w:val="0"/>
          <w:color w:val="5A5A5A"/>
          <w:sz w:val="22"/>
        </w:rPr>
        <w:t xml:space="preserve"> Rituais internos de dados, copy, design, tráfego e funil.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ÂNCORA DE MERCADO · MONTAR SOZINHO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Quanto custaria montar esse escopo por conta própria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Referência de mercado para cobrir especialização equivalente (salários + encargos + gestão + ferramentas), sem contar tempo de contratação e risco de erro.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Frente</w:t>
            </w:r>
          </w:p>
        </w:tc>
        <w:tc>
          <w:tcPr>
            <w:tcW w:type="dxa" w:w="4986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Referência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Estruturação Comercial (processo + CRM + treinamento)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R$ 18.000 a R$ 25.000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E-commerce B2B (tema + integrações + SEO)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R$ 8.000 a R$ 15.000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Account / Head de Growth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R$ 10.000 a R$ 14.000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Gestão de Tráfego Google + Meta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R$ 8.000 a R$ 12.000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Copywriter de performance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R$ 5.000 a R$ 7.000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Designer de performance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R$ 6.000 a R$ 8.000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Ferramentas ads + stack criativo (mensal)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R$ 1.000 a R$ 2.000</w:t>
            </w:r>
          </w:p>
        </w:tc>
      </w:tr>
      <w:tr>
        <w:tc>
          <w:tcPr>
            <w:tcW w:type="dxa" w:w="4986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estimado Growth / mês</w:t>
            </w:r>
          </w:p>
        </w:tc>
        <w:tc>
          <w:tcPr>
            <w:tcW w:type="dxa" w:w="4986"/>
          </w:tcPr>
          <w:p>
            <w:r>
              <w:t>R$ 9.000 a R$ 14.000</w:t>
            </w:r>
            <w:r>
              <w:rPr>
                <w:rFonts w:ascii="Calibri" w:hAnsi="Calibri" w:eastAsia="Calibri"/>
                <w:b w:val="0"/>
                <w:color w:val="1E1E1E"/>
                <w:sz w:val="20"/>
              </w:rPr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color w:val="5A5A5A"/>
          <w:sz w:val="20"/>
        </w:rPr>
        <w:t>A V4 entrega o escopo completo — comercial, e-commerce e Growth — com método, cadência e a EE já trabalhando a favor da Isoluz.</w:t>
      </w:r>
    </w:p>
    <w:p>
      <w:pPr>
        <w:spacing w:before="80" w:after="160"/>
        <w:pBdr>
          <w:bottom w:val="single" w:sz="12" w:space="1" w:color="E50914"/>
        </w:pBdr>
      </w:pPr>
    </w:p>
    <w:p>
      <w:pPr>
        <w:spacing w:after="40" w:before="0"/>
      </w:pPr>
      <w:r>
        <w:rPr>
          <w:rFonts w:ascii="Calibri" w:hAnsi="Calibri" w:eastAsia="Calibri"/>
          <w:b/>
          <w:color w:val="E50914"/>
          <w:sz w:val="20"/>
        </w:rPr>
        <w:t>INVESTIMENTO · TRÊS SOLUÇÕES</w:t>
      </w:r>
    </w:p>
    <w:p>
      <w:pPr>
        <w:spacing w:after="160" w:before="40"/>
      </w:pPr>
      <w:r>
        <w:rPr>
          <w:rFonts w:ascii="Calibri" w:hAnsi="Calibri" w:eastAsia="Calibri"/>
          <w:b/>
          <w:color w:val="E50914"/>
          <w:sz w:val="28"/>
        </w:rPr>
        <w:t>Três condições para começar a operar</w:t>
      </w:r>
    </w:p>
    <w:p>
      <w:pPr>
        <w:spacing w:after="120" w:before="0"/>
      </w:pPr>
      <w:r>
        <w:rPr>
          <w:rFonts w:ascii="Calibri" w:hAnsi="Calibri" w:eastAsia="Calibri"/>
          <w:b w:val="0"/>
          <w:color w:val="1E1E1E"/>
          <w:sz w:val="22"/>
        </w:rPr>
        <w:t>Estruturação Comercial + E-commerce B2B + Assessoria de Growth para a Isoluz.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Solução</w:t>
            </w:r>
          </w:p>
        </w:tc>
        <w:tc>
          <w:tcPr>
            <w:tcW w:type="dxa" w:w="3324"/>
          </w:tcPr>
          <w:p>
            <w:pPr>
              <w:shd w:fill="FCE8E9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Condição</w:t>
            </w:r>
          </w:p>
        </w:tc>
        <w:tc>
          <w:tcPr>
            <w:tcW w:type="dxa" w:w="3324"/>
          </w:tcPr>
          <w:p>
            <w:pPr>
              <w:shd w:fill="FCE8E9" w:val="clear"/>
              <w:shd w:fill="FFF8E7" w:val="clear"/>
            </w:pPr>
            <w:r/>
            <w:r>
              <w:rPr>
                <w:rFonts w:ascii="Calibri" w:hAnsi="Calibri" w:eastAsia="Calibri"/>
                <w:b/>
                <w:color w:val="E50914"/>
                <w:sz w:val="20"/>
              </w:rPr>
              <w:t>Total / observação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Estruturação Comercial (projeto · 45 dias)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12× R$ 960,53</w:t>
            </w:r>
          </w:p>
        </w:tc>
        <w:tc>
          <w:tcPr>
            <w:tcW w:type="dxa" w:w="3324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R$ 11.526,32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E-commerce B2B (tema · 30 dias)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12× R$ 333,33</w:t>
            </w:r>
          </w:p>
        </w:tc>
        <w:tc>
          <w:tcPr>
            <w:tcW w:type="dxa" w:w="3324"/>
          </w:tcPr>
          <w:p>
            <w:pPr>
              <w:shd w:fill="FFF8E7" w:val="clear"/>
            </w:pPr>
            <w:r/>
            <w:r>
              <w:rPr>
                <w:rFonts w:ascii="Calibri" w:hAnsi="Calibri" w:eastAsia="Calibri"/>
                <w:b/>
                <w:color w:val="1E1E1E"/>
                <w:sz w:val="20"/>
              </w:rPr>
              <w:t>Total R$ 4.000,00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Assessoria de Growth (12 meses)</w:t>
            </w:r>
          </w:p>
        </w:tc>
        <w:tc>
          <w:tcPr>
            <w:tcW w:type="dxa" w:w="3324"/>
          </w:tcPr>
          <w:p>
            <w:r>
              <w:t>12× R$ 2.569,91</w:t>
            </w:r>
            <w:r>
              <w:rPr>
                <w:rFonts w:ascii="Calibri" w:hAnsi="Calibri" w:eastAsia="Calibri"/>
                <w:b w:val="0"/>
                <w:color w:val="1E1E1E"/>
                <w:sz w:val="20"/>
              </w:rPr>
            </w:r>
          </w:p>
        </w:tc>
        <w:tc>
          <w:tcPr>
            <w:tcW w:type="dxa" w:w="3324"/>
          </w:tcPr>
          <w:p>
            <w:r>
              <w:t>Gestor de Tráfego (GT)</w:t>
            </w:r>
            <w:r>
              <w:rPr>
                <w:rFonts w:ascii="Calibri" w:hAnsi="Calibri" w:eastAsia="Calibri"/>
                <w:b w:val="0"/>
                <w:color w:val="1E1E1E"/>
                <w:sz w:val="20"/>
              </w:rPr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As três juntas</w:t>
            </w:r>
          </w:p>
        </w:tc>
        <w:tc>
          <w:tcPr>
            <w:tcW w:type="dxa" w:w="3324"/>
          </w:tcPr>
          <w:p>
            <w:r>
              <w:t>~ R$ 3.863,77 /mês</w:t>
            </w:r>
            <w:r>
              <w:rPr>
                <w:rFonts w:ascii="Calibri" w:hAnsi="Calibri" w:eastAsia="Calibri"/>
                <w:b w:val="0"/>
                <w:color w:val="1E1E1E"/>
                <w:sz w:val="20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color w:val="1E1E1E"/>
                <w:sz w:val="20"/>
              </w:rPr>
              <w:t>Condição especial</w:t>
            </w:r>
          </w:p>
        </w:tc>
      </w:tr>
    </w:tbl>
    <w:p/>
    <w:p>
      <w:pPr>
        <w:spacing w:before="80" w:after="160"/>
        <w:pBdr>
          <w:bottom w:val="single" w:sz="12" w:space="1" w:color="E50914"/>
        </w:pBdr>
      </w:pPr>
    </w:p>
    <w:p>
      <w:pPr>
        <w:spacing w:after="120" w:before="200"/>
      </w:pPr>
      <w:r>
        <w:rPr>
          <w:rFonts w:ascii="Calibri" w:hAnsi="Calibri" w:eastAsia="Calibri"/>
          <w:b w:val="0"/>
          <w:color w:val="5A5A5A"/>
          <w:sz w:val="18"/>
        </w:rPr>
        <w:t>Isoluz × V4 Company · Proposta comercial 2026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