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Arial" w:hAnsi="Arial" w:eastAsia="Arial"/>
          <w:b/>
          <w:i w:val="0"/>
          <w:color w:val="CC0000"/>
          <w:sz w:val="22"/>
        </w:rPr>
        <w:t>V4 COMPANY APRESENTA</w:t>
      </w:r>
    </w:p>
    <w:p>
      <w:pPr>
        <w:spacing w:after="0"/>
        <w:jc w:val="center"/>
      </w:pPr>
      <w:r>
        <w:rPr>
          <w:rFonts w:ascii="Arial" w:hAnsi="Arial" w:eastAsia="Arial"/>
          <w:b/>
          <w:i w:val="0"/>
          <w:color w:val="1A1A1A"/>
          <w:sz w:val="56"/>
        </w:rPr>
        <w:t xml:space="preserve">EMPRESA </w:t>
      </w:r>
      <w:r>
        <w:rPr>
          <w:rFonts w:ascii="Arial" w:hAnsi="Arial" w:eastAsia="Arial"/>
          <w:b/>
          <w:i w:val="0"/>
          <w:color w:val="CC0000"/>
          <w:sz w:val="56"/>
        </w:rPr>
        <w:t>QUE VENDE</w:t>
      </w:r>
    </w:p>
    <w:p>
      <w:pPr>
        <w:spacing w:after="200"/>
        <w:jc w:val="center"/>
      </w:pPr>
      <w:r>
        <w:rPr>
          <w:rFonts w:ascii="Arial" w:hAnsi="Arial" w:eastAsia="Arial"/>
          <w:b w:val="0"/>
          <w:i/>
          <w:color w:val="555555"/>
          <w:sz w:val="24"/>
        </w:rPr>
        <w:t>Estrutura o negócio. Treina o time. Acompanha a execução.</w:t>
      </w:r>
    </w:p>
    <w:p>
      <w:pPr>
        <w:spacing w:after="80"/>
        <w:jc w:val="center"/>
      </w:pPr>
      <w:r>
        <w:rPr>
          <w:rFonts w:ascii="Arial" w:hAnsi="Arial" w:eastAsia="Arial"/>
          <w:b/>
          <w:i w:val="0"/>
          <w:color w:val="1A1A1A"/>
          <w:sz w:val="24"/>
        </w:rPr>
        <w:t>Proposta comercial — Pedrini e Azevedo Advocacia</w:t>
      </w:r>
    </w:p>
    <w:p>
      <w:pPr>
        <w:spacing w:after="360"/>
        <w:jc w:val="center"/>
      </w:pPr>
      <w:r>
        <w:rPr>
          <w:rFonts w:ascii="Arial" w:hAnsi="Arial" w:eastAsia="Arial"/>
          <w:b w:val="0"/>
          <w:i w:val="0"/>
          <w:color w:val="555555"/>
          <w:sz w:val="18"/>
        </w:rPr>
        <w:t>V4 Company · Empresa que Vende · 2026</w:t>
      </w:r>
    </w:p>
    <w:p>
      <w:pPr>
        <w:spacing w:before="360" w:after="120"/>
      </w:pPr>
      <w:r>
        <w:rPr>
          <w:rFonts w:ascii="Arial" w:hAnsi="Arial" w:eastAsia="Arial"/>
          <w:b/>
          <w:i w:val="0"/>
          <w:color w:val="CC0000"/>
          <w:sz w:val="32"/>
        </w:rPr>
        <w:t>1. O problema</w:t>
      </w:r>
    </w:p>
    <w:p>
      <w:pPr>
        <w:spacing w:after="120"/>
      </w:pPr>
      <w:r>
        <w:rPr>
          <w:rFonts w:ascii="Arial" w:hAnsi="Arial" w:eastAsia="Arial"/>
          <w:b/>
          <w:i w:val="0"/>
          <w:color w:val="1A1A1A"/>
          <w:sz w:val="24"/>
        </w:rPr>
        <w:t>Você trabalha muito. Mas a receita ainda não é previsível.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Vendas oscilam todo mês — sem processo, sem previsibilidade.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Quando o melhor vendedor sai, o processo some com ele.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A agência executa por você — e o crescimento para quando o contrato termina.</w:t>
      </w:r>
    </w:p>
    <w:p>
      <w:pPr>
        <w:spacing w:after="120"/>
      </w:pPr>
      <w:r>
        <w:rPr>
          <w:rFonts w:ascii="Arial" w:hAnsi="Arial" w:eastAsia="Arial"/>
          <w:b w:val="0"/>
          <w:i/>
          <w:color w:val="555555"/>
          <w:sz w:val="22"/>
        </w:rPr>
        <w:t>Este é o empresário que o Empresa que Vende foi criado para atender.</w:t>
      </w:r>
    </w:p>
    <w:p>
      <w:pPr>
        <w:spacing w:before="360" w:after="120"/>
      </w:pPr>
      <w:r>
        <w:rPr>
          <w:rFonts w:ascii="Arial" w:hAnsi="Arial" w:eastAsia="Arial"/>
          <w:b/>
          <w:i w:val="0"/>
          <w:color w:val="CC0000"/>
          <w:sz w:val="32"/>
        </w:rPr>
        <w:t>2. Para quem é</w:t>
      </w:r>
    </w:p>
    <w:p>
      <w:pPr>
        <w:spacing w:after="120"/>
      </w:pPr>
      <w:r>
        <w:rPr>
          <w:rFonts w:ascii="Arial" w:hAnsi="Arial" w:eastAsia="Arial"/>
          <w:b w:val="0"/>
          <w:i w:val="0"/>
          <w:color w:val="1A1A1A"/>
          <w:sz w:val="22"/>
        </w:rPr>
        <w:t>Perfil do cliente ideal do Empresa que Vende: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F5F5F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A1A1A"/>
                <w:sz w:val="20"/>
              </w:rPr>
              <w:t>Porte</w:t>
            </w:r>
          </w:p>
        </w:tc>
        <w:tc>
          <w:tcPr>
            <w:tcW w:type="dxa" w:w="470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Tiny e Small — até 50 funcionários</w:t>
            </w:r>
          </w:p>
        </w:tc>
      </w:tr>
      <w:tr>
        <w:tc>
          <w:tcPr>
            <w:tcW w:type="dxa" w:w="4706"/>
            <w:shd w:fill="F5F5F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A1A1A"/>
                <w:sz w:val="20"/>
              </w:rPr>
              <w:t>Faturamento</w:t>
            </w:r>
          </w:p>
        </w:tc>
        <w:tc>
          <w:tcPr>
            <w:tcW w:type="dxa" w:w="470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R$ 600K – R$ 2,4M anuais</w:t>
            </w:r>
          </w:p>
        </w:tc>
      </w:tr>
      <w:tr>
        <w:tc>
          <w:tcPr>
            <w:tcW w:type="dxa" w:w="4706"/>
            <w:shd w:fill="F5F5F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A1A1A"/>
                <w:sz w:val="20"/>
              </w:rPr>
              <w:t>Mercado</w:t>
            </w:r>
          </w:p>
        </w:tc>
        <w:tc>
          <w:tcPr>
            <w:tcW w:type="dxa" w:w="470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B2B / serviços com operação de vendas ativa</w:t>
            </w:r>
          </w:p>
        </w:tc>
      </w:tr>
      <w:tr>
        <w:tc>
          <w:tcPr>
            <w:tcW w:type="dxa" w:w="4706"/>
            <w:shd w:fill="F5F5F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A1A1A"/>
                <w:sz w:val="20"/>
              </w:rPr>
              <w:t>Canal de vendas</w:t>
            </w:r>
          </w:p>
        </w:tc>
        <w:tc>
          <w:tcPr>
            <w:tcW w:type="dxa" w:w="470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Inside Sales · WhatsApp · Meta Ads · CRM</w:t>
            </w:r>
          </w:p>
        </w:tc>
      </w:tr>
      <w:tr>
        <w:tc>
          <w:tcPr>
            <w:tcW w:type="dxa" w:w="4706"/>
            <w:shd w:fill="F5F5F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A1A1A"/>
                <w:sz w:val="20"/>
              </w:rPr>
              <w:t>Maturidade GTM</w:t>
            </w:r>
          </w:p>
        </w:tc>
        <w:tc>
          <w:tcPr>
            <w:tcW w:type="dxa" w:w="470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Baixo a médio (N1 ou N2 no diagnóstico V4)</w:t>
            </w:r>
          </w:p>
        </w:tc>
      </w:tr>
    </w:tbl>
    <w:p>
      <w:pPr>
        <w:spacing w:before="360" w:after="120"/>
      </w:pPr>
      <w:r>
        <w:rPr>
          <w:rFonts w:ascii="Arial" w:hAnsi="Arial" w:eastAsia="Arial"/>
          <w:b/>
          <w:i w:val="0"/>
          <w:color w:val="CC0000"/>
          <w:sz w:val="32"/>
        </w:rPr>
        <w:t>3. Por que as soluções tradicionais não resolvem</w:t>
      </w:r>
    </w:p>
    <w:p>
      <w:pPr>
        <w:spacing w:after="40"/>
      </w:pPr>
      <w:r>
        <w:rPr>
          <w:rFonts w:ascii="Arial" w:hAnsi="Arial" w:eastAsia="Arial"/>
          <w:b/>
          <w:i w:val="0"/>
          <w:color w:val="1A1A1A"/>
          <w:sz w:val="22"/>
        </w:rPr>
        <w:t>Agência — Executa por você.</w:t>
      </w:r>
    </w:p>
    <w:p>
      <w:pPr>
        <w:spacing w:after="160"/>
      </w:pPr>
      <w:r>
        <w:rPr>
          <w:rFonts w:ascii="Arial" w:hAnsi="Arial" w:eastAsia="Arial"/>
          <w:b w:val="0"/>
          <w:i w:val="0"/>
          <w:color w:val="555555"/>
          <w:sz w:val="22"/>
        </w:rPr>
        <w:t>Quando o contrato termina, o resultado vai junto. Você nunca aprendeu a operar a máquina.</w:t>
      </w:r>
    </w:p>
    <w:p>
      <w:pPr>
        <w:spacing w:after="40"/>
      </w:pPr>
      <w:r>
        <w:rPr>
          <w:rFonts w:ascii="Arial" w:hAnsi="Arial" w:eastAsia="Arial"/>
          <w:b/>
          <w:i w:val="0"/>
          <w:color w:val="1A1A1A"/>
          <w:sz w:val="22"/>
        </w:rPr>
        <w:t>Curso — Ensina teoria.</w:t>
      </w:r>
    </w:p>
    <w:p>
      <w:pPr>
        <w:spacing w:after="160"/>
      </w:pPr>
      <w:r>
        <w:rPr>
          <w:rFonts w:ascii="Arial" w:hAnsi="Arial" w:eastAsia="Arial"/>
          <w:b w:val="0"/>
          <w:i w:val="0"/>
          <w:color w:val="555555"/>
          <w:sz w:val="22"/>
        </w:rPr>
        <w:t>Sem aplicação no seu negócio real. O playbook fica na gaveta e nada muda na prática.</w:t>
      </w:r>
    </w:p>
    <w:p>
      <w:pPr>
        <w:spacing w:after="40"/>
      </w:pPr>
      <w:r>
        <w:rPr>
          <w:rFonts w:ascii="Arial" w:hAnsi="Arial" w:eastAsia="Arial"/>
          <w:b/>
          <w:i w:val="0"/>
          <w:color w:val="1A1A1A"/>
          <w:sz w:val="22"/>
        </w:rPr>
        <w:t>Consultoria — Diagnostica.</w:t>
      </w:r>
    </w:p>
    <w:p>
      <w:pPr>
        <w:spacing w:after="160"/>
      </w:pPr>
      <w:r>
        <w:rPr>
          <w:rFonts w:ascii="Arial" w:hAnsi="Arial" w:eastAsia="Arial"/>
          <w:b w:val="0"/>
          <w:i w:val="0"/>
          <w:color w:val="555555"/>
          <w:sz w:val="22"/>
        </w:rPr>
        <w:t>Entrega um relatório detalhado. Ninguém implementa. O problema continua exatamente onde estava.</w:t>
      </w:r>
    </w:p>
    <w:p>
      <w:pPr>
        <w:spacing w:after="120"/>
      </w:pPr>
      <w:r>
        <w:rPr>
          <w:rFonts w:ascii="Arial" w:hAnsi="Arial" w:eastAsia="Arial"/>
          <w:b/>
          <w:i w:val="0"/>
          <w:color w:val="1A1A1A"/>
          <w:sz w:val="22"/>
        </w:rPr>
        <w:t>Resultado: o empresário continua sem máquina de vendas previsível.</w:t>
      </w:r>
    </w:p>
    <w:p>
      <w:pPr>
        <w:spacing w:before="360" w:after="120"/>
      </w:pPr>
      <w:r>
        <w:rPr>
          <w:rFonts w:ascii="Arial" w:hAnsi="Arial" w:eastAsia="Arial"/>
          <w:b/>
          <w:i w:val="0"/>
          <w:color w:val="CC0000"/>
          <w:sz w:val="32"/>
        </w:rPr>
        <w:t>4. A solução — Empresa que Vende</w:t>
      </w:r>
    </w:p>
    <w:p>
      <w:pPr>
        <w:spacing w:after="120"/>
      </w:pPr>
      <w:r>
        <w:rPr>
          <w:rFonts w:ascii="Arial" w:hAnsi="Arial" w:eastAsia="Arial"/>
          <w:b/>
          <w:i w:val="0"/>
          <w:color w:val="1A1A1A"/>
          <w:sz w:val="24"/>
        </w:rPr>
        <w:t>Empresa que Vende não executa para você.</w:t>
      </w:r>
    </w:p>
    <w:p>
      <w:pPr>
        <w:spacing w:after="120"/>
      </w:pPr>
      <w:r>
        <w:rPr>
          <w:rFonts w:ascii="Arial" w:hAnsi="Arial" w:eastAsia="Arial"/>
          <w:b w:val="0"/>
          <w:i w:val="0"/>
          <w:color w:val="1A1A1A"/>
          <w:sz w:val="22"/>
        </w:rPr>
        <w:t>Estrutura o negócio. Treina o time. Acompanha a execução.</w:t>
      </w:r>
    </w:p>
    <w:p>
      <w:pPr>
        <w:spacing w:after="120"/>
      </w:pPr>
      <w:r>
        <w:rPr>
          <w:rFonts w:ascii="Arial" w:hAnsi="Arial" w:eastAsia="Arial"/>
          <w:b w:val="0"/>
          <w:i/>
          <w:color w:val="555555"/>
          <w:sz w:val="22"/>
        </w:rPr>
        <w:t>Quem faz é o cliente. É exatamente por isso que funciona.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NPS 55+ (vs. 35 das agências tradicionais)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6 meses de acompanhamento contínuo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4 squads especializados no seu negócio</w:t>
      </w:r>
    </w:p>
    <w:p>
      <w:pPr>
        <w:spacing w:before="360" w:after="120"/>
      </w:pPr>
      <w:r>
        <w:rPr>
          <w:rFonts w:ascii="Arial" w:hAnsi="Arial" w:eastAsia="Arial"/>
          <w:b/>
          <w:i w:val="0"/>
          <w:color w:val="CC0000"/>
          <w:sz w:val="32"/>
        </w:rPr>
        <w:t>5. O programa — 5 pilares</w:t>
      </w:r>
    </w:p>
    <w:p>
      <w:pPr>
        <w:spacing w:after="20"/>
      </w:pPr>
      <w:r>
        <w:rPr>
          <w:rFonts w:ascii="Arial" w:hAnsi="Arial" w:eastAsia="Arial"/>
          <w:b/>
          <w:i w:val="0"/>
          <w:color w:val="1A1A1A"/>
          <w:sz w:val="22"/>
        </w:rPr>
        <w:t>01 · Diagnóstico contínuo</w:t>
      </w:r>
    </w:p>
    <w:p>
      <w:pPr>
        <w:spacing w:after="160"/>
      </w:pPr>
      <w:r>
        <w:rPr>
          <w:rFonts w:ascii="Arial" w:hAnsi="Arial" w:eastAsia="Arial"/>
          <w:b w:val="0"/>
          <w:i w:val="0"/>
          <w:color w:val="555555"/>
          <w:sz w:val="22"/>
        </w:rPr>
        <w:t>Maturidade GTM monitorada. Gargalos identificados a cada ciclo — sem achismo.</w:t>
      </w:r>
    </w:p>
    <w:p>
      <w:pPr>
        <w:spacing w:after="20"/>
      </w:pPr>
      <w:r>
        <w:rPr>
          <w:rFonts w:ascii="Arial" w:hAnsi="Arial" w:eastAsia="Arial"/>
          <w:b/>
          <w:i w:val="0"/>
          <w:color w:val="1A1A1A"/>
          <w:sz w:val="22"/>
        </w:rPr>
        <w:t>02 · Consultoria estratégica</w:t>
      </w:r>
    </w:p>
    <w:p>
      <w:pPr>
        <w:spacing w:after="160"/>
      </w:pPr>
      <w:r>
        <w:rPr>
          <w:rFonts w:ascii="Arial" w:hAnsi="Arial" w:eastAsia="Arial"/>
          <w:b w:val="0"/>
          <w:i w:val="0"/>
          <w:color w:val="555555"/>
          <w:sz w:val="22"/>
        </w:rPr>
        <w:t>1h/mês com consultor V4: define prioridades e aloca os créditos do squad.</w:t>
      </w:r>
    </w:p>
    <w:p>
      <w:pPr>
        <w:spacing w:after="20"/>
      </w:pPr>
      <w:r>
        <w:rPr>
          <w:rFonts w:ascii="Arial" w:hAnsi="Arial" w:eastAsia="Arial"/>
          <w:b/>
          <w:i w:val="0"/>
          <w:color w:val="1A1A1A"/>
          <w:sz w:val="22"/>
        </w:rPr>
        <w:t>03 · Execução assistida</w:t>
      </w:r>
    </w:p>
    <w:p>
      <w:pPr>
        <w:spacing w:after="160"/>
      </w:pPr>
      <w:r>
        <w:rPr>
          <w:rFonts w:ascii="Arial" w:hAnsi="Arial" w:eastAsia="Arial"/>
          <w:b w:val="0"/>
          <w:i w:val="0"/>
          <w:color w:val="555555"/>
          <w:sz w:val="22"/>
        </w:rPr>
        <w:t>Squad de 4 especialistas: Conteúdo, Mídia Paga, Comercial e CRM.</w:t>
      </w:r>
    </w:p>
    <w:p>
      <w:pPr>
        <w:spacing w:after="20"/>
      </w:pPr>
      <w:r>
        <w:rPr>
          <w:rFonts w:ascii="Arial" w:hAnsi="Arial" w:eastAsia="Arial"/>
          <w:b/>
          <w:i w:val="0"/>
          <w:color w:val="1A1A1A"/>
          <w:sz w:val="22"/>
        </w:rPr>
        <w:t>04 · Comunidade</w:t>
      </w:r>
    </w:p>
    <w:p>
      <w:pPr>
        <w:spacing w:after="160"/>
      </w:pPr>
      <w:r>
        <w:rPr>
          <w:rFonts w:ascii="Arial" w:hAnsi="Arial" w:eastAsia="Arial"/>
          <w:b w:val="0"/>
          <w:i w:val="0"/>
          <w:color w:val="555555"/>
          <w:sz w:val="22"/>
        </w:rPr>
        <w:t>Peers do mesmo segmento e lives mensais temáticas alinhadas ao calendário.</w:t>
      </w:r>
    </w:p>
    <w:p>
      <w:pPr>
        <w:spacing w:after="20"/>
      </w:pPr>
      <w:r>
        <w:rPr>
          <w:rFonts w:ascii="Arial" w:hAnsi="Arial" w:eastAsia="Arial"/>
          <w:b/>
          <w:i w:val="0"/>
          <w:color w:val="1A1A1A"/>
          <w:sz w:val="22"/>
        </w:rPr>
        <w:t>05 · Fábrica de Receita</w:t>
      </w:r>
    </w:p>
    <w:p>
      <w:pPr>
        <w:spacing w:after="160"/>
      </w:pPr>
      <w:r>
        <w:rPr>
          <w:rFonts w:ascii="Arial" w:hAnsi="Arial" w:eastAsia="Arial"/>
          <w:b w:val="0"/>
          <w:i w:val="0"/>
          <w:color w:val="555555"/>
          <w:sz w:val="22"/>
        </w:rPr>
        <w:t>Imersão presencial: hot seats, cases reais e workshops práticos com a V4.</w:t>
      </w:r>
    </w:p>
    <w:p>
      <w:pPr>
        <w:spacing w:before="360" w:after="120"/>
      </w:pPr>
      <w:r>
        <w:rPr>
          <w:rFonts w:ascii="Arial" w:hAnsi="Arial" w:eastAsia="Arial"/>
          <w:b/>
          <w:i w:val="0"/>
          <w:color w:val="CC0000"/>
          <w:sz w:val="32"/>
        </w:rPr>
        <w:t>6. Execução assistida — entregáveis</w:t>
      </w:r>
    </w:p>
    <w:p>
      <w:pPr>
        <w:spacing w:after="120"/>
      </w:pPr>
      <w:r>
        <w:rPr>
          <w:rFonts w:ascii="Arial" w:hAnsi="Arial" w:eastAsia="Arial"/>
          <w:b w:val="0"/>
          <w:i w:val="0"/>
          <w:color w:val="555555"/>
          <w:sz w:val="22"/>
        </w:rPr>
        <w:t>O consultor V4 (1h/mês) define as prioridades e distribui as horas entre os 4 especialistas do squad.</w:t>
      </w:r>
    </w:p>
    <w:p>
      <w:pPr>
        <w:spacing w:after="40"/>
      </w:pPr>
      <w:r>
        <w:rPr>
          <w:rFonts w:ascii="Arial" w:hAnsi="Arial" w:eastAsia="Arial"/>
          <w:b/>
          <w:i w:val="0"/>
          <w:color w:val="1A1A1A"/>
          <w:sz w:val="24"/>
        </w:rPr>
        <w:t>Conteúdo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Roteiro de vídeo viral calibrado ao negócio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Briefing de posts Instagram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Suporte à produção e publicação</w:t>
      </w:r>
    </w:p>
    <w:p>
      <w:pPr>
        <w:spacing w:after="40"/>
      </w:pPr>
      <w:r>
        <w:rPr>
          <w:rFonts w:ascii="Arial" w:hAnsi="Arial" w:eastAsia="Arial"/>
          <w:b/>
          <w:i w:val="0"/>
          <w:color w:val="1A1A1A"/>
          <w:sz w:val="24"/>
        </w:rPr>
        <w:t>Mídia paga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Gestão de campanhas Meta / Google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Segmentação, pixel, leitura de dados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Decisão por ROAS e CPL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Tracking + rastreamento</w:t>
      </w:r>
    </w:p>
    <w:p>
      <w:pPr>
        <w:spacing w:after="40"/>
      </w:pPr>
      <w:r>
        <w:rPr>
          <w:rFonts w:ascii="Arial" w:hAnsi="Arial" w:eastAsia="Arial"/>
          <w:b/>
          <w:i w:val="0"/>
          <w:color w:val="1A1A1A"/>
          <w:sz w:val="24"/>
        </w:rPr>
        <w:t>Comercial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Revisão de scripts + análise de objeções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Role play com vendedores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Atualização das réguas de follow-up</w:t>
      </w:r>
    </w:p>
    <w:p>
      <w:pPr>
        <w:spacing w:after="40"/>
      </w:pPr>
      <w:r>
        <w:rPr>
          <w:rFonts w:ascii="Arial" w:hAnsi="Arial" w:eastAsia="Arial"/>
          <w:b/>
          <w:i w:val="0"/>
          <w:color w:val="1A1A1A"/>
          <w:sz w:val="24"/>
        </w:rPr>
        <w:t>CRM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Configuração e manutenção do CRM ativo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Fluxos de cadência e automações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Análise do pipeline e conversão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Tracking WhatsApp (MQL → SQL → Vendas)</w:t>
      </w:r>
    </w:p>
    <w:p>
      <w:pPr>
        <w:spacing w:before="240" w:after="120"/>
      </w:pPr>
      <w:r>
        <w:rPr>
          <w:rFonts w:ascii="Arial" w:hAnsi="Arial" w:eastAsia="Arial"/>
          <w:b/>
          <w:i w:val="0"/>
          <w:color w:val="CC0000"/>
          <w:sz w:val="26"/>
        </w:rPr>
        <w:t>Incluso neste ciclo (setup técnico)</w:t>
      </w:r>
    </w:p>
    <w:p>
      <w:pPr>
        <w:spacing w:after="120"/>
      </w:pPr>
      <w:r>
        <w:rPr>
          <w:rFonts w:ascii="Arial" w:hAnsi="Arial" w:eastAsia="Arial"/>
          <w:b w:val="0"/>
          <w:i w:val="0"/>
          <w:color w:val="555555"/>
          <w:sz w:val="22"/>
        </w:rPr>
        <w:t>Adicional de R$ 5.000,00 em relação ao pacote base, já embutido na proposta abaixo: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Implementação de Landing Page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Tracking + rastreamento completo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Tracking WhatsApp · MQL → SQL → Vendas</w:t>
      </w:r>
    </w:p>
    <w:p>
      <w:pPr>
        <w:spacing w:before="360" w:after="120"/>
      </w:pPr>
      <w:r>
        <w:rPr>
          <w:rFonts w:ascii="Arial" w:hAnsi="Arial" w:eastAsia="Arial"/>
          <w:b/>
          <w:i w:val="0"/>
          <w:color w:val="CC0000"/>
          <w:sz w:val="32"/>
        </w:rPr>
        <w:t>7. A jornada — 6 meses</w:t>
      </w:r>
    </w:p>
    <w:p>
      <w:pPr>
        <w:spacing w:after="20"/>
      </w:pPr>
      <w:r>
        <w:rPr>
          <w:rFonts w:ascii="Arial" w:hAnsi="Arial" w:eastAsia="Arial"/>
          <w:b/>
          <w:i w:val="0"/>
          <w:color w:val="1A1A1A"/>
          <w:sz w:val="22"/>
        </w:rPr>
        <w:t>Mês 1 — Onboarding + Diagnóstico</w:t>
      </w:r>
    </w:p>
    <w:p>
      <w:pPr>
        <w:spacing w:after="160"/>
      </w:pPr>
      <w:r>
        <w:rPr>
          <w:rFonts w:ascii="Arial" w:hAnsi="Arial" w:eastAsia="Arial"/>
          <w:b w:val="0"/>
          <w:i w:val="0"/>
          <w:color w:val="555555"/>
          <w:sz w:val="22"/>
        </w:rPr>
        <w:t>Kickoff, maturidade GTM e definição de prioridades do ciclo. Setup de LP e tracking.</w:t>
      </w:r>
    </w:p>
    <w:p>
      <w:pPr>
        <w:spacing w:after="20"/>
      </w:pPr>
      <w:r>
        <w:rPr>
          <w:rFonts w:ascii="Arial" w:hAnsi="Arial" w:eastAsia="Arial"/>
          <w:b/>
          <w:i w:val="0"/>
          <w:color w:val="1A1A1A"/>
          <w:sz w:val="22"/>
        </w:rPr>
        <w:t>Mês 2 — EE Completa</w:t>
      </w:r>
    </w:p>
    <w:p>
      <w:pPr>
        <w:spacing w:after="160"/>
      </w:pPr>
      <w:r>
        <w:rPr>
          <w:rFonts w:ascii="Arial" w:hAnsi="Arial" w:eastAsia="Arial"/>
          <w:b w:val="0"/>
          <w:i w:val="0"/>
          <w:color w:val="555555"/>
          <w:sz w:val="22"/>
        </w:rPr>
        <w:t>Estruturação: 3P-IA, posicionamento e canal de vendas ativo.</w:t>
      </w:r>
    </w:p>
    <w:p>
      <w:pPr>
        <w:spacing w:after="20"/>
      </w:pPr>
      <w:r>
        <w:rPr>
          <w:rFonts w:ascii="Arial" w:hAnsi="Arial" w:eastAsia="Arial"/>
          <w:b/>
          <w:i w:val="0"/>
          <w:color w:val="1A1A1A"/>
          <w:sz w:val="22"/>
        </w:rPr>
        <w:t>Mês 3 — Consultoria + Conteúdo</w:t>
      </w:r>
    </w:p>
    <w:p>
      <w:pPr>
        <w:spacing w:after="160"/>
      </w:pPr>
      <w:r>
        <w:rPr>
          <w:rFonts w:ascii="Arial" w:hAnsi="Arial" w:eastAsia="Arial"/>
          <w:b w:val="0"/>
          <w:i w:val="0"/>
          <w:color w:val="555555"/>
          <w:sz w:val="22"/>
        </w:rPr>
        <w:t>Squad de conteúdo em produção assistida + consultoria mensal.</w:t>
      </w:r>
    </w:p>
    <w:p>
      <w:pPr>
        <w:spacing w:after="20"/>
      </w:pPr>
      <w:r>
        <w:rPr>
          <w:rFonts w:ascii="Arial" w:hAnsi="Arial" w:eastAsia="Arial"/>
          <w:b/>
          <w:i w:val="0"/>
          <w:color w:val="1A1A1A"/>
          <w:sz w:val="22"/>
        </w:rPr>
        <w:t>Mês 4 — Mídia + Performance</w:t>
      </w:r>
    </w:p>
    <w:p>
      <w:pPr>
        <w:spacing w:after="160"/>
      </w:pPr>
      <w:r>
        <w:rPr>
          <w:rFonts w:ascii="Arial" w:hAnsi="Arial" w:eastAsia="Arial"/>
          <w:b w:val="0"/>
          <w:i w:val="0"/>
          <w:color w:val="555555"/>
          <w:sz w:val="22"/>
        </w:rPr>
        <w:t>Squad de mídia paga: campanhas, pixel, tracking e otimização de canais.</w:t>
      </w:r>
    </w:p>
    <w:p>
      <w:pPr>
        <w:spacing w:after="20"/>
      </w:pPr>
      <w:r>
        <w:rPr>
          <w:rFonts w:ascii="Arial" w:hAnsi="Arial" w:eastAsia="Arial"/>
          <w:b/>
          <w:i w:val="0"/>
          <w:color w:val="1A1A1A"/>
          <w:sz w:val="22"/>
        </w:rPr>
        <w:t>Mês 5/6 — Comercial + CRM</w:t>
      </w:r>
    </w:p>
    <w:p>
      <w:pPr>
        <w:spacing w:after="160"/>
      </w:pPr>
      <w:r>
        <w:rPr>
          <w:rFonts w:ascii="Arial" w:hAnsi="Arial" w:eastAsia="Arial"/>
          <w:b w:val="0"/>
          <w:i w:val="0"/>
          <w:color w:val="555555"/>
          <w:sz w:val="22"/>
        </w:rPr>
        <w:t>Scripts, follow-up, pipeline WhatsApp e monetização do funil completo.</w:t>
      </w:r>
    </w:p>
    <w:p>
      <w:pPr>
        <w:spacing w:after="120"/>
      </w:pPr>
      <w:r>
        <w:rPr>
          <w:rFonts w:ascii="Arial" w:hAnsi="Arial" w:eastAsia="Arial"/>
          <w:b w:val="0"/>
          <w:i/>
          <w:color w:val="1A1A1A"/>
          <w:sz w:val="22"/>
        </w:rPr>
        <w:t>O ciclo se renova após o 6º mês.</w:t>
      </w:r>
    </w:p>
    <w:p>
      <w:pPr>
        <w:spacing w:before="360" w:after="120"/>
      </w:pPr>
      <w:r>
        <w:rPr>
          <w:rFonts w:ascii="Arial" w:hAnsi="Arial" w:eastAsia="Arial"/>
          <w:b/>
          <w:i w:val="0"/>
          <w:color w:val="CC0000"/>
          <w:sz w:val="32"/>
        </w:rPr>
        <w:t>8. Ao longo do programa</w:t>
      </w:r>
    </w:p>
    <w:p>
      <w:pPr>
        <w:spacing w:after="20"/>
      </w:pPr>
      <w:r>
        <w:rPr>
          <w:rFonts w:ascii="Arial" w:hAnsi="Arial" w:eastAsia="Arial"/>
          <w:b/>
          <w:i w:val="0"/>
          <w:color w:val="1A1A1A"/>
          <w:sz w:val="22"/>
        </w:rPr>
        <w:t>Comunidade privada</w:t>
      </w:r>
    </w:p>
    <w:p>
      <w:pPr>
        <w:spacing w:after="160"/>
      </w:pPr>
      <w:r>
        <w:rPr>
          <w:rFonts w:ascii="Arial" w:hAnsi="Arial" w:eastAsia="Arial"/>
          <w:b w:val="0"/>
          <w:i w:val="0"/>
          <w:color w:val="555555"/>
          <w:sz w:val="22"/>
        </w:rPr>
        <w:t>Peers do mesmo segmento. Troca de experiências, benchmarks e networking qualificado.</w:t>
      </w:r>
    </w:p>
    <w:p>
      <w:pPr>
        <w:spacing w:after="20"/>
      </w:pPr>
      <w:r>
        <w:rPr>
          <w:rFonts w:ascii="Arial" w:hAnsi="Arial" w:eastAsia="Arial"/>
          <w:b/>
          <w:i w:val="0"/>
          <w:color w:val="1A1A1A"/>
          <w:sz w:val="22"/>
        </w:rPr>
        <w:t>Mentorias coletivas mensais</w:t>
      </w:r>
    </w:p>
    <w:p>
      <w:pPr>
        <w:spacing w:after="160"/>
      </w:pPr>
      <w:r>
        <w:rPr>
          <w:rFonts w:ascii="Arial" w:hAnsi="Arial" w:eastAsia="Arial"/>
          <w:b w:val="0"/>
          <w:i w:val="0"/>
          <w:color w:val="555555"/>
          <w:sz w:val="22"/>
        </w:rPr>
        <w:t>Lives temáticas alinhadas ao calendário comercial, com aplicação direta no negócio.</w:t>
      </w:r>
    </w:p>
    <w:p>
      <w:pPr>
        <w:spacing w:after="20"/>
      </w:pPr>
      <w:r>
        <w:rPr>
          <w:rFonts w:ascii="Arial" w:hAnsi="Arial" w:eastAsia="Arial"/>
          <w:b/>
          <w:i w:val="0"/>
          <w:color w:val="1A1A1A"/>
          <w:sz w:val="22"/>
        </w:rPr>
        <w:t>Plataforma de conteúdo</w:t>
      </w:r>
    </w:p>
    <w:p>
      <w:pPr>
        <w:spacing w:after="160"/>
      </w:pPr>
      <w:r>
        <w:rPr>
          <w:rFonts w:ascii="Arial" w:hAnsi="Arial" w:eastAsia="Arial"/>
          <w:b w:val="0"/>
          <w:i w:val="0"/>
          <w:color w:val="555555"/>
          <w:sz w:val="22"/>
        </w:rPr>
        <w:t>Trilhas, templates e playbooks por especialidade e fase da jornada.</w:t>
      </w:r>
    </w:p>
    <w:p>
      <w:pPr>
        <w:spacing w:after="20"/>
      </w:pPr>
      <w:r>
        <w:rPr>
          <w:rFonts w:ascii="Arial" w:hAnsi="Arial" w:eastAsia="Arial"/>
          <w:b/>
          <w:i w:val="0"/>
          <w:color w:val="1A1A1A"/>
          <w:sz w:val="22"/>
        </w:rPr>
        <w:t>Fábrica de Receita</w:t>
      </w:r>
    </w:p>
    <w:p>
      <w:pPr>
        <w:spacing w:after="160"/>
      </w:pPr>
      <w:r>
        <w:rPr>
          <w:rFonts w:ascii="Arial" w:hAnsi="Arial" w:eastAsia="Arial"/>
          <w:b w:val="0"/>
          <w:i w:val="0"/>
          <w:color w:val="555555"/>
          <w:sz w:val="22"/>
        </w:rPr>
        <w:t>Imersão presencial inclusa: hot seats, cases reais e workshops.</w:t>
      </w:r>
    </w:p>
    <w:p>
      <w:pPr>
        <w:spacing w:before="360" w:after="120"/>
      </w:pPr>
      <w:r>
        <w:rPr>
          <w:rFonts w:ascii="Arial" w:hAnsi="Arial" w:eastAsia="Arial"/>
          <w:b/>
          <w:i w:val="0"/>
          <w:color w:val="CC0000"/>
          <w:sz w:val="32"/>
        </w:rPr>
        <w:t>9. Investimento</w:t>
      </w:r>
    </w:p>
    <w:p>
      <w:pPr>
        <w:spacing w:after="120"/>
      </w:pPr>
      <w:r>
        <w:rPr>
          <w:rFonts w:ascii="Arial" w:hAnsi="Arial" w:eastAsia="Arial"/>
          <w:b w:val="0"/>
          <w:i w:val="0"/>
          <w:color w:val="555555"/>
          <w:sz w:val="22"/>
        </w:rPr>
        <w:t>Política de preço — Empresa que Vende (formato semestral) · Pedrini e Azevedo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2"/>
              </w:rPr>
              <w:t>Estruturação Estratégica (EE) — valor pago</w:t>
            </w:r>
          </w:p>
        </w:tc>
        <w:tc>
          <w:tcPr>
            <w:tcW w:type="dxa" w:w="470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2"/>
              </w:rPr>
              <w:t>R$ 15.000,00</w:t>
            </w:r>
          </w:p>
        </w:tc>
      </w:tr>
      <w:tr>
        <w:tc>
          <w:tcPr>
            <w:tcW w:type="dxa" w:w="470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2"/>
              </w:rPr>
              <w:t>Cashback EE na compra do EQV</w:t>
            </w:r>
          </w:p>
        </w:tc>
        <w:tc>
          <w:tcPr>
            <w:tcW w:type="dxa" w:w="470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CC0000"/>
                <w:sz w:val="22"/>
              </w:rPr>
              <w:t>– R$ 15.000,00</w:t>
            </w:r>
          </w:p>
        </w:tc>
      </w:tr>
      <w:tr>
        <w:tc>
          <w:tcPr>
            <w:tcW w:type="dxa" w:w="4706"/>
            <w:shd w:fill="CC0000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À vista (com cashback EE)</w:t>
            </w:r>
          </w:p>
        </w:tc>
        <w:tc>
          <w:tcPr>
            <w:tcW w:type="dxa" w:w="4706"/>
            <w:shd w:fill="CC0000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R$ 22.000</w:t>
            </w:r>
          </w:p>
        </w:tc>
      </w:tr>
      <w:tr>
        <w:tc>
          <w:tcPr>
            <w:tcW w:type="dxa" w:w="4706"/>
            <w:shd w:fill="CC0000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Parcelado</w:t>
            </w:r>
          </w:p>
        </w:tc>
        <w:tc>
          <w:tcPr>
            <w:tcW w:type="dxa" w:w="4706"/>
            <w:shd w:fill="CC0000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6x R$ 3.733,33  (total R$ 22.400)</w:t>
            </w:r>
          </w:p>
        </w:tc>
      </w:tr>
    </w:tbl>
    <w:p>
      <w:pPr>
        <w:spacing w:after="80"/>
      </w:pPr>
      <w:r>
        <w:rPr>
          <w:rFonts w:ascii="Arial" w:hAnsi="Arial" w:eastAsia="Arial"/>
          <w:b w:val="0"/>
          <w:i w:val="0"/>
          <w:color w:val="1A1A1A"/>
          <w:sz w:val="22"/>
        </w:rPr>
      </w:r>
    </w:p>
    <w:p>
      <w:pPr>
        <w:spacing w:after="120"/>
      </w:pPr>
      <w:r>
        <w:rPr>
          <w:rFonts w:ascii="Arial" w:hAnsi="Arial" w:eastAsia="Arial"/>
          <w:b w:val="0"/>
          <w:i w:val="0"/>
          <w:color w:val="555555"/>
          <w:sz w:val="20"/>
        </w:rPr>
        <w:t>Composição: pacote base R$ 17.000 + setup técnico R$ 5.000 (LP · Tracking · WhatsApp MQL → SQL → Vendas).</w:t>
      </w:r>
    </w:p>
    <w:p>
      <w:pPr>
        <w:spacing w:after="120"/>
      </w:pPr>
      <w:r>
        <w:rPr>
          <w:rFonts w:ascii="Arial" w:hAnsi="Arial" w:eastAsia="Arial"/>
          <w:b/>
          <w:i w:val="0"/>
          <w:color w:val="1A1A1A"/>
          <w:sz w:val="20"/>
        </w:rPr>
        <w:t>Setup técnico incluso no valor acima.</w:t>
      </w:r>
    </w:p>
    <w:p>
      <w:pPr>
        <w:spacing w:before="360" w:after="120"/>
      </w:pPr>
      <w:r>
        <w:rPr>
          <w:rFonts w:ascii="Arial" w:hAnsi="Arial" w:eastAsia="Arial"/>
          <w:b/>
          <w:i w:val="0"/>
          <w:color w:val="CC0000"/>
          <w:sz w:val="32"/>
        </w:rPr>
        <w:t>10. Próximo passo</w:t>
      </w:r>
    </w:p>
    <w:p>
      <w:pPr>
        <w:spacing w:after="120"/>
      </w:pPr>
      <w:r>
        <w:rPr>
          <w:rFonts w:ascii="Arial" w:hAnsi="Arial" w:eastAsia="Arial"/>
          <w:b w:val="0"/>
          <w:i w:val="0"/>
          <w:color w:val="1A1A1A"/>
          <w:sz w:val="22"/>
        </w:rPr>
        <w:t>Qualifique a Pedrini e Azevedo Advocacia para o Empresa que Vende.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Devolutiva de valores — sexta-feira, 11h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Fale com um especialista V4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v4.empresaquevende.com.br</w:t>
      </w:r>
    </w:p>
    <w:p>
      <w:pPr>
        <w:spacing w:after="120"/>
      </w:pPr>
      <w:r>
        <w:rPr>
          <w:rFonts w:ascii="Arial" w:hAnsi="Arial" w:eastAsia="Arial"/>
          <w:b w:val="0"/>
          <w:i w:val="0"/>
          <w:color w:val="1A1A1A"/>
          <w:sz w:val="22"/>
        </w:rPr>
      </w:r>
    </w:p>
    <w:p>
      <w:pPr>
        <w:spacing w:after="120"/>
        <w:jc w:val="center"/>
      </w:pPr>
      <w:r>
        <w:rPr>
          <w:rFonts w:ascii="Arial" w:hAnsi="Arial" w:eastAsia="Arial"/>
          <w:b w:val="0"/>
          <w:i w:val="0"/>
          <w:color w:val="555555"/>
          <w:sz w:val="18"/>
        </w:rPr>
        <w:t>V4 Company · Empresa que Vende · 2026 · Pedrini e Azevedo Advocacia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