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Calibri"/>
          <w:b/>
          <w:i w:val="0"/>
          <w:color w:val="A10F14"/>
          <w:sz w:val="18"/>
        </w:rPr>
        <w:t>PROPOSTA COMERCIAL  ·  USO DO CLIENTE</w:t>
      </w:r>
    </w:p>
    <w:p>
      <w:pPr>
        <w:spacing w:after="0"/>
        <w:jc w:val="center"/>
      </w:pPr>
      <w:r>
        <w:rPr>
          <w:rFonts w:ascii="Calibri" w:hAnsi="Calibri" w:eastAsia="Calibri"/>
          <w:b/>
          <w:i w:val="0"/>
          <w:color w:val="A10F14"/>
          <w:sz w:val="44"/>
        </w:rPr>
        <w:t>Estação Delta Emergência &amp; Facilities</w:t>
      </w:r>
    </w:p>
    <w:p>
      <w:pPr>
        <w:spacing w:after="160"/>
        <w:jc w:val="center"/>
      </w:pPr>
      <w:r>
        <w:rPr>
          <w:rFonts w:ascii="Calibri" w:hAnsi="Calibri" w:eastAsia="Calibri"/>
          <w:b w:val="0"/>
          <w:i w:val="0"/>
          <w:color w:val="4B4B4B"/>
          <w:sz w:val="24"/>
        </w:rPr>
        <w:t>Estruturação Comercial V4 — o que resolve, o que entrega e por que o investimento se paga</w:t>
      </w:r>
    </w:p>
    <w:p>
      <w:pPr>
        <w:shd w:fill="A10F14" w:val="clear"/>
        <w:spacing w:before="80" w:after="200"/>
        <w:jc w:val="center"/>
      </w:pPr>
      <w:r>
        <w:rPr>
          <w:rFonts w:ascii="Calibri" w:hAnsi="Calibri" w:eastAsia="Calibri"/>
          <w:b/>
          <w:i w:val="0"/>
          <w:color w:val="FFFFFF"/>
          <w:sz w:val="22"/>
        </w:rPr>
        <w:t>DE R$ 20.283,13  →  CONDIÇÃO ESPECIAL 12× DE R$ 845,13  ·  VÁLIDA ATÉ 30/07</w:t>
      </w:r>
    </w:p>
    <w:p>
      <w:pPr>
        <w:spacing w:after="120" w:line="288" w:lineRule="auto"/>
        <w:jc w:val="center"/>
      </w:pPr>
      <w:r>
        <w:rPr>
          <w:rFonts w:ascii="Calibri" w:hAnsi="Calibri" w:eastAsia="Calibri"/>
          <w:b w:val="0"/>
          <w:i w:val="0"/>
          <w:color w:val="4B4B4B"/>
          <w:sz w:val="22"/>
        </w:rPr>
        <w:t>Este documento resume, de forma objetiva, como a Estruturação Comercial resolve os gargalos que travam o ROI da Delta — e por que a condição especial torna a decisão prática agora.</w:t>
      </w:r>
    </w:p>
    <w:p>
      <w:pPr>
        <w:pBdr>
          <w:bottom w:val="single" w:sz="18" w:space="1" w:color="A10F14"/>
        </w:pBdr>
        <w:spacing w:before="40" w:after="160"/>
      </w:pP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1. O problema real (e o que a EC resolve)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A Delta já validou o ROI. O desafio não é acreditar no retorno — é ter a estrutura comercial para capturar esse retorno no dia a dia. Sem isso, a projeção fica pronta e a operação continua vazando oportunidade.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O que trava o resultado hoje</w:t>
            </w:r>
          </w:p>
        </w:tc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Como a Estruturação Comercial resolve</w:t>
            </w:r>
          </w:p>
        </w:tc>
      </w:tr>
      <w:tr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Lead e indicação caem no WhatsApp sem dono</w:t>
            </w:r>
          </w:p>
        </w:tc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Toda oportunidade ganha responsável, prazo e próximo passo no CRM</w:t>
            </w:r>
          </w:p>
        </w:tc>
      </w:tr>
      <w:tr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Proposta sai e o follow-up some</w:t>
            </w:r>
          </w:p>
        </w:tc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Cadência rígida pós-proposta + scripts de retomada até o fechamento</w:t>
            </w:r>
          </w:p>
        </w:tc>
      </w:tr>
      <w:tr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Time vende no feeling, sem padrão</w:t>
            </w:r>
          </w:p>
        </w:tc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Playbooks, papéis claros e treinamento para o time operar igual</w:t>
            </w:r>
          </w:p>
        </w:tc>
      </w:tr>
      <w:tr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Sócio não enxerga o pipeline da semana</w:t>
            </w:r>
          </w:p>
        </w:tc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Funil, KPIs e rituais de gestão com visão gerencial em tempo real</w:t>
            </w:r>
          </w:p>
        </w:tc>
      </w:tr>
      <w:tr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Mistura emergência × facilities no mesmo discurso</w:t>
            </w:r>
          </w:p>
        </w:tc>
        <w:tc>
          <w:tcPr>
            <w:tcW w:type="dxa" w:w="5100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ICP, argumentos e critérios separados por linha de serviço</w:t>
            </w:r>
          </w:p>
        </w:tc>
      </w:tr>
      <w:tr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0"/>
              </w:rPr>
              <w:t>Quer crescer, mas a casa ainda não está pronta</w:t>
            </w:r>
          </w:p>
        </w:tc>
        <w:tc>
          <w:tcPr>
            <w:tcW w:type="dxa" w:w="5100"/>
            <w:shd w:fill="F7F7F7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Base instalada primeiro — depois escala com conversão sob controle</w:t>
            </w:r>
          </w:p>
        </w:tc>
      </w:tr>
    </w:tbl>
    <w:p/>
    <w:p>
      <w:pPr>
        <w:shd w:fill="F8E8E8" w:val="clear"/>
        <w:spacing w:before="120" w:after="0"/>
      </w:pPr>
      <w:r>
        <w:rPr>
          <w:rFonts w:ascii="Calibri" w:hAnsi="Calibri" w:eastAsia="Calibri"/>
          <w:b/>
          <w:i w:val="0"/>
          <w:color w:val="A10F14"/>
          <w:sz w:val="20"/>
        </w:rPr>
        <w:t>PONTO FORTE #1 — RESOLVE A CAUSA, NÃO O SINTOMA</w:t>
      </w:r>
    </w:p>
    <w:p>
      <w:pPr>
        <w:shd w:fill="F8E8E8" w:val="clear"/>
        <w:spacing w:after="16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Em vez de só “gerar mais demanda”, a EC veda o vazamento: conversão, velocidade, follow-up e previsibilidade. É isso que faz o ROI sair da planilha.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2. 12 pontos fortes da EC para a Estação Delta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Cada ponto abaixo existe para defender uma parte do ROI de vocês: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1. Conversão imediata da demanda atual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Antes de gastar mais em atração, vocês passam a fechar melhor o que já chega — indicação, urgência e relacionamento.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2. SLA de resposta como vantagem competitiva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Em emergência, quem responde primeiro fecha. SLA deixa de ser “boa intenção” e vira regra do time.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3. Follow-up que não depende de memória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Cadência automática + ritual: nenhuma proposta fica órfã. Menos silêncio, mais retomada, mais contrato.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4. CRM operativo de verdade (incluso)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Não é “ter CRM”. É pipe, campos, automação e dashboard — bonificado no projeto, sem custo extra de setup.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5. ICP por serviço = menos esforço desperdiçado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Emergência e facilities têm margem, ciclo e discurso diferentes. O time para de atirar para todo lado.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6. Playbooks que tiram o comercial da cabeça de uma pessoa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O fechamento vira padrão treinável. Reduz dependência de “herói” e aumenta previsibilidade.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7. Motivos de perda para corrigir a rota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Vocês passam a saber se perdem por preço, prazo, escopo ou concorrência — e ajustam com dado.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8. Rituais leves de gestão (daily/weekly)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15 minutos com pauta e dono. Sócio vê o que fecha na semana sem perseguir informação no grupo.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9. Treinamento + adoção (não PDF na gaveta)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Imersão, roleplay e acompanhamento. Consideramos entregue quando o time usa — não quando o documento existe.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10. Base pronta para o próximo nível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Quando a casa estiver organizada, acelerar volume faz sentido e preserva margem.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11. Investimento que habilita o ROI (não compete com ele)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A EC é o motor do plano. Sem motor, combustível não adianta.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12. Condição especial que cabe no momento da Delta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12× de R$ 845,13 ativa a fundação com previsibilidade de caixa — válida até 30/07.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3. Pacote completo — tudo que resolve com este valor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Com a Estruturação Comercial, a Delta leva um sistema inteiro, não pedaços soltos: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Fundação + Processo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Diagnóstico de funil e gargalos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ICP por linha de serviço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Metas, KPIs e SLAs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Papéis (quem prospecta / fecha / gerencia)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Playbooks e scripts de abordagem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Cadência de follow-up pós-proposta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Modelo de proposta padronizada</w:t>
            </w:r>
          </w:p>
        </w:tc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2"/>
              </w:rPr>
              <w:t>CRM + Time + Gestão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CRM operativo bonificado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Pipes, canais e automações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Dashboards de conversão e ciclo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Pré-qualificação e motivos de perda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Rituais daily/weekly com pauta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Treinamento + roleplay de objeções</w:t>
            </w:r>
          </w:p>
          <w:p>
            <w:pPr>
              <w:spacing w:after="40"/>
            </w:pPr>
            <w:r>
              <w:rPr>
                <w:rFonts w:ascii="Calibri" w:hAnsi="Calibri" w:eastAsia="Calibri"/>
                <w:b w:val="0"/>
                <w:i w:val="0"/>
                <w:color w:val="191919"/>
                <w:sz w:val="20"/>
              </w:rPr>
              <w:t>✓ Acompanhamento de adoção inicial</w:t>
            </w:r>
          </w:p>
        </w:tc>
      </w:tr>
    </w:tbl>
    <w:p/>
    <w:p>
      <w:pPr>
        <w:shd w:fill="F8E8E8" w:val="clear"/>
        <w:spacing w:before="120" w:after="0"/>
      </w:pPr>
      <w:r>
        <w:rPr>
          <w:rFonts w:ascii="Calibri" w:hAnsi="Calibri" w:eastAsia="Calibri"/>
          <w:b/>
          <w:i w:val="0"/>
          <w:color w:val="A10F14"/>
          <w:sz w:val="20"/>
        </w:rPr>
        <w:t>PONTO FORTE #2 — TUDO NO MESMO INVESTIMENTO</w:t>
      </w:r>
    </w:p>
    <w:p>
      <w:pPr>
        <w:shd w:fill="F8E8E8" w:val="clear"/>
        <w:spacing w:after="16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Diagnóstico, processo, CRM, playbooks, rituais e treinamento entram juntos. Vocês não precisam montar a solução por partes — a EC já fecha o ciclo do comercial.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4. Como este valor se paga no ROI da Delta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A lógica é direta: se a EC recupera oportunidades que hoje esfriam, o investimento se dilui rápido.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Mais conversão no funil atual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cada proposta retomada com método aumenta a taxa de fechamento sem custo extra de mídia.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Mais velocidade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resposta no prazo certo em emergência evita perder para concorrente mais rápido.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Mais previsibilidade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sócio enxerga o pipeline e prioriza o que fecha na semana.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Mais capacidade de escala —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a Delta fica pronta para crescer sem multiplicar caos.</w:t>
      </w:r>
    </w:p>
    <w:p>
      <w:pPr>
        <w:shd w:fill="F8E8E8" w:val="clear"/>
        <w:spacing w:before="120" w:after="0"/>
      </w:pPr>
      <w:r>
        <w:rPr>
          <w:rFonts w:ascii="Calibri" w:hAnsi="Calibri" w:eastAsia="Calibri"/>
          <w:b/>
          <w:i w:val="0"/>
          <w:color w:val="A10F14"/>
          <w:sz w:val="20"/>
        </w:rPr>
        <w:t>PONTO FORTE #3 — ALAVANCA MAIS BARATA AGORA</w:t>
      </w:r>
    </w:p>
    <w:p>
      <w:pPr>
        <w:shd w:fill="F8E8E8" w:val="clear"/>
        <w:spacing w:after="16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Melhorar conversão do que já chega eleva o retorno do plano de ROI sem exigir aumento de investimento em atração. A EC ataca exatamente essa alavanca.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5. Investimento e desconto especial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Valor do projeto de Estruturação Comercial: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F5F5F5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2"/>
              </w:rPr>
              <w:t>Valor cheio do projeto</w:t>
            </w:r>
          </w:p>
        </w:tc>
        <w:tc>
          <w:tcPr>
            <w:tcW w:type="dxa" w:w="5100"/>
            <w:shd w:fill="F5F5F5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2"/>
              </w:rPr>
              <w:t>R$ 20.283,13</w:t>
            </w:r>
          </w:p>
        </w:tc>
      </w:tr>
      <w:tr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4"/>
              </w:rPr>
              <w:t>Condição especial (com desconto)</w:t>
            </w:r>
          </w:p>
        </w:tc>
        <w:tc>
          <w:tcPr>
            <w:tcW w:type="dxa" w:w="5100"/>
            <w:shd w:fill="A10F14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28"/>
              </w:rPr>
              <w:t>12× de R$ 845,13</w:t>
            </w:r>
          </w:p>
        </w:tc>
      </w:tr>
      <w:tr>
        <w:tc>
          <w:tcPr>
            <w:tcW w:type="dxa" w:w="5100"/>
            <w:shd w:fill="F5F5F5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2"/>
              </w:rPr>
              <w:t>Total na condição especial</w:t>
            </w:r>
          </w:p>
        </w:tc>
        <w:tc>
          <w:tcPr>
            <w:tcW w:type="dxa" w:w="5100"/>
            <w:shd w:fill="F5F5F5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 w:val="0"/>
                <w:i w:val="0"/>
                <w:color w:val="4B4B4B"/>
                <w:sz w:val="22"/>
              </w:rPr>
              <w:t>R$ 10.141,56</w:t>
            </w:r>
          </w:p>
        </w:tc>
      </w:tr>
      <w:tr>
        <w:tc>
          <w:tcPr>
            <w:tcW w:type="dxa" w:w="5100"/>
            <w:shd w:fill="EAF7EF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F6E3C"/>
                <w:sz w:val="22"/>
              </w:rPr>
              <w:t>Economia imediata</w:t>
            </w:r>
          </w:p>
        </w:tc>
        <w:tc>
          <w:tcPr>
            <w:tcW w:type="dxa" w:w="5100"/>
            <w:shd w:fill="EAF7EF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0F6E3C"/>
                <w:sz w:val="22"/>
              </w:rPr>
              <w:t>R$ 10.141,57 (≈ 50% off)</w:t>
            </w:r>
          </w:p>
        </w:tc>
      </w:tr>
      <w:tr>
        <w:tc>
          <w:tcPr>
            <w:tcW w:type="dxa" w:w="5100"/>
            <w:shd w:fill="FDECEC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A10F14"/>
                <w:sz w:val="22"/>
              </w:rPr>
              <w:t>Validade da condição</w:t>
            </w:r>
          </w:p>
        </w:tc>
        <w:tc>
          <w:tcPr>
            <w:tcW w:type="dxa" w:w="5100"/>
            <w:shd w:fill="FDECEC" w:val="clear"/>
            <w:tcMar>
              <w:top w:w="70" w:type="dxa"/>
              <w:left w:w="90" w:type="dxa"/>
              <w:bottom w:w="70" w:type="dxa"/>
              <w:right w:w="90" w:type="dxa"/>
            </w:tcMar>
          </w:tcPr>
          <w:p>
            <w:r/>
            <w:r>
              <w:rPr>
                <w:rFonts w:ascii="Calibri" w:hAnsi="Calibri" w:eastAsia="Calibri"/>
                <w:b/>
                <w:i w:val="0"/>
                <w:color w:val="A10F14"/>
                <w:sz w:val="22"/>
              </w:rPr>
              <w:t>Até 30/07</w:t>
            </w:r>
          </w:p>
        </w:tc>
      </w:tr>
    </w:tbl>
    <w:p/>
    <w:p>
      <w:pPr>
        <w:spacing w:after="120" w:line="288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Tradução prática: cerca de R$ 845 por mês, em 12 parcelas, para instalar a máquina comercial que o ROI da Delta precisa para acontecer.</w:t>
      </w:r>
    </w:p>
    <w:p>
      <w:pPr>
        <w:spacing w:after="12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Uma única proposta/contrato que deixa de vazar no funil já começa a justificar o investimento. Adiar a estrutura é adiar o payback que vocês já entenderam.</w:t>
      </w:r>
    </w:p>
    <w:p>
      <w:pPr>
        <w:shd w:fill="FDECEC" w:val="clear"/>
        <w:spacing w:before="80" w:after="200"/>
      </w:pPr>
      <w:r>
        <w:rPr>
          <w:rFonts w:ascii="Calibri" w:hAnsi="Calibri" w:eastAsia="Calibri"/>
          <w:b/>
          <w:i w:val="0"/>
          <w:color w:val="A10F14"/>
          <w:sz w:val="22"/>
        </w:rPr>
        <w:t>CONDIÇÃO ESPECIAL DISPONÍVEL SOMENTE ATÉ 30/07. Depois dessa data, retorna o valor padrão do projeto.</w:t>
      </w:r>
    </w:p>
    <w:p>
      <w:pPr>
        <w:shd w:fill="F8E8E8" w:val="clear"/>
        <w:spacing w:before="120" w:after="0"/>
      </w:pPr>
      <w:r>
        <w:rPr>
          <w:rFonts w:ascii="Calibri" w:hAnsi="Calibri" w:eastAsia="Calibri"/>
          <w:b/>
          <w:i w:val="0"/>
          <w:color w:val="A10F14"/>
          <w:sz w:val="20"/>
        </w:rPr>
        <w:t>PONTO FORTE #4 — DESCONTO QUE VIABILIZA A DECISÃO AGORA</w:t>
      </w:r>
    </w:p>
    <w:p>
      <w:pPr>
        <w:shd w:fill="F8E8E8" w:val="clear"/>
        <w:spacing w:after="160" w:line="288" w:lineRule="auto"/>
      </w:pPr>
      <w:r>
        <w:rPr>
          <w:rFonts w:ascii="Calibri" w:hAnsi="Calibri" w:eastAsia="Calibri"/>
          <w:b w:val="0"/>
          <w:i w:val="0"/>
          <w:color w:val="191919"/>
          <w:sz w:val="22"/>
        </w:rPr>
        <w:t>A condição 12× de R$ 845,13 foi desenhada para a Delta ativar a fundação comercial com previsibilidade de caixa — sem comprometer a operação e sem esperar o “momento perfeito” que posterga o ROI.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6. Por que decidir até 30/07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Prazo: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trava a condição especial e acelera o início da estrutura.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Custo de esperar: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cada semana sem processo é semana a mais de oportunidade esfriando.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Sequência: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quanto antes a casa estiver pronta, antes o plano de ROI começa a ser capturado de verdade.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Clareza: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depois de 30/07 a condição especial deixa de valer.</w:t>
      </w:r>
    </w:p>
    <w:p>
      <w:pPr>
        <w:spacing w:before="240" w:after="120"/>
      </w:pPr>
      <w:r>
        <w:rPr>
          <w:rFonts w:ascii="Calibri" w:hAnsi="Calibri" w:eastAsia="Calibri"/>
          <w:b/>
          <w:i w:val="0"/>
          <w:color w:val="A10F14"/>
          <w:sz w:val="32"/>
        </w:rPr>
        <w:t>7. Como contratamos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1.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Validar este documento e a condição especial 12× de R$ 845,13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2.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Formalizar contrato e definir data de kick-off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3.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Liberar acessos para diagnóstico e mapa do funil</w:t>
      </w:r>
    </w:p>
    <w:p>
      <w:pPr>
        <w:pStyle w:val="ListBullet"/>
        <w:spacing w:after="40" w:line="276" w:lineRule="auto"/>
      </w:pPr>
      <w:r>
        <w:rPr>
          <w:rFonts w:ascii="Calibri" w:hAnsi="Calibri" w:eastAsia="Calibri"/>
          <w:b/>
          <w:i w:val="0"/>
          <w:color w:val="191919"/>
          <w:sz w:val="22"/>
        </w:rPr>
        <w:t>4.</w:t>
      </w:r>
      <w:r>
        <w:rPr>
          <w:rFonts w:ascii="Calibri" w:hAnsi="Calibri" w:eastAsia="Calibri"/>
          <w:b w:val="0"/>
          <w:i w:val="0"/>
          <w:color w:val="4B4B4B"/>
          <w:sz w:val="22"/>
        </w:rPr>
        <w:t xml:space="preserve"> Ativar CRM, playbooks, rituais e treinamento do time</w:t>
      </w:r>
    </w:p>
    <w:p>
      <w:pPr>
        <w:pBdr>
          <w:bottom w:val="single" w:sz="18" w:space="1" w:color="A10F14"/>
        </w:pBdr>
        <w:spacing w:before="40" w:after="160"/>
      </w:pPr>
    </w:p>
    <w:p>
      <w:pPr>
        <w:spacing w:before="160"/>
        <w:jc w:val="center"/>
      </w:pPr>
      <w:r>
        <w:rPr>
          <w:rFonts w:ascii="Calibri" w:hAnsi="Calibri" w:eastAsia="Calibri"/>
          <w:b/>
          <w:i w:val="0"/>
          <w:color w:val="A10F14"/>
          <w:sz w:val="28"/>
        </w:rPr>
        <w:t>Arrumar a casa hoje. Fazer o ROI acontecer com método.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4B4B4B"/>
          <w:sz w:val="20"/>
        </w:rPr>
        <w:t>Estação Delta Emergência &amp; Facilities  ×  V4 Company</w:t>
      </w:r>
    </w:p>
    <w:p>
      <w:pPr>
        <w:jc w:val="center"/>
      </w:pPr>
      <w:r>
        <w:rPr>
          <w:rFonts w:ascii="Calibri" w:hAnsi="Calibri" w:eastAsia="Calibri"/>
          <w:b/>
          <w:i w:val="0"/>
          <w:color w:val="A10F14"/>
          <w:sz w:val="22"/>
        </w:rPr>
        <w:t>Valor cheio R$ 20.283,13  ·  Condição especial 12× R$ 845,13  ·  até 30/07</w:t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