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141414"/>
          <w:sz w:val="44"/>
        </w:rPr>
        <w:t>Script de Pitch · PW4 Performance × V4</w:t>
      </w:r>
    </w:p>
    <w:p>
      <w:pPr>
        <w:spacing w:after="160"/>
      </w:pPr>
      <w:r>
        <w:rPr>
          <w:rFonts w:ascii="Calibri" w:hAnsi="Calibri" w:eastAsia="Calibri"/>
          <w:b w:val="0"/>
          <w:color w:val="505050"/>
          <w:sz w:val="24"/>
        </w:rPr>
        <w:t>Roteiro interno · Invictus · Assessoria de Growth · Pitch com Thiago Tossi e Joeval Martins</w:t>
      </w:r>
    </w:p>
    <w:p>
      <w:pPr>
        <w:shd w:fill="FFF8E7" w:val="clear"/>
        <w:spacing w:after="280"/>
      </w:pPr>
      <w:r>
        <w:rPr>
          <w:rFonts w:ascii="Calibri" w:hAnsi="Calibri" w:eastAsia="Calibri"/>
          <w:b w:val="0"/>
          <w:color w:val="5A4614"/>
          <w:sz w:val="22"/>
        </w:rPr>
        <w:t>Linha mestra da call: “Vocês já convertem quando o lead chega. O jogo agora é construir o motor que coloca o decisor na mesa — sem depender de terceiro.” Nunca vender “mais curso” ou “mais post”. Sempre vender aquisição própria + autoridade da marca PW4. Social é ritmo de presença — não redefine o ROI.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01 · Capa  ·  ~ 45–60s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Aquisição própria. Sem depender de terceiros.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Abrir com respeito à autoridade deles e ancorar a tese.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“Thiago, Joeval — antes de qualquer número, quero alinhar o ponto central. Vocês já têm o que a maioria das empresas de educação corporativa sonha ter: autoridade real, entrega premium e conversão altíssima quando o lead chega. O que trouxemos hoje não é ‘mais marketing’. É o motor para a PW4 Performance falar direto com HRBP e decisor — sem depender de intermediário, com método, no ritmo de uma operação de dois founders.”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Reconhecer: </w:t>
      </w:r>
      <w:r>
        <w:rPr>
          <w:rFonts w:ascii="Calibri" w:hAnsi="Calibri" w:eastAsia="Calibri"/>
          <w:b w:val="0"/>
          <w:color w:val="373737"/>
          <w:sz w:val="22"/>
        </w:rPr>
        <w:t>“O mercado já conhece o Thiago. O movimento agora é a marca PW4 virar ativo.”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Nomear o produto: </w:t>
      </w:r>
      <w:r>
        <w:rPr>
          <w:rFonts w:ascii="Calibri" w:hAnsi="Calibri" w:eastAsia="Calibri"/>
          <w:b w:val="0"/>
          <w:color w:val="373737"/>
          <w:sz w:val="22"/>
        </w:rPr>
        <w:t>Assessoria de Growth — Account + GT + Copy + Design (e Social como horizonte).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Promessa da call: </w:t>
      </w:r>
      <w:r>
        <w:rPr>
          <w:rFonts w:ascii="Calibri" w:hAnsi="Calibri" w:eastAsia="Calibri"/>
          <w:b w:val="0"/>
          <w:color w:val="373737"/>
          <w:sz w:val="22"/>
        </w:rPr>
        <w:t>sair com clareza do caminho, dos horizontes e da conta de retorno.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Escopo em 3 tempos: </w:t>
      </w:r>
      <w:r>
        <w:rPr>
          <w:rFonts w:ascii="Calibri" w:hAnsi="Calibri" w:eastAsia="Calibri"/>
          <w:b w:val="0"/>
          <w:color w:val="373737"/>
          <w:sz w:val="22"/>
        </w:rPr>
        <w:t>Growth · dois horizontes · brand rebuild (LP, prova, CRM, tracking).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“Toda projeção de crescimento assume um canal próprio. Hoje vamos mostrar como montar esse canal.”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“Só para calibrar: o que mais incomoda hoje — a dependência dos parceiros ou a sensação de não conseguir falar com o mercado sozinhos?”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02 · Diagnóstico  ·  ~ 1,5–2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Vocês já fecham. Falta topo de funil.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Espelhar o SPICED e criar “foi vocês que disseram”.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“Quero espelhar o que a EE mostrou — sem drama, com precisão. Faturamento na casa de R$ 85 mil/mês, cerca de R$ 1,2 milhão no ano. Margem estimada alta porque a estrutura é enxuta. Conversão forte quando chega oportunidade. E o número que muda o jogo: 95% da demanda ainda vem de intermediários. Ou seja: o problema não é produto. Não é reputação. Não é fechamento. É topo de funil próprio. Autoridade offline que ainda não virou máquina de aquisição.”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 que já funciona: </w:t>
      </w:r>
      <w:r>
        <w:rPr>
          <w:rFonts w:ascii="Calibri" w:hAnsi="Calibri" w:eastAsia="Calibri"/>
          <w:b w:val="0"/>
          <w:color w:val="373737"/>
          <w:sz w:val="22"/>
        </w:rPr>
        <w:t>autoridade C-level, ICP claro (HRBP / T&amp;D), portfólio completo — “isso é o ativo.”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 que ainda vaza: </w:t>
      </w:r>
      <w:r>
        <w:rPr>
          <w:rFonts w:ascii="Calibri" w:hAnsi="Calibri" w:eastAsia="Calibri"/>
          <w:b w:val="0"/>
          <w:color w:val="373737"/>
          <w:sz w:val="22"/>
        </w:rPr>
        <w:t>sem canal direto com decisor; presença só pessoal; sem CRM/tracking; prova social dispersa; trauma com SDR.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Tom: </w:t>
      </w:r>
      <w:r>
        <w:rPr>
          <w:rFonts w:ascii="Calibri" w:hAnsi="Calibri" w:eastAsia="Calibri"/>
          <w:b w:val="0"/>
          <w:color w:val="373737"/>
          <w:sz w:val="22"/>
        </w:rPr>
        <w:t>validar, não acusar. “Vocês reconheceram isso com clareza — por isso a EE fez sentido.”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Não falar: </w:t>
      </w:r>
      <w:r>
        <w:rPr>
          <w:rFonts w:ascii="Calibri" w:hAnsi="Calibri" w:eastAsia="Calibri"/>
          <w:b w:val="0"/>
          <w:color w:val="373737"/>
          <w:sz w:val="22"/>
        </w:rPr>
        <w:t>site pessoal do Thiago como “problema”. Falar em canal e previsibilidade.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“Com conversão alta e margem alta, cada oportunidade direta vale muito. O gargalo é gerar a oportunidade — não fechar.”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“Se eu resumir em uma frase — vocês fecham quase tudo que chega, mas quase nada chega por canal próprio — isso está justo?”</w:t>
      </w:r>
    </w:p>
    <w:p>
      <w:pPr>
        <w:spacing w:before="160" w:after="60"/>
      </w:pPr>
      <w:r>
        <w:rPr>
          <w:rFonts w:ascii="Calibri" w:hAnsi="Calibri" w:eastAsia="Calibri"/>
          <w:b/>
          <w:color w:val="B42828"/>
          <w:sz w:val="20"/>
        </w:rPr>
        <w:t>EVITAR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Prometer volume imediato ou falar em contratar SDR agora. Ainda não há base.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03 · Tese  ·  ~ 2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Não é “mais curso”. É canal direto com decisor.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Vender a tese estratégica e o frame de ROI.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“Aqui está a tese. A Assessoria não existe para empurrar mais workshop no mercado. Existe para consolidar a PW4 Performance como autoridade em educação corporativa e gerar demanda própria — com margem e previsibilidade. O problema central é estrutural: 95% via intermediários corta margem, controle do cliente e previsibilidade. Entrar ‘solo’ nas empresas é o movimento do segundo semestre. E o frame de retorno é simples: com margem alta e conversão forte, o ROI não depende de viralizar — depende de poucas oportunidades diretas, sem comissão de terceiro.”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Demanda própria: </w:t>
      </w:r>
      <w:r>
        <w:rPr>
          <w:rFonts w:ascii="Calibri" w:hAnsi="Calibri" w:eastAsia="Calibri"/>
          <w:b w:val="0"/>
          <w:color w:val="373737"/>
          <w:sz w:val="22"/>
        </w:rPr>
        <w:t>Google de intenção + awareness + LinkedIn founder-led como sistema.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Autoridade da marca: </w:t>
      </w:r>
      <w:r>
        <w:rPr>
          <w:rFonts w:ascii="Calibri" w:hAnsi="Calibri" w:eastAsia="Calibri"/>
          <w:b w:val="0"/>
          <w:color w:val="373737"/>
          <w:sz w:val="22"/>
        </w:rPr>
        <w:t>LP, prova social e narrativa PW4 — autoridade vira ativo da empresa.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Operação de dois soldados: </w:t>
      </w:r>
      <w:r>
        <w:rPr>
          <w:rFonts w:ascii="Calibri" w:hAnsi="Calibri" w:eastAsia="Calibri"/>
          <w:b w:val="0"/>
          <w:color w:val="373737"/>
          <w:sz w:val="22"/>
        </w:rPr>
        <w:t>priorização didática; Kommo e tracking sem sobrecarregar vocês.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SDR no momento certo: </w:t>
      </w:r>
      <w:r>
        <w:rPr>
          <w:rFonts w:ascii="Calibri" w:hAnsi="Calibri" w:eastAsia="Calibri"/>
          <w:b w:val="0"/>
          <w:color w:val="373737"/>
          <w:sz w:val="22"/>
        </w:rPr>
        <w:t>“Já esbarraram em SDR que prometeu e não entregou. Aqui SDR só depois da base.”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“O custo da estrutura é irrisório comparado ao potencial de internalizar aquisição. Não é despesa — é o preço de controlar o crescimento.”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“Faz sentido pra vocês essa leitura — canal direto primeiro, SDR depois, marca como ativo?”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04 · Assessoria de Growth  ·  ~ 2–2,5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Account + GT + Copy + Design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Maximizar valor percebido do núcleo operacional.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“Na prática, o que vocês contratam é um núcleo completo para atrair o ICP certo, transformar autoridade em demanda e alimentar o comercial com oportunidades rastreáveis. Account orquestra: GTM, ICP, oferta, ritmo — alinhado à capacidade real de dois founders. Gestor de tráfego opera mídia com intenção B2B: Google Search na frente, awareness complementar, Meta no remarketing — rampa controlada porque CPL nesse segmento é alto. Copy + Design traduzem a mensagem premium para HRBP e C-level em peças e LPs que convertem interesse em conversa. E os fundamentos do plano de ação já entram: LP e identidade PW4, Kommo, tracking e prova social autorizada.”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Atendimento diário: </w:t>
      </w:r>
      <w:r>
        <w:rPr>
          <w:rFonts w:ascii="Calibri" w:hAnsi="Calibri" w:eastAsia="Calibri"/>
          <w:b w:val="0"/>
          <w:color w:val="373737"/>
          <w:sz w:val="22"/>
        </w:rPr>
        <w:t>“Vocês não ficam no escuro. Dias úteis com ritmo.”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Check-in: </w:t>
      </w:r>
      <w:r>
        <w:rPr>
          <w:rFonts w:ascii="Calibri" w:hAnsi="Calibri" w:eastAsia="Calibri"/>
          <w:b w:val="0"/>
          <w:color w:val="373737"/>
          <w:sz w:val="22"/>
        </w:rPr>
        <w:t>“Olhamos o funil de verdade: lead → MQL → SQL → reunião → proposta → venda · CAC e motivo de perda.”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Trimestral: </w:t>
      </w:r>
      <w:r>
        <w:rPr>
          <w:rFonts w:ascii="Calibri" w:hAnsi="Calibri" w:eastAsia="Calibri"/>
          <w:b w:val="0"/>
          <w:color w:val="373737"/>
          <w:sz w:val="22"/>
        </w:rPr>
        <w:t>“Budget, canais e — só quando fizer sentido — SDR.”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Didática: </w:t>
      </w:r>
      <w:r>
        <w:rPr>
          <w:rFonts w:ascii="Calibri" w:hAnsi="Calibri" w:eastAsia="Calibri"/>
          <w:b w:val="0"/>
          <w:color w:val="373737"/>
          <w:sz w:val="22"/>
        </w:rPr>
        <w:t>“Sabemos que a maturidade de marketing ainda é baixa. A gente traduz, não jargona.”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“Cada peça do núcleo existe para defender uma premissa do forecasting: lead certo, conversão crescente, CAC sob controle.”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“Entre esses fundamentos — LP, CRM, tracking, prova social — qual vocês sentem que está mais urgente destravar primeiro?”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05 · Plano de ação  ·  ~ 2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Fundamentos primeiro. Mídia em seguida.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Proteger expectativa e vender disciplina (não pressa).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“Empresa com zero base instalada não escala pulando etapa. LP, CRM e tracking entram antes de acelerar verba, respeitando a rampa do forecasting. Fase 1 — presença PW4: domínio, LP, identidade, e-mail, prova social autorizada. Fase 2 — operação: Kommo com etapas e WhatsApp; GA4, GTM, pixels e UTMs antes da mídia. Fase 3 — aquisição: Google Search + awareness; LinkedIn founder-led; Instagram como apoio. Fase 4 — previsibilidade: monitorar o funil até a venda, CAC, tempo de resposta, motivo de perda. SDR só com base pronta.”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Unidade econômica em paralelo: </w:t>
      </w:r>
      <w:r>
        <w:rPr>
          <w:rFonts w:ascii="Calibri" w:hAnsi="Calibri" w:eastAsia="Calibri"/>
          <w:b w:val="0"/>
          <w:color w:val="373737"/>
          <w:sz w:val="22"/>
        </w:rPr>
        <w:t>padronizar ticket, margem, horas e capacidade — senão a aquisição escala o caos.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 que não fazemos no começo: </w:t>
      </w:r>
      <w:r>
        <w:rPr>
          <w:rFonts w:ascii="Calibri" w:hAnsi="Calibri" w:eastAsia="Calibri"/>
          <w:b w:val="0"/>
          <w:color w:val="373737"/>
          <w:sz w:val="22"/>
        </w:rPr>
        <w:t>SDR sem processo · mídia sem tracking · prometer volume antes de fundamento.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Frase âncora: </w:t>
      </w:r>
      <w:r>
        <w:rPr>
          <w:rFonts w:ascii="Calibri" w:hAnsi="Calibri" w:eastAsia="Calibri"/>
          <w:b w:val="0"/>
          <w:color w:val="373737"/>
          <w:sz w:val="22"/>
        </w:rPr>
        <w:t>“Isso não é freio. É o que impede vocês de repetir a frustração anterior.”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“O forecasting assume rampa. Se pulamos fundamento, a planilha fica bonita e a operação quebra. Disciplina protege o ROI.”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“Entre acelerar mídia agora ou instalar LP + CRM + tracking primeiro, onde vocês preferem começar — sabendo que a segunda opção é a que faz a primeira funcionar?”</w:t>
      </w:r>
    </w:p>
    <w:p>
      <w:pPr>
        <w:spacing w:before="160" w:after="60"/>
      </w:pPr>
      <w:r>
        <w:rPr>
          <w:rFonts w:ascii="Calibri" w:hAnsi="Calibri" w:eastAsia="Calibri"/>
          <w:b/>
          <w:color w:val="B42828"/>
          <w:sz w:val="20"/>
        </w:rPr>
        <w:t>EVITAR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Soar como “vai demorar para ter resultado”. Soar como “vamos construir o chão para o resultado aparecer de verdade”.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06 · Investimento  ·  ~ 2–2,5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Escolha o ritmo. Não o resultado.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Apresentar preço sem medo e separar Social da tese de ROI.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“Agora a condição comercial — clara e sem enrolação. Condição especial no cartão. Contrato em 12 meses ou 6 meses. E o ponto mais importante desta tela: Social muda a presença, não a lógica de retorno da aquisição. Horizonte A — Growth sem Social: motor de aquisição, Account + GT + Copy + Design. De 12× R$ 11.223,40 para 12× R$ 6.172,87. Em 6 meses: 6× R$ 8.856,38. Horizonte B — Growth com Social: tudo do A + operação contínua de LinkedIn e Instagram da marca. De R$ 17.774,24 para 12× R$ 8.563,23. Em 6 meses: 6× R$ 8.996,98. O B é o que recomendamos para o brand rebuild da PW4 — mas o A também entrega o motor.”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Narrativa: </w:t>
      </w:r>
      <w:r>
        <w:rPr>
          <w:rFonts w:ascii="Calibri" w:hAnsi="Calibri" w:eastAsia="Calibri"/>
          <w:b w:val="0"/>
          <w:color w:val="373737"/>
          <w:sz w:val="22"/>
        </w:rPr>
        <w:t>“São dois ritmos de presença — não dois resultados.”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Com Social: </w:t>
      </w:r>
      <w:r>
        <w:rPr>
          <w:rFonts w:ascii="Calibri" w:hAnsi="Calibri" w:eastAsia="Calibri"/>
          <w:b w:val="0"/>
          <w:color w:val="373737"/>
          <w:sz w:val="22"/>
        </w:rPr>
        <w:t>acelera autoridade, prova social viva, menos atrito no remarketing.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Sem Social: </w:t>
      </w:r>
      <w:r>
        <w:rPr>
          <w:rFonts w:ascii="Calibri" w:hAnsi="Calibri" w:eastAsia="Calibri"/>
          <w:b w:val="0"/>
          <w:color w:val="373737"/>
          <w:sz w:val="22"/>
        </w:rPr>
        <w:t>founders operam a presença; o motor de aquisição continua intacto.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Ancoragem: </w:t>
      </w:r>
      <w:r>
        <w:rPr>
          <w:rFonts w:ascii="Calibri" w:hAnsi="Calibri" w:eastAsia="Calibri"/>
          <w:b w:val="0"/>
          <w:color w:val="373737"/>
          <w:sz w:val="22"/>
        </w:rPr>
        <w:t>sempre mostrar o “De” antes da condição — depois o parcelamento no cartão.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12 vs 6: </w:t>
      </w:r>
      <w:r>
        <w:rPr>
          <w:rFonts w:ascii="Calibri" w:hAnsi="Calibri" w:eastAsia="Calibri"/>
          <w:b w:val="0"/>
          <w:color w:val="373737"/>
          <w:sz w:val="22"/>
        </w:rPr>
        <w:t>“12 meses é a melhor condição e casa com o horizonte do forecasting.”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“No próximo slide eu mostro a conta. Aqui só quero que fique claro: escolher A ou B não é escolher se haverá retorno — é escolher o ritmo de construção da marca.”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“Olhando só operação — vocês preferem a V4 operando a presença da PW4, ou querem autonomia nas redes e o foco 100% no motor de aquisição?”</w:t>
      </w:r>
    </w:p>
    <w:p>
      <w:pPr>
        <w:spacing w:before="160" w:after="60"/>
      </w:pPr>
      <w:r>
        <w:rPr>
          <w:rFonts w:ascii="Calibri" w:hAnsi="Calibri" w:eastAsia="Calibri"/>
          <w:b/>
          <w:color w:val="B42828"/>
          <w:sz w:val="20"/>
        </w:rPr>
        <w:t>EVITAR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Dizer que sem Social “não tem resultado”. Isso quebra a tese da própria proposta.</w:t>
      </w:r>
    </w:p>
    <w:p>
      <w:r>
        <w:br w:type="page"/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Slide 07 · ROI + fechamento  ·  ~ 2,5–3 min</w:t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2"/>
        </w:rPr>
        <w:t>Equilíbrio no 6º–7º mês. ROI do projeto ~4,06.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OBJETIVO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Fechar com projeção + CTA de decisão (não deixar em “vamos pensar”).</w:t>
      </w:r>
    </w:p>
    <w:p>
      <w:pPr>
        <w:spacing w:before="160" w:after="60"/>
      </w:pPr>
      <w:r>
        <w:rPr>
          <w:rFonts w:ascii="Calibri" w:hAnsi="Calibri" w:eastAsia="Calibri"/>
          <w:b/>
          <w:color w:val="E50914"/>
          <w:sz w:val="20"/>
        </w:rPr>
        <w:t>FALA</w:t>
      </w:r>
    </w:p>
    <w:p>
      <w:pPr>
        <w:spacing w:after="120" w:line="324" w:lineRule="auto"/>
        <w:shd w:fill="F7F7F7" w:val="clear"/>
      </w:pPr>
      <w:r>
        <w:rPr>
          <w:rFonts w:ascii="Calibri" w:hAnsi="Calibri" w:eastAsia="Calibri"/>
          <w:b w:val="0"/>
          <w:i/>
          <w:color w:val="1E1E1E"/>
          <w:sz w:val="22"/>
        </w:rPr>
        <w:t>“Fecha a lógica. Cenário de referência alinhado ao horizonte com Social — 12× R$ 8.563,23 — ticket médio R$ 15 mil, margem estimada ~70%. Fee mais mídia de cruzeiro fica na casa de ~R$ 13.500/mês de custo fixo típico. O funil sobe: de 17 leads no mês 1 para 74 no horizonte; de zero cliente novo no primeiro mês para até 6 por mês no final da rampa. Mês líquido positivo em janeiro — mês 6. Acumulado positivo em fevereiro. ROI do projeto na casa de 4,06, com cerca de R$ 219 mil líquidos no horizonte do forecasting. Isso não é garantia. É o mapa. E o mapa só funciona se a base for instalada.”</w:t>
      </w:r>
    </w:p>
    <w:p>
      <w:pPr>
        <w:spacing w:before="160" w:after="60"/>
      </w:pPr>
      <w:r>
        <w:rPr>
          <w:rFonts w:ascii="Calibri" w:hAnsi="Calibri" w:eastAsia="Calibri"/>
          <w:b/>
          <w:color w:val="787878"/>
          <w:sz w:val="20"/>
        </w:rPr>
        <w:t>ENRIQUECIMENTO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Frame: </w:t>
      </w:r>
      <w:r>
        <w:rPr>
          <w:rFonts w:ascii="Calibri" w:hAnsi="Calibri" w:eastAsia="Calibri"/>
          <w:b w:val="0"/>
          <w:color w:val="373737"/>
          <w:sz w:val="22"/>
        </w:rPr>
        <w:t>“O custo da estruturação é irrisório vs o potencial de retorno.”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Anti-gaveta: </w:t>
      </w:r>
      <w:r>
        <w:rPr>
          <w:rFonts w:ascii="Calibri" w:hAnsi="Calibri" w:eastAsia="Calibri"/>
          <w:b w:val="0"/>
          <w:color w:val="373737"/>
          <w:sz w:val="22"/>
        </w:rPr>
        <w:t>“Vocês passaram semanas com o time, validaram a narrativa, estão trocando de nome para PW4. Não faz sentido guardar isso na gaveta.”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Objeção preço: </w:t>
      </w:r>
      <w:r>
        <w:rPr>
          <w:rFonts w:ascii="Calibri" w:hAnsi="Calibri" w:eastAsia="Calibri"/>
          <w:b w:val="0"/>
          <w:color w:val="373737"/>
          <w:sz w:val="22"/>
        </w:rPr>
        <w:t>“Não é se cabe como despesa — é se compensa frente a continuar 95% dependente de terceiro.”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Objeção SDR: </w:t>
      </w:r>
      <w:r>
        <w:rPr>
          <w:rFonts w:ascii="Calibri" w:hAnsi="Calibri" w:eastAsia="Calibri"/>
          <w:b w:val="0"/>
          <w:color w:val="373737"/>
          <w:sz w:val="22"/>
        </w:rPr>
        <w:t>“Não estamos pedindo SDR agora. Estamos pedindo a base que faz SDR funcionar depois.”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CTA: </w:t>
      </w:r>
      <w:r>
        <w:rPr>
          <w:rFonts w:ascii="Calibri" w:hAnsi="Calibri" w:eastAsia="Calibri"/>
          <w:b w:val="0"/>
          <w:color w:val="373737"/>
          <w:sz w:val="22"/>
        </w:rPr>
        <w:t>escolher A ou B · 12 meses no cartão · formalizar.</w:t>
      </w:r>
    </w:p>
    <w:p>
      <w:pPr>
        <w:spacing w:before="160" w:after="60"/>
      </w:pPr>
      <w:r>
        <w:rPr>
          <w:rFonts w:ascii="Calibri" w:hAnsi="Calibri" w:eastAsia="Calibri"/>
          <w:b/>
          <w:color w:val="14783C"/>
          <w:sz w:val="20"/>
        </w:rPr>
        <w:t>PONTE ROI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“Sem Social a fee cai para 12× R$ 6.172,87 — a tese de aquisição permanece. Com Social vocês aceleram a marca. Em ambos, o jogo é o mesmo: canal próprio.”</w:t>
      </w:r>
    </w:p>
    <w:p>
      <w:pPr>
        <w:spacing w:before="160" w:after="60"/>
      </w:pPr>
      <w:r>
        <w:rPr>
          <w:rFonts w:ascii="Calibri" w:hAnsi="Calibri" w:eastAsia="Calibri"/>
          <w:b/>
          <w:color w:val="643CA0"/>
          <w:sz w:val="20"/>
        </w:rPr>
        <w:t>PERGUNTA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“Para a gente avançar: horizonte A ou B? E preferem trancar em 12 meses no cartão hoje, ou precisam alinhar só a forma de pagamento até quando — me digam a data.”</w:t>
      </w:r>
    </w:p>
    <w:p>
      <w:pPr>
        <w:spacing w:before="160" w:after="60"/>
      </w:pPr>
      <w:r>
        <w:rPr>
          <w:rFonts w:ascii="Calibri" w:hAnsi="Calibri" w:eastAsia="Calibri"/>
          <w:b/>
          <w:color w:val="B42828"/>
          <w:sz w:val="20"/>
        </w:rPr>
        <w:t>EVITAR</w:t>
      </w:r>
    </w:p>
    <w:p>
      <w:pPr>
        <w:spacing w:after="120" w:line="324" w:lineRule="auto"/>
      </w:pPr>
      <w:r>
        <w:rPr>
          <w:rFonts w:ascii="Calibri" w:hAnsi="Calibri" w:eastAsia="Calibri"/>
          <w:b w:val="0"/>
          <w:i w:val="0"/>
          <w:color w:val="1E1E1E"/>
          <w:sz w:val="22"/>
        </w:rPr>
        <w:t>“Ficam à vontade para pensar”. Trocar por: “qual informação falta para decidirem até [data]?” Meta: Aceito no pitch ou devolutiva ≤ 72h.</w:t>
      </w:r>
    </w:p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141414"/>
          <w:sz w:val="36"/>
        </w:rPr>
        <w:t>Cheat sheet de objeções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“Está caro” → </w:t>
      </w:r>
      <w:r>
        <w:rPr>
          <w:rFonts w:ascii="Calibri" w:hAnsi="Calibri" w:eastAsia="Calibri"/>
          <w:b w:val="0"/>
          <w:color w:val="373737"/>
          <w:sz w:val="22"/>
        </w:rPr>
        <w:t>“Frente a 95% via terceiro e margem alta, o custo da máquina é pequeno. Quer olhar o A (12× 6.172) ou o B (12× 8.563)?”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“Não temos tempo” → </w:t>
      </w:r>
      <w:r>
        <w:rPr>
          <w:rFonts w:ascii="Calibri" w:hAnsi="Calibri" w:eastAsia="Calibri"/>
          <w:b w:val="0"/>
          <w:color w:val="373737"/>
          <w:sz w:val="22"/>
        </w:rPr>
        <w:t>“Por isso a operação é didática e externa. Vocês decidem e validam — a V4 opera.”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“SDR já nos frustrou” → </w:t>
      </w:r>
      <w:r>
        <w:rPr>
          <w:rFonts w:ascii="Calibri" w:hAnsi="Calibri" w:eastAsia="Calibri"/>
          <w:b w:val="0"/>
          <w:color w:val="373737"/>
          <w:sz w:val="22"/>
        </w:rPr>
        <w:t>“Concordo. SDR sem base é risco. Aqui a sequência protege vocês.”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1E1E1E"/>
          <w:sz w:val="22"/>
        </w:rPr>
        <w:t xml:space="preserve">“Preciso do Social?” → </w:t>
      </w:r>
      <w:r>
        <w:rPr>
          <w:rFonts w:ascii="Calibri" w:hAnsi="Calibri" w:eastAsia="Calibri"/>
          <w:b w:val="0"/>
          <w:color w:val="373737"/>
          <w:sz w:val="22"/>
        </w:rPr>
        <w:t>“Não para a tese de ROI. Sim se quiserem a marca PW4 rodando com cadência.”</w:t>
      </w:r>
    </w:p>
    <w:p>
      <w:pPr>
        <w:spacing w:before="360"/>
      </w:pPr>
      <w:r>
        <w:rPr>
          <w:rFonts w:ascii="Calibri" w:hAnsi="Calibri" w:eastAsia="Calibri"/>
          <w:b w:val="0"/>
          <w:color w:val="787878"/>
          <w:sz w:val="18"/>
        </w:rPr>
        <w:t>Script interno · PW4 Performance / Knowledge @ Business × V4 · Assessoria de Growth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