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i w:val="0"/>
          <w:color w:val="A10F14"/>
          <w:sz w:val="32"/>
        </w:rPr>
        <w:t>OBSERVAÇÃO AO CONTRATO — ENTREGÁVEIS ACORDADOS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Produto: Estruturação Comercial (Sales V4)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Contratada: V4 Company / Colli&amp;Co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Contratante: G6 Internet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Referência comercial: proposta personalizada G6 · condição R$ 71.582,32 (referência R$ 89.635,85)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Prazo de execução: 12 (doze) semanas | Carga estimada V4: 106,5 horas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A presente Observação integra o instrumento contratual e descreve, de forma consolidada, os entregáveis, o formato de execução, a forma de pagamento e os critérios de sucesso combinados entre as Partes para o projeto de Estruturação Comercial da G6 Internet.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1. Objeto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Instalação, pela Contratada, da fundação comercial da Contratante — processo, CRM em uso, scripts, cadências, indicadores, rituais de gestão e rotinas de ativação/follow-up/retenção — com implementação assistida junto aos canais loja e PAP (dual-track), de modo que a operação passe a vender, ativar e reter com maior previsibilidade (“Receita Previsível”).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Fica expresso que o objeto não se limita à entrega de documentos ou treinamentos pontuais: o compromisso é de capacidade instalada na operação, com adesão assistida do time.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2. Formato de execução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Modalidade: projeto consultivo com implementação assistida.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Duração: 12 semanas.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Carga V4: 106,5 horas (análise, desenho, CRM, QA, instalação e gestão de projeto — não apenas calls).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Coexecução: V4 constrói e conduz a instalação; o time G6 opera no dia a dia.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Ritmo: encontros semanais com sponsor/gestor e checkpoints com o time comercial.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Presencial nas fases críticas: Fase 1 (Diagnóstico) e Fase 5 (Instalação/treino).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Saída: handover com rotina de gestão instalada e plano de continuidade de 60 dias.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Escopo de canais: dual-track loja × PAP (5 vendedores de loja + 2 PAP, conforme operação atual).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3. Escopo consolidado (o que fica instalado)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3.1. Fundação operacional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Arquitetura comercial loja × PAP, com critérios de etapa e papéis claros.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Scripts, cadências e jornada comercial por canal.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Rituais de gestão (diária / semanal / pipeline review).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Onboarding operacional de vendedores (pacote para novas contratações).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3.2. Controle e adesão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CRM reorganizado como painel de receita (não mera agenda).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Higiene de pipeline, motivos de perda, atividades/próximas ações obrigatórias e dashboard de uso/conversão.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Treinamento com instalação assistida e roleplay (loja e PAP).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Rotinas de ativação, follow-up e save/retenção incorporadas ao processo.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4. Fases, horas e entregáveis por fase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 horas abaixo são a composição acordada do projeto (total 106,5h, incluindo 6h de gestão de projeto, QA e alinhamentos internos).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1 — Diagnóstico operacional (18h) · presencial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Diagnóstico comercial detalhado da operação G6.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Entrevistas com sponsor, gestor, top e bottom performer.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Auditoria do CRM/RD atual.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Mapa de gargalos por etapa e priorização das dores que impedem venda previsível.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Imersão presencial com time fechado (loja + PAP).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2 — Arquitetura operacional comercial (15h)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ICP/segmentos e jornada comercial alvo.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Pipeline com critérios de etapa e definição de papéis.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SLA marketing ↔ comercial ↔ gestor.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Metas de atividade e indicadores.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Scripts, cadências, BPMN e matriz CHA.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Desenho dual-track loja × PAP.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3 — CRM e controle (15,5h) · em paralelo à Fase 2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Reorganização do pipeline no CRM.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Campos obrigatórios e motivos de perda.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Atividades obrigatórias e próximas ações.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Dashboard de gestão e conversão.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Regras de higiene e rotina de registro.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Campos mínimos acordados para G6: origem, tempo de resposta, status, dor, capacidade, produto, próxima ação e motivo de perda.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4 — Camada estratégica (20h)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Playbook comercial orientado ao uso.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Política de comissionamento (loja ≠ PAP).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Breakeven da operação comercial (amarrando CAC, payback e retenção).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Diretriz de meta como piso de performance (não como acomodação).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5 — Instalação da rotina (22h) · presencial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Onboarding operacional de vendedores.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Imersão do time e treinamento do gestor.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Roleplay de loja e PAP.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Pipeline review e reunião semanal assistidas.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Checklist semanal e correção de desvios de adesão.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Transferência da rotina para a liderança comercial (incluindo o gestor em onboarding).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6 — Handover e continuidade (10h)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Reunião final de transferência.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Score de maturidade antes/depois.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Plano de continuidade de 60 dias.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Rotinas de retenção e expansão (save/upsell) no processo.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Mapa de riscos de regressão e recomendações de evolução.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Gestão de projeto / QA / alinhamentos internos: 6h (compõem o total de 106,5h).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5. Critérios de sucesso (Receita Previsível)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Para fins de acompanhamento do resultado esperado do projeto, as Partes consideram como referência de sucesso a operação evidenciar, ao final da implantação assistida, os seguintes comportamentos/artefatos: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Pipeline configurado e efetivamente usado pelo time.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Reunião comercial semanal acontecendo de forma recorrente.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Follow-up sendo executado conforme cadência definida.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Gestor utilizando indicadores (não apenas feeling) na condução.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Time operando com scripts e critérios de etapa.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Onboarding de vendedores documentado e aplicável.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Rotinas de retenção em operação (save/pós-venda no processo).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Sponsor com visibilidade de pipeline, perdas e próximos passos (previsibilidade).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Os critérios acima orientam a qualidade da instalação e o acompanhamento conjunto; não constituem garantia de resultado financeiro específico (receita, churn ou ROI), os quais dependem também da execução contínua da Contratante após o handover.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6. Obrigações de cooperação da Contratante (G6)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Disponibilizar sponsor, gestor e time comercial (loja e PAP) nas agendas combinadas, inclusive presenciais de F1 e F5.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Conceder acesso ao CRM/RD e informações operacionais necessárias ao diagnóstico e à configuração.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Designar interlocutor(es) para validação de artefatos e decisões de processo/incentivo.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Assegurar que a liderança comercial conduza os rituais após a instalação (coexecução).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Não alterar unilateralmente o escopo sem aditivo; pedidos fora do rol desta Observação serão tratados como mudança de escopo.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7. Fora de escopo (salvo aditivo)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Substituição/aquisição de ferramenta de CRM diversa da utilizada na operação, ou migração completa de base histórica além do necessário à reorganização acordada.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Gestão operacional diária do time comercial pela V4 após o handover (a V4 não substitui a liderança da G6).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Mídia paga, produção criativa ou operação contínua de marketing (objeto de outros instrumentos, se houver).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Garantia de metas comerciais, taxa de churn ou ROI financeiro específico.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Ampliação para canais/unidades não contemplados no dual-track loja × PAP sem novo escopo.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8. Investimento e forma de pagamento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8.1. Valores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Valor de referência do produto: R$ 89.635,85 (oitenta e nove mil, seiscentos e trinta e cinco reais e oitenta e cinco centavos).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Condição comercial G6 acordada: R$ 71.582,32 (setenta e um mil, quinhentos e oitenta e dois reais e trinta e dois centavos).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8.2. Forma de pagamento (combinada entre as Partes)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Entrada de R$ 20.000,00 (vinte mil reais), devida na assinatura / início do projeto, conforme orientação de faturamento da Contratada.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Saldo remanescente de R$ 51.582,32 (cinquenta e um mil, quinhentos e oitenta e dois reais e trinta e dois centavos), em 6 (seis) parcelas mensais via boleto bancário.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Valor de referência de cada parcela: R$ 8.597,05 (oito mil, quinhentos e noventa e sete reais e cinco centavos), com eventual ajuste de centavos na última parcela para totalizar exatamente o saldo de R$ 51.582,32.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Os boletos serão emitidos pela Contratada com vencimentos mensais sucessivos, a partir da data combinada no faturamento.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 falta de pagamento de qualquer parcela poderá ensejar as medidas previstas no Contrato principal (encargos, suspensão e/ou rescisão), sem prejuízo das demais cominações legais.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Condições complementares de reajuste, multa, mora e vigência: conforme cláusulas do Contrato principal. Em caso de divergência entre materiais de apresentação (deck/PDF) e o Contrato, prevalece o Contrato, integrado por esta Observação quanto à lista de entregáveis e à forma de pagamento aqui descrita.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9. Documentos de referência da proposta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Deck HTML: https://sarapizzico-hue.github.io/Sara/g6/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PDF da proposta: G6-Internet_Estruturacao-Comercial_V4.pdf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Estrutura enxuta da entrega: ESTRUTURA-ENTREGA-G6.docx / .md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Tais materiais servem de apoio comercial e alinhamento; a lista vinculante de entregáveis e a forma de pagamento para execução são as constantes nesta Observação.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10. Encerramento desta Observação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 Partes reconhecem que os entregáveis e a forma de pagamento acima correspondem ao combinado para a Estruturação Comercial G6 e autorizam a inclusão deste texto como anexo/observação ao Contrato correspondente.</w:t>
      </w:r>
    </w:p>
    <w:p>
      <w:pPr>
        <w:spacing w:before="360"/>
      </w:pPr>
      <w:r>
        <w:rPr>
          <w:rFonts w:ascii="Calibri" w:hAnsi="Calibri" w:eastAsia="Calibri"/>
          <w:b w:val="0"/>
          <w:i w:val="0"/>
          <w:color w:val="1A1A1A"/>
          <w:sz w:val="22"/>
        </w:rPr>
        <w:t>Local / Data: _______________________ , ____ / ____ / ________</w:t>
      </w:r>
    </w:p>
    <w:p/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Contratante — G6 Internet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Nome: _______________________________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Cargo: 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Assinatura: __________________________</w:t>
      </w:r>
    </w:p>
    <w:p/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Contratada — V4 Company / Colli&amp;Co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Nome: _______________________________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Cargo: 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Assinatura: 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