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9639" w:type="dxa"/>
      </w:tblPr>
      <w:tblGrid>
        <w:gridCol w:w="9638"/>
      </w:tblGrid>
      <w:tr>
        <w:tc>
          <w:tcPr>
            <w:tcW w:type="dxa" w:w="9638"/>
            <w:shd w:fill="280001" w:val="clear"/>
            <w:tcBorders>
              <w:top w:val="single" w:sz="0" w:space="0" w:color="280001"/>
              <w:left w:val="single" w:sz="0" w:space="0" w:color="280001"/>
              <w:bottom w:val="single" w:sz="0" w:space="0" w:color="280001"/>
              <w:right w:val="single" w:sz="0" w:space="0" w:color="280001"/>
            </w:tcBorders>
            <w:tcMar>
              <w:top w:w="280" w:type="dxa"/>
              <w:left w:w="220" w:type="dxa"/>
              <w:bottom w:w="280" w:type="dxa"/>
              <w:right w:w="22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5B5B8"/>
                <w:sz w:val="22"/>
              </w:rPr>
              <w:t>PROPOSTA COMERCIAL</w:t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i w:val="0"/>
                <w:color w:val="FFFFFF"/>
                <w:sz w:val="56"/>
              </w:rPr>
              <w:t>Empresa que Vende + SEO Growth</w:t>
            </w:r>
          </w:p>
          <w:p>
            <w:pPr>
              <w:spacing w:after="240"/>
            </w:pPr>
            <w:r>
              <w:rPr>
                <w:rFonts w:ascii="Calibri" w:hAnsi="Calibri" w:eastAsia="Calibri"/>
                <w:b w:val="0"/>
                <w:i w:val="0"/>
                <w:color w:val="FFD0D0"/>
                <w:sz w:val="32"/>
              </w:rPr>
              <w:t>CID — Clínica de Serviços Médicos  ×  V4 Company</w:t>
            </w:r>
          </w:p>
          <w:p>
            <w:r>
              <w:rPr>
                <w:rFonts w:ascii="Calibri" w:hAnsi="Calibri" w:eastAsia="Calibri"/>
                <w:b w:val="0"/>
                <w:i w:val="0"/>
                <w:color w:val="E8D0D0"/>
                <w:sz w:val="24"/>
              </w:rPr>
              <w:t>Consultoria, acompanhamento e execução assistida + origem orgânica. Ciclo de 6 meses no cartão de crédito.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Calibri" w:hAnsi="Calibri" w:eastAsia="Calibri"/>
          <w:b w:val="0"/>
          <w:i w:val="0"/>
          <w:color w:val="1A1A1A"/>
          <w:sz w:val="1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608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6746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Informação</w:t>
            </w:r>
          </w:p>
        </w:tc>
      </w:tr>
      <w:tr>
        <w:trPr>
          <w:cantSplit/>
        </w:trPr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Cliente</w:t>
            </w:r>
          </w:p>
        </w:tc>
        <w:tc>
          <w:tcPr>
            <w:tcW w:type="dxa" w:w="674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CID — Clínica de Serviços Médicos</w:t>
            </w:r>
          </w:p>
        </w:tc>
      </w:tr>
      <w:tr>
        <w:trPr>
          <w:cantSplit/>
        </w:trPr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Produto 1</w:t>
            </w:r>
          </w:p>
        </w:tc>
        <w:tc>
          <w:tcPr>
            <w:tcW w:type="dxa" w:w="674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Empresa que Vende (EQV) — execução assistida</w:t>
            </w:r>
          </w:p>
        </w:tc>
      </w:tr>
      <w:tr>
        <w:trPr>
          <w:cantSplit/>
        </w:trPr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Produto 2</w:t>
            </w:r>
          </w:p>
        </w:tc>
        <w:tc>
          <w:tcPr>
            <w:tcW w:type="dxa" w:w="674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SEO Growth — conteúdo + links + previsibilidade (6 meses)</w:t>
            </w:r>
          </w:p>
        </w:tc>
      </w:tr>
      <w:tr>
        <w:trPr>
          <w:cantSplit/>
        </w:trPr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Prazo</w:t>
            </w:r>
          </w:p>
        </w:tc>
        <w:tc>
          <w:tcPr>
            <w:tcW w:type="dxa" w:w="674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 meses  ·  5 fases  ·  squad (Conteúdo, SEO Growth, Comercial, CRM)</w:t>
            </w:r>
          </w:p>
        </w:tc>
      </w:tr>
      <w:tr>
        <w:trPr>
          <w:cantSplit/>
        </w:trPr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Separados</w:t>
            </w:r>
          </w:p>
        </w:tc>
        <w:tc>
          <w:tcPr>
            <w:tcW w:type="dxa" w:w="674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EQV R$ 35.000,00  ·  SEO Growth R$ 21.600,00 (6× R$ 3.600)</w:t>
            </w:r>
          </w:p>
        </w:tc>
      </w:tr>
      <w:tr>
        <w:trPr>
          <w:cantSplit/>
        </w:trPr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Ambos juntos (soma)</w:t>
            </w:r>
          </w:p>
        </w:tc>
        <w:tc>
          <w:tcPr>
            <w:tcW w:type="dxa" w:w="674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6× R$ 9.433,33 no cartão  ·  TCV R$ 56.600,00</w:t>
            </w:r>
          </w:p>
        </w:tc>
      </w:tr>
      <w:tr>
        <w:trPr>
          <w:cantSplit/>
        </w:trPr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Pacote · condição comercial</w:t>
            </w:r>
          </w:p>
        </w:tc>
        <w:tc>
          <w:tcPr>
            <w:tcW w:type="dxa" w:w="674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6× R$ 5.418,57 no cartão de crédito  ·  TCV R$ 32.511,42</w:t>
            </w:r>
          </w:p>
        </w:tc>
      </w:tr>
      <w:tr>
        <w:trPr>
          <w:cantSplit/>
        </w:trPr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Condução</w:t>
            </w:r>
          </w:p>
        </w:tc>
        <w:tc>
          <w:tcPr>
            <w:tcW w:type="dxa" w:w="674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V4 Company  ·  consultor estratégico (1h/mês) + squad de execução assistida</w:t>
            </w:r>
          </w:p>
        </w:tc>
      </w:tr>
      <w:tr>
        <w:trPr>
          <w:cantSplit/>
        </w:trPr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Incluso</w:t>
            </w:r>
          </w:p>
        </w:tc>
        <w:tc>
          <w:tcPr>
            <w:tcW w:type="dxa" w:w="674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Comunidade, monitoria coletiva mensal, conteúdo semanal e Fábrica de Receita (imersão presencial anual)</w:t>
            </w:r>
          </w:p>
        </w:tc>
      </w:tr>
      <w:tr>
        <w:trPr>
          <w:cantSplit/>
        </w:trPr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Garantia</w:t>
            </w:r>
          </w:p>
        </w:tc>
        <w:tc>
          <w:tcPr>
            <w:tcW w:type="dxa" w:w="674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30 dias de serviço — reembolso incondicional se a entrega não fizer sentido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9638"/>
      </w:tblGrid>
      <w:tr>
        <w:tc>
          <w:tcPr>
            <w:tcW w:type="dxa" w:w="9638"/>
            <w:shd w:fill="F8EFEF" w:val="clear"/>
            <w:tcBorders>
              <w:top w:val="single" w:sz="12" w:space="0" w:color="A10F14"/>
              <w:left w:val="single" w:sz="12" w:space="0" w:color="A10F14"/>
              <w:bottom w:val="single" w:sz="12" w:space="0" w:color="A10F14"/>
              <w:right w:val="single" w:sz="12" w:space="0" w:color="A10F1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i w:val="0"/>
                <w:color w:val="A10F14"/>
                <w:sz w:val="18"/>
              </w:rPr>
              <w:t>LEITURA CENTRAL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22"/>
              </w:rPr>
              <w:t>A V4 não executa no lugar da CID: estrutura o negócio, treina o time e acompanha a execução. Quem opera é a CID. A máquina fica na empresa quando o ciclo acaba. A ordem é clareza → sistema → execução. SEO Growth entra como origem complementar.</w:t>
            </w:r>
          </w:p>
        </w:tc>
      </w:tr>
    </w:tbl>
    <w:p>
      <w:pPr>
        <w:spacing w:after="12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1. Objetivo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Instalar, em 6 meses, o método para a CID vender com previsibilidade: diagnóstico contínuo de maturidade GTM, consultoria estratégica mensal, execução assistida (conteúdo, comercial e CRM) e origem complementar em SEO Growth. Comunidade de pares e imersão presencial da Fábrica de Receita.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O resultado esperado não é um PDF para a gaveta nem uma agência que some quando o contrato acaba. É o time operando com tese, artefato e cadência: conteúdo que gera demanda, comercial que fecha, CRM que governa o pipeline, e a CID aparecendo quando RH e Compras pesquisam — inclusive quando perguntam para a IA.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2. O problema que o programa resolve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3118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Sintoma</w:t>
            </w:r>
          </w:p>
        </w:tc>
        <w:tc>
          <w:tcPr>
            <w:tcW w:type="dxa" w:w="6236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Efeito na operação</w:t>
            </w:r>
          </w:p>
        </w:tc>
      </w:tr>
      <w:tr>
        <w:trPr>
          <w:cantSplit/>
        </w:trPr>
        <w:tc>
          <w:tcPr>
            <w:tcW w:type="dxa" w:w="311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Receita imprevisível / concentração</w:t>
            </w:r>
          </w:p>
        </w:tc>
        <w:tc>
          <w:tcPr>
            <w:tcW w:type="dxa" w:w="623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mês é esforço, não método. 90% em um contrato não tem plano B privado.</w:t>
            </w:r>
          </w:p>
        </w:tc>
      </w:tr>
      <w:tr>
        <w:trPr>
          <w:cantSplit/>
        </w:trPr>
        <w:tc>
          <w:tcPr>
            <w:tcW w:type="dxa" w:w="311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Processo na cabeça de uma pessoa</w:t>
            </w:r>
          </w:p>
        </w:tc>
        <w:tc>
          <w:tcPr>
            <w:tcW w:type="dxa" w:w="623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comercial é o sócio Leonardo. Sem sistema, não se repete.</w:t>
            </w:r>
          </w:p>
        </w:tc>
      </w:tr>
      <w:tr>
        <w:trPr>
          <w:cantSplit/>
        </w:trPr>
        <w:tc>
          <w:tcPr>
            <w:tcW w:type="dxa" w:w="311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Marketing no achismo</w:t>
            </w:r>
          </w:p>
        </w:tc>
        <w:tc>
          <w:tcPr>
            <w:tcW w:type="dxa" w:w="623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Canal, conteúdo e origem sem tese. Sem cadência nem indicador.</w:t>
            </w:r>
          </w:p>
        </w:tc>
      </w:tr>
      <w:tr>
        <w:trPr>
          <w:cantSplit/>
        </w:trPr>
        <w:tc>
          <w:tcPr>
            <w:tcW w:type="dxa" w:w="311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Agência executa — você não aprende</w:t>
            </w:r>
          </w:p>
        </w:tc>
        <w:tc>
          <w:tcPr>
            <w:tcW w:type="dxa" w:w="623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Quando o contrato acaba, o resultado vai junto.</w:t>
            </w:r>
          </w:p>
        </w:tc>
      </w:tr>
      <w:tr>
        <w:trPr>
          <w:cantSplit/>
        </w:trPr>
        <w:tc>
          <w:tcPr>
            <w:tcW w:type="dxa" w:w="311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Comercial amador</w:t>
            </w:r>
          </w:p>
        </w:tc>
        <w:tc>
          <w:tcPr>
            <w:tcW w:type="dxa" w:w="623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Script, follow-up e pipeline improvisados. A proposta não tem business case.</w:t>
            </w:r>
          </w:p>
        </w:tc>
      </w:tr>
      <w:tr>
        <w:trPr>
          <w:cantSplit/>
        </w:trPr>
        <w:tc>
          <w:tcPr>
            <w:tcW w:type="dxa" w:w="311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Posicionamento frouxo</w:t>
            </w:r>
          </w:p>
        </w:tc>
        <w:tc>
          <w:tcPr>
            <w:tcW w:type="dxa" w:w="623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mercado vê mão de obra avulsa, não gestão e continuidade.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3. A solução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ordem de construção é clareza → sistema → execução. Sem método, origem vira aposta. Com método, receita vira consequência.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948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Pilar</w:t>
            </w:r>
          </w:p>
        </w:tc>
        <w:tc>
          <w:tcPr>
            <w:tcW w:type="dxa" w:w="6406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 que instala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01 · Diagnóstico contínuo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Maturidade GTM monitorada. Gargalos identificados a cada ciclo.</w:t>
            </w:r>
          </w:p>
        </w:tc>
      </w:tr>
      <w:tr>
        <w:trPr>
          <w:cantSplit/>
        </w:trPr>
        <w:tc>
          <w:tcPr>
            <w:tcW w:type="dxa" w:w="294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02 · Consultoria estratégica</w:t>
            </w:r>
          </w:p>
        </w:tc>
        <w:tc>
          <w:tcPr>
            <w:tcW w:type="dxa" w:w="640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1h/mês com consultor V4: prioridades e créditos do squad.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03 · Execução assistida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Squad: Conteúdo, SEO Growth, Comercial e CRM. Quem opera é a CID.</w:t>
            </w:r>
          </w:p>
        </w:tc>
      </w:tr>
      <w:tr>
        <w:trPr>
          <w:cantSplit/>
        </w:trPr>
        <w:tc>
          <w:tcPr>
            <w:tcW w:type="dxa" w:w="294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04 · Comunidade</w:t>
            </w:r>
          </w:p>
        </w:tc>
        <w:tc>
          <w:tcPr>
            <w:tcW w:type="dxa" w:w="640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Peers, lives mensais e grupo fechado no WhatsApp.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05 · Fábrica de Receita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Imersão presencial anual: hot seats, cases e workshops.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4. Jornada de 6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13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Fase</w:t>
            </w:r>
          </w:p>
        </w:tc>
        <w:tc>
          <w:tcPr>
            <w:tcW w:type="dxa" w:w="147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Quando</w:t>
            </w:r>
          </w:p>
        </w:tc>
        <w:tc>
          <w:tcPr>
            <w:tcW w:type="dxa" w:w="2608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Nome</w:t>
            </w:r>
          </w:p>
        </w:tc>
        <w:tc>
          <w:tcPr>
            <w:tcW w:type="dxa" w:w="4139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01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Mês 1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Onboarding</w:t>
            </w:r>
          </w:p>
        </w:tc>
        <w:tc>
          <w:tcPr>
            <w:tcW w:type="dxa" w:w="413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Kickoff, maturidade GTM e prioridades do ciclo.</w:t>
            </w:r>
          </w:p>
        </w:tc>
      </w:tr>
      <w:tr>
        <w:trPr>
          <w:cantSplit/>
        </w:trPr>
        <w:tc>
          <w:tcPr>
            <w:tcW w:type="dxa" w:w="113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02</w:t>
            </w:r>
          </w:p>
        </w:tc>
        <w:tc>
          <w:tcPr>
            <w:tcW w:type="dxa" w:w="147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Mês 2</w:t>
            </w:r>
          </w:p>
        </w:tc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EE 3.0 completa</w:t>
            </w:r>
          </w:p>
        </w:tc>
        <w:tc>
          <w:tcPr>
            <w:tcW w:type="dxa" w:w="413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3P-IA, posicionamento ativo e canal de vendas no ar.</w:t>
            </w:r>
          </w:p>
        </w:tc>
      </w:tr>
      <w:tr>
        <w:trPr>
          <w:cantSplit/>
        </w:trPr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03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Mês 3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Consultoria de conteúdo</w:t>
            </w:r>
          </w:p>
        </w:tc>
        <w:tc>
          <w:tcPr>
            <w:tcW w:type="dxa" w:w="413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Produção assistida + mensagem para RH / Compras / Financeiro.</w:t>
            </w:r>
          </w:p>
        </w:tc>
      </w:tr>
      <w:tr>
        <w:trPr>
          <w:cantSplit/>
        </w:trPr>
        <w:tc>
          <w:tcPr>
            <w:tcW w:type="dxa" w:w="113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04</w:t>
            </w:r>
          </w:p>
        </w:tc>
        <w:tc>
          <w:tcPr>
            <w:tcW w:type="dxa" w:w="147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Mês 4</w:t>
            </w:r>
          </w:p>
        </w:tc>
        <w:tc>
          <w:tcPr>
            <w:tcW w:type="dxa" w:w="260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SEO Growth</w:t>
            </w:r>
          </w:p>
        </w:tc>
        <w:tc>
          <w:tcPr>
            <w:tcW w:type="dxa" w:w="413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Base técnica, intenção, 4 posts/mês e entidade para busca e IA.</w:t>
            </w:r>
          </w:p>
        </w:tc>
      </w:tr>
      <w:tr>
        <w:trPr>
          <w:cantSplit/>
        </w:trPr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05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Mês 5/6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Consultoria comercial + CRM</w:t>
            </w:r>
          </w:p>
        </w:tc>
        <w:tc>
          <w:tcPr>
            <w:tcW w:type="dxa" w:w="413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Scripts, follow-up, pipeline e monetização do funil.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5. Três sessões com entregáveis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Sessão 01 — Produto, oferta, posicionamento, conteúdo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O especialista V4 orienta a estratégia, calibra a mensagem para o ICP (RH, Compras, Financeiro) e acompanha a execução mês a mês. A CID para de falar de si e passa a falar da dor do comprador.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Oferta e posicionamento de gestão — não de mão de obra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Proposta com business case, cronograma e governança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Linha editorial e mensagem por persona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Prova comercial: SLA, indicador, caso autorizado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Sessão 02 — SEO Growth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SEO Growth é o plano de origem orgânica: crescimento consistente com conteúdo, links e previsibilidade. Não é post solto, não é “mexer no site”, não é garantia de posição. GEO não é um módulo à parte — é o efeito de conteúdo factual e entidade: RH e Compras já perguntam para a IA quem contratar; a CID precisa ser citada como referência de gestão.</w:t>
      </w:r>
    </w:p>
    <w:p>
      <w:pPr>
        <w:spacing w:before="0" w:after="80" w:line="276" w:lineRule="auto"/>
        <w:jc w:val="left"/>
      </w:pPr>
      <w:r>
        <w:rPr>
          <w:rFonts w:ascii="Calibri" w:hAnsi="Calibri" w:eastAsia="Calibri"/>
          <w:b/>
          <w:i w:val="0"/>
          <w:color w:val="1A1A1A"/>
          <w:sz w:val="22"/>
        </w:rPr>
        <w:t>Incluso no ciclo de 6 meses: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Base técnica, Search Console, Google Business Profile e otimização inicial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Auditoria técnica contínua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Pesquisa avançada sem limite + intenção de busca do comprador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4 blogposts/mês + briefings + snippet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Link building leve (1–2/mês) e recuperação de links quebrados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SEO local básico, se aplicável à operação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Gestão quinzenal + call mensal</w:t>
      </w:r>
    </w:p>
    <w:p>
      <w:pPr>
        <w:spacing w:before="120" w:after="80" w:line="276" w:lineRule="auto"/>
        <w:jc w:val="left"/>
      </w:pPr>
      <w:r>
        <w:rPr>
          <w:rFonts w:ascii="Calibri" w:hAnsi="Calibri" w:eastAsia="Calibri"/>
          <w:b/>
          <w:i w:val="0"/>
          <w:color w:val="1A1A1A"/>
          <w:sz w:val="22"/>
        </w:rPr>
        <w:t>Fora deste recorte: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Cluster pilar + satélites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Link building estratégico / Digital PR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Core Web Vitals avançado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CRO orgânico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Sessão 03 — Comercial e CRM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Acompanhamento comercial próximo: o especialista revisa scripts, analisa as objeções reais do mês e ajusta o processo com o time. O comercial deixa de morar na cabeça do Leonardo.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Revisão dos scripts de venda e cliente oculto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Análise de objeções reais do mês e treinamento comercial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Réguas de conversão, follow-up, renovação e upsell na base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CRM ativo: cadência, pipeline e próxima ação — não agenda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6. Recorte EQV × SEO Growth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721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6633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 que entrega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EQV · sessão 01</w:t>
            </w:r>
          </w:p>
        </w:tc>
        <w:tc>
          <w:tcPr>
            <w:tcW w:type="dxa" w:w="6633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Mensagem, oferta, prova e linha editorial. O que dizer e para quem.</w:t>
            </w:r>
          </w:p>
        </w:tc>
      </w:tr>
      <w:tr>
        <w:trPr>
          <w:cantSplit/>
        </w:trPr>
        <w:tc>
          <w:tcPr>
            <w:tcW w:type="dxa" w:w="2721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SEO Growth</w:t>
            </w:r>
          </w:p>
        </w:tc>
        <w:tc>
          <w:tcPr>
            <w:tcW w:type="dxa" w:w="6633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Produção orgânica contínua: 4 posts/mês, técnica, intenção e links leves.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EQV · sessão 03</w:t>
            </w:r>
          </w:p>
        </w:tc>
        <w:tc>
          <w:tcPr>
            <w:tcW w:type="dxa" w:w="6633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Scripts, follow-up, pipeline e CRM. Como fechar e governar.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9638"/>
      </w:tblGrid>
      <w:tr>
        <w:tc>
          <w:tcPr>
            <w:tcW w:type="dxa" w:w="9638"/>
            <w:shd w:fill="F8EFEF" w:val="clear"/>
            <w:tcBorders>
              <w:top w:val="single" w:sz="12" w:space="0" w:color="A10F14"/>
              <w:left w:val="single" w:sz="12" w:space="0" w:color="A10F14"/>
              <w:bottom w:val="single" w:sz="12" w:space="0" w:color="A10F14"/>
              <w:right w:val="single" w:sz="12" w:space="0" w:color="A10F1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i w:val="0"/>
                <w:color w:val="A10F14"/>
                <w:sz w:val="18"/>
              </w:rPr>
              <w:t>SEM SOBREPOSIÇÃO DE ENTREGA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22"/>
              </w:rPr>
              <w:t>O EQV define a tese comercial. O SEO Growth produz o ativo orgânico com essa tese. Um não substitui o outro: sem mensagem, o post não converte; sem produção, a mensagem não aparece na busca.</w:t>
            </w:r>
          </w:p>
        </w:tc>
      </w:tr>
    </w:tbl>
    <w:p>
      <w:pPr>
        <w:spacing w:after="12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7. Investimento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c>
          <w:tcPr>
            <w:tcW w:type="dxa" w:w="4819"/>
            <w:shd w:fill="280001" w:val="clear"/>
            <w:tcBorders>
              <w:top w:val="single" w:sz="4" w:space="0" w:color="280001"/>
              <w:left w:val="single" w:sz="4" w:space="0" w:color="280001"/>
              <w:bottom w:val="single" w:sz="4" w:space="0" w:color="280001"/>
              <w:right w:val="single" w:sz="4" w:space="0" w:color="280001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5B5B8"/>
                <w:sz w:val="16"/>
              </w:rPr>
              <w:t>VALOR DE REFERÊNCIA</w:t>
            </w:r>
          </w:p>
          <w:p>
            <w:r>
              <w:rPr>
                <w:rFonts w:ascii="Calibri" w:hAnsi="Calibri" w:eastAsia="Calibri"/>
                <w:b w:val="0"/>
                <w:i w:val="0"/>
                <w:strike/>
                <w:color w:val="C9A0A0"/>
                <w:sz w:val="32"/>
              </w:rPr>
              <w:t>6× R$ 9.433,33</w:t>
            </w:r>
          </w:p>
          <w:p>
            <w:r>
              <w:rPr>
                <w:rFonts w:ascii="Calibri" w:hAnsi="Calibri" w:eastAsia="Calibri"/>
                <w:b/>
                <w:i w:val="0"/>
                <w:color w:val="F5B5B8"/>
                <w:sz w:val="16"/>
              </w:rPr>
              <w:t>CONDIÇÃO COMERCIAL CID</w:t>
            </w:r>
          </w:p>
          <w:p>
            <w:r>
              <w:rPr>
                <w:rFonts w:ascii="Calibri" w:hAnsi="Calibri" w:eastAsia="Calibri"/>
                <w:b/>
                <w:i w:val="0"/>
                <w:color w:val="FFFFFF"/>
                <w:sz w:val="52"/>
              </w:rPr>
              <w:t>6× R$ 5.418,57</w:t>
            </w:r>
          </w:p>
          <w:p>
            <w:r>
              <w:rPr>
                <w:rFonts w:ascii="Calibri" w:hAnsi="Calibri" w:eastAsia="Calibri"/>
                <w:b w:val="0"/>
                <w:i w:val="0"/>
                <w:color w:val="E8D0D0"/>
                <w:sz w:val="20"/>
              </w:rPr>
              <w:t>EQV execução assistida + SEO Growth</w:t>
              <w:br/>
              <w:t>6 meses no cartão de crédito</w:t>
            </w:r>
          </w:p>
        </w:tc>
        <w:tc>
          <w:tcPr>
            <w:tcW w:type="dxa" w:w="4819"/>
            <w:shd w:fill="F8EFEF" w:val="clear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A10F14"/>
                <w:sz w:val="16"/>
              </w:rPr>
              <w:t>CONDIÇÕES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/>
                <w:i w:val="0"/>
                <w:color w:val="1A1A1A"/>
                <w:sz w:val="28"/>
              </w:rPr>
              <w:t>6× R$ 5.418,57 no cartão de crédito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TCV do pacote: R$ 32.511,42.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Se fossem separados: EQV R$ 35.000,00 + SEO Growth R$ 21.600,00 (6× R$ 3.600) = R$ 56.600,00.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Ciclo de 6 meses. A máquina fica no time. Não é aluguel de agência.</w:t>
            </w:r>
          </w:p>
        </w:tc>
      </w:tr>
    </w:tbl>
    <w:p>
      <w:pPr>
        <w:spacing w:after="200"/>
      </w:pP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7.1 Se fossem contratados separados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53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4819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45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Execução assistida (EQV)</w:t>
            </w:r>
          </w:p>
        </w:tc>
        <w:tc>
          <w:tcPr>
            <w:tcW w:type="dxa" w:w="481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R$ 35.000,00</w:t>
            </w:r>
          </w:p>
        </w:tc>
      </w:tr>
      <w:tr>
        <w:trPr>
          <w:cantSplit/>
        </w:trPr>
        <w:tc>
          <w:tcPr>
            <w:tcW w:type="dxa" w:w="45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SEO Growth (6× R$ 3.600)</w:t>
            </w:r>
          </w:p>
        </w:tc>
        <w:tc>
          <w:tcPr>
            <w:tcW w:type="dxa" w:w="481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R$ 21.600,00</w:t>
            </w:r>
          </w:p>
        </w:tc>
      </w:tr>
      <w:tr>
        <w:trPr>
          <w:cantSplit/>
        </w:trPr>
        <w:tc>
          <w:tcPr>
            <w:tcW w:type="dxa" w:w="45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Ambos juntos (soma)</w:t>
            </w:r>
          </w:p>
        </w:tc>
        <w:tc>
          <w:tcPr>
            <w:tcW w:type="dxa" w:w="481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6× R$ 9.433,33 no cartão  ·  TCV R$ 56.600,00</w:t>
            </w:r>
          </w:p>
        </w:tc>
      </w:tr>
      <w:tr>
        <w:trPr>
          <w:cantSplit/>
        </w:trPr>
        <w:tc>
          <w:tcPr>
            <w:tcW w:type="dxa" w:w="45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Pacote · condição comercial</w:t>
            </w:r>
          </w:p>
        </w:tc>
        <w:tc>
          <w:tcPr>
            <w:tcW w:type="dxa" w:w="481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6× R$ 5.418,57 no cartão  ·  TCV R$ 32.511,42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8. Garantia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Se após 30 dias de serviço você não estiver satisfeito com a entrega, devolvemos o investimento efetuado. Risco zero para entrar. O método precisa fazer sentido na operação — não só no papel.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9. Próximos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49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Responsável</w:t>
            </w:r>
          </w:p>
        </w:tc>
        <w:tc>
          <w:tcPr>
            <w:tcW w:type="dxa" w:w="6860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Ação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CID (Leonardo)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Validar a condição comercial (6× R$ 5.418,57 no cartão) e formalizar o start.</w:t>
            </w:r>
          </w:p>
        </w:tc>
      </w:tr>
      <w:tr>
        <w:trPr>
          <w:cantSplit/>
        </w:trPr>
        <w:tc>
          <w:tcPr>
            <w:tcW w:type="dxa" w:w="249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V4</w:t>
            </w:r>
          </w:p>
        </w:tc>
        <w:tc>
          <w:tcPr>
            <w:tcW w:type="dxa" w:w="686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Kickoff do mês 01: diagnóstico de maturidade GTM, prioridades do ciclo e alocação do squad.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V4 + CID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Entrar na comunidade, na monitoria mensal e no calendário da Fábrica de Receita a partir da assinatura.</w:t>
            </w:r>
          </w:p>
        </w:tc>
      </w:tr>
    </w:tbl>
    <w:p>
      <w:pPr>
        <w:spacing w:after="160"/>
      </w:pPr>
    </w:p>
    <w:p>
      <w:pPr>
        <w:spacing w:before="240" w:after="160" w:line="276" w:lineRule="auto"/>
        <w:jc w:val="left"/>
      </w:pPr>
      <w:r>
        <w:rPr>
          <w:rFonts w:ascii="Calibri" w:hAnsi="Calibri" w:eastAsia="Calibri"/>
          <w:b w:val="0"/>
          <w:i/>
          <w:color w:val="4A4A4A"/>
          <w:sz w:val="18"/>
        </w:rPr>
        <w:t>Documento elaborado pela V4 Company para a CID — Clínica de Serviços Médicos. Valores e prazos conforme condição comercial do pacote. Confidencial.</w:t>
      </w:r>
    </w:p>
    <w:p>
      <w:pPr>
        <w:spacing w:before="160" w:after="160" w:line="276" w:lineRule="auto"/>
        <w:jc w:val="center"/>
      </w:pPr>
      <w:r>
        <w:rPr>
          <w:rFonts w:ascii="Calibri" w:hAnsi="Calibri" w:eastAsia="Calibri"/>
          <w:b/>
          <w:i w:val="0"/>
          <w:color w:val="A10F14"/>
          <w:sz w:val="18"/>
        </w:rPr>
        <w:t>CID — Clínica de Serviços Médicos × V4 Company  ·  Empresa que Vende + SEO Growth  ·  Confidencial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4A4A4A"/>
        <w:sz w:val="16"/>
      </w:rPr>
      <w:t xml:space="preserve">Empresa que Vende + SEO Growth  ·  Confidencial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i w:val="0"/>
        <w:color w:val="A10F14"/>
        <w:sz w:val="16"/>
      </w:rPr>
      <w:t>CID — Clínica de Serviços Médicos  ×  V4 Company  ·  Proposta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