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 w:eastAsia="Calibri"/>
          <w:b/>
          <w:color w:val="A10F14"/>
          <w:sz w:val="44"/>
        </w:rPr>
        <w:t>Almeida e Neves × V4</w:t>
      </w:r>
    </w:p>
    <w:p>
      <w:pPr>
        <w:jc w:val="center"/>
      </w:pPr>
      <w:r>
        <w:rPr>
          <w:rFonts w:ascii="Calibri" w:hAnsi="Calibri" w:eastAsia="Calibri"/>
          <w:b/>
          <w:color w:val="1C1C1C"/>
          <w:sz w:val="36"/>
        </w:rPr>
        <w:t>Perguntas antes dos valores</w:t>
      </w:r>
    </w:p>
    <w:p>
      <w:pPr>
        <w:jc w:val="center"/>
      </w:pPr>
      <w:r>
        <w:rPr>
          <w:rFonts w:ascii="Calibri" w:hAnsi="Calibri" w:eastAsia="Calibri"/>
          <w:b w:val="0"/>
          <w:color w:val="5A5A5A"/>
          <w:sz w:val="20"/>
        </w:rPr>
        <w:t>Narrativa alinhada para a apresentação · Uso interno · 2026</w:t>
      </w:r>
    </w:p>
    <w:p>
      <w:pPr>
        <w:jc w:val="center"/>
      </w:pPr>
      <w:r>
        <w:rPr>
          <w:rFonts w:ascii="Calibri" w:hAnsi="Calibri" w:eastAsia="Calibri"/>
          <w:b/>
          <w:color w:val="A10F14"/>
          <w:sz w:val="22"/>
        </w:rPr>
        <w:t>Regra: slide 16 confirma valor · só então 17 e 18</w:t>
      </w:r>
    </w:p>
    <w:p>
      <w:pPr>
        <w:spacing w:before="280" w:after="120"/>
      </w:pPr>
      <w:r>
        <w:rPr>
          <w:rFonts w:ascii="Calibri" w:hAnsi="Calibri" w:eastAsia="Calibri"/>
          <w:b/>
          <w:color w:val="A10F14"/>
          <w:sz w:val="32"/>
        </w:rPr>
        <w:t>1. Por que perguntas antes do preço</w:t>
      </w:r>
    </w:p>
    <w:p>
      <w:pPr>
        <w:spacing w:after="120"/>
      </w:pPr>
      <w:r>
        <w:rPr>
          <w:rFonts w:ascii="Calibri" w:hAnsi="Calibri" w:eastAsia="Calibri"/>
          <w:b w:val="0"/>
          <w:color w:val="5A5A5A"/>
          <w:sz w:val="22"/>
        </w:rPr>
        <w:t>O deck da Almeida e Neves termina no investimento. Se a call só “passa slides” até o número, o preço vira o protagonista — e a objeção nasce sozinha.</w:t>
      </w:r>
    </w:p>
    <w:p>
      <w:pPr>
        <w:spacing w:after="120"/>
      </w:pPr>
      <w:r>
        <w:rPr>
          <w:rFonts w:ascii="Calibri" w:hAnsi="Calibri" w:eastAsia="Calibri"/>
          <w:b w:val="0"/>
          <w:color w:val="5A5A5A"/>
          <w:sz w:val="22"/>
        </w:rPr>
        <w:t>A narrativa que estamos alinhando inverte isso: cada bloco vende uma decisão. Só abrimos valores depois que Antônio confirma o resultado desejado.</w:t>
      </w:r>
    </w:p>
    <w:p>
      <w:pPr>
        <w:spacing w:after="120"/>
      </w:pPr>
      <w:r>
        <w:rPr>
          <w:rFonts w:ascii="Calibri" w:hAnsi="Calibri" w:eastAsia="Calibri"/>
          <w:b/>
          <w:color w:val="1C1C1C"/>
          <w:sz w:val="22"/>
        </w:rPr>
        <w:t xml:space="preserve">Tese: </w:t>
      </w:r>
      <w:r>
        <w:rPr>
          <w:rFonts w:ascii="Calibri" w:hAnsi="Calibri" w:eastAsia="Calibri"/>
          <w:b w:val="0"/>
          <w:color w:val="5A5A5A"/>
          <w:sz w:val="22"/>
        </w:rPr>
        <w:t>Preço fecha a conversa — não a substitui. Sem commit verbal no resultado, o investimento vira tabela.</w:t>
      </w:r>
    </w:p>
    <w:p>
      <w:pPr>
        <w:spacing w:after="120"/>
      </w:pPr>
      <w:r>
        <w:rPr>
          <w:rFonts w:ascii="Calibri" w:hAnsi="Calibri" w:eastAsia="Calibri"/>
          <w:b w:val="0"/>
          <w:color w:val="5A5A5A"/>
          <w:sz w:val="22"/>
        </w:rPr>
        <w:t>01 Alinhar (direção e gap) → 02 Construir (EC + GTM + base) → 03 Travar resultado (slide 16) → 04 Investir (âncora → condição → próximo passo).</w:t>
      </w:r>
    </w:p>
    <w:p>
      <w:pPr>
        <w:spacing w:before="280" w:after="120"/>
      </w:pPr>
      <w:r>
        <w:rPr>
          <w:rFonts w:ascii="Calibri" w:hAnsi="Calibri" w:eastAsia="Calibri"/>
          <w:b/>
          <w:color w:val="A10F14"/>
          <w:sz w:val="32"/>
        </w:rPr>
        <w:t>2. Linha mestra da call</w:t>
      </w:r>
    </w:p>
    <w:p>
      <w:pPr>
        <w:spacing w:after="120"/>
      </w:pPr>
      <w:r>
        <w:rPr>
          <w:rFonts w:ascii="Calibri" w:hAnsi="Calibri" w:eastAsia="Calibri"/>
          <w:b w:val="0"/>
          <w:color w:val="5A5A5A"/>
          <w:sz w:val="22"/>
        </w:rPr>
        <w:t>“Vocês já têm capacidade técnica e relacionamento. O que falta é transformar isso em operação comercial — oferta clara, piloto controlado, registro e presença coerente — para validar a nova rota sem depender só da Mosaic.”</w:t>
      </w:r>
    </w:p>
    <w:p>
      <w:pPr>
        <w:spacing w:after="120"/>
      </w:pPr>
      <w:r>
        <w:rPr>
          <w:rFonts w:ascii="Calibri" w:hAnsi="Calibri" w:eastAsia="Calibri"/>
          <w:b/>
          <w:color w:val="1C1C1C"/>
          <w:sz w:val="22"/>
        </w:rPr>
        <w:t xml:space="preserve">Decisor: </w:t>
      </w:r>
      <w:r>
        <w:rPr>
          <w:rFonts w:ascii="Calibri" w:hAnsi="Calibri" w:eastAsia="Calibri"/>
          <w:b w:val="0"/>
          <w:color w:val="5A5A5A"/>
          <w:sz w:val="22"/>
        </w:rPr>
        <w:t>Antônio (integral).</w:t>
      </w:r>
    </w:p>
    <w:p>
      <w:pPr>
        <w:spacing w:after="120"/>
      </w:pPr>
      <w:r>
        <w:rPr>
          <w:rFonts w:ascii="Calibri" w:hAnsi="Calibri" w:eastAsia="Calibri"/>
          <w:b/>
          <w:color w:val="1C1C1C"/>
          <w:sz w:val="22"/>
        </w:rPr>
        <w:t xml:space="preserve">Núcleo: </w:t>
      </w:r>
      <w:r>
        <w:rPr>
          <w:rFonts w:ascii="Calibri" w:hAnsi="Calibri" w:eastAsia="Calibri"/>
          <w:b w:val="0"/>
          <w:color w:val="5A5A5A"/>
          <w:sz w:val="22"/>
        </w:rPr>
        <w:t>Estruturação Comercial + GTM piloto.</w:t>
      </w:r>
    </w:p>
    <w:p>
      <w:pPr>
        <w:spacing w:after="120"/>
      </w:pPr>
      <w:r>
        <w:rPr>
          <w:rFonts w:ascii="Calibri" w:hAnsi="Calibri" w:eastAsia="Calibri"/>
          <w:b/>
          <w:color w:val="1C1C1C"/>
          <w:sz w:val="22"/>
        </w:rPr>
        <w:t xml:space="preserve">Apoio: </w:t>
      </w:r>
      <w:r>
        <w:rPr>
          <w:rFonts w:ascii="Calibri" w:hAnsi="Calibri" w:eastAsia="Calibri"/>
          <w:b w:val="0"/>
          <w:color w:val="5A5A5A"/>
          <w:sz w:val="22"/>
        </w:rPr>
        <w:t>Site com Blog + setup social.</w:t>
      </w:r>
    </w:p>
    <w:p>
      <w:pPr>
        <w:spacing w:after="120"/>
      </w:pPr>
      <w:r>
        <w:rPr>
          <w:rFonts w:ascii="Calibri" w:hAnsi="Calibri" w:eastAsia="Calibri"/>
          <w:b/>
          <w:color w:val="1C1C1C"/>
          <w:sz w:val="22"/>
        </w:rPr>
        <w:t xml:space="preserve">Fora agora: </w:t>
      </w:r>
      <w:r>
        <w:rPr>
          <w:rFonts w:ascii="Calibri" w:hAnsi="Calibri" w:eastAsia="Calibri"/>
          <w:b w:val="0"/>
          <w:color w:val="5A5A5A"/>
          <w:sz w:val="22"/>
        </w:rPr>
        <w:t>mídia / inbound em escala como premissa.</w:t>
      </w:r>
    </w:p>
    <w:p>
      <w:pPr>
        <w:spacing w:before="280" w:after="120"/>
      </w:pPr>
      <w:r>
        <w:rPr>
          <w:rFonts w:ascii="Calibri" w:hAnsi="Calibri" w:eastAsia="Calibri"/>
          <w:b/>
          <w:color w:val="A10F14"/>
          <w:sz w:val="32"/>
        </w:rPr>
        <w:t>3. Sequência de perguntas (antes dos valores)</w:t>
      </w:r>
    </w:p>
    <w:p>
      <w:pPr>
        <w:spacing w:after="120"/>
      </w:pPr>
      <w:r>
        <w:rPr>
          <w:rFonts w:ascii="Calibri" w:hAnsi="Calibri" w:eastAsia="Calibri"/>
          <w:b w:val="0"/>
          <w:color w:val="5A5A5A"/>
          <w:sz w:val="22"/>
        </w:rPr>
        <w:t>Use as perguntas na ordem. Não precisa ler todas como roteiro rígido — precisa sair de cada bloco com um “sim” (ou ajuste explícito).</w:t>
      </w:r>
    </w:p>
    <w:p>
      <w:pPr>
        <w:spacing w:before="280" w:after="120"/>
      </w:pPr>
      <w:r>
        <w:rPr>
          <w:rFonts w:ascii="Calibri" w:hAnsi="Calibri" w:eastAsia="Calibri"/>
          <w:b/>
          <w:color w:val="C4181E"/>
          <w:sz w:val="26"/>
        </w:rPr>
        <w:t>Bloco A · Abertura e direção</w:t>
      </w:r>
    </w:p>
    <w:p>
      <w:pPr>
        <w:spacing w:before="200" w:after="40"/>
      </w:pPr>
      <w:r>
        <w:rPr>
          <w:rFonts w:ascii="Calibri" w:hAnsi="Calibri" w:eastAsia="Calibri"/>
          <w:b/>
          <w:color w:val="A10F14"/>
          <w:sz w:val="18"/>
        </w:rPr>
        <w:t>P1 · Slide 01 · Capa</w:t>
      </w:r>
    </w:p>
    <w:p>
      <w:pPr>
        <w:spacing w:after="40"/>
      </w:pPr>
      <w:r>
        <w:rPr>
          <w:rFonts w:ascii="Calibri" w:hAnsi="Calibri" w:eastAsia="Calibri"/>
          <w:b/>
          <w:color w:val="1C1C1C"/>
          <w:sz w:val="22"/>
        </w:rPr>
        <w:t>“Se eu resumir o objetivo de vocês como diversificar com previsibilidade — sem depender só de um cliente-âncora — faz sentido?”</w:t>
      </w:r>
    </w:p>
    <w:p>
      <w:pPr>
        <w:spacing w:after="80"/>
      </w:pPr>
      <w:r>
        <w:rPr>
          <w:rFonts w:ascii="Calibri" w:hAnsi="Calibri" w:eastAsia="Calibri"/>
          <w:b/>
          <w:color w:val="1C1C1C"/>
          <w:sz w:val="20"/>
        </w:rPr>
        <w:t xml:space="preserve">Para que serve: </w:t>
      </w:r>
      <w:r>
        <w:rPr>
          <w:rFonts w:ascii="Calibri" w:hAnsi="Calibri" w:eastAsia="Calibri"/>
          <w:b w:val="0"/>
          <w:color w:val="5A5A5A"/>
          <w:sz w:val="20"/>
        </w:rPr>
        <w:t>Ancorar Mosaic/diversificação sem acusar. Se não confirmar, recalibrar a tese antes de seguir.</w:t>
      </w:r>
    </w:p>
    <w:p>
      <w:pPr>
        <w:spacing w:before="200" w:after="40"/>
      </w:pPr>
      <w:r>
        <w:rPr>
          <w:rFonts w:ascii="Calibri" w:hAnsi="Calibri" w:eastAsia="Calibri"/>
          <w:b/>
          <w:color w:val="A10F14"/>
          <w:sz w:val="18"/>
        </w:rPr>
        <w:t>P2 · Slide 02 · Validar antes de escalar</w:t>
      </w:r>
    </w:p>
    <w:p>
      <w:pPr>
        <w:spacing w:after="40"/>
      </w:pPr>
      <w:r>
        <w:rPr>
          <w:rFonts w:ascii="Calibri" w:hAnsi="Calibri" w:eastAsia="Calibri"/>
          <w:b/>
          <w:color w:val="1C1C1C"/>
          <w:sz w:val="22"/>
        </w:rPr>
        <w:t>“Faz sentido pra vocês começar pelo piloto relacional antes de pensar em volume?”</w:t>
      </w:r>
    </w:p>
    <w:p>
      <w:pPr>
        <w:spacing w:after="80"/>
      </w:pPr>
      <w:r>
        <w:rPr>
          <w:rFonts w:ascii="Calibri" w:hAnsi="Calibri" w:eastAsia="Calibri"/>
          <w:b/>
          <w:color w:val="1C1C1C"/>
          <w:sz w:val="20"/>
        </w:rPr>
        <w:t xml:space="preserve">Para que serve: </w:t>
      </w:r>
      <w:r>
        <w:rPr>
          <w:rFonts w:ascii="Calibri" w:hAnsi="Calibri" w:eastAsia="Calibri"/>
          <w:b w:val="0"/>
          <w:color w:val="5A5A5A"/>
          <w:sz w:val="20"/>
        </w:rPr>
        <w:t>Matar a expectativa de mídia/escala no mês 1. Sem esse sim, o resto da proposta parece “pequeno”.</w:t>
      </w:r>
    </w:p>
    <w:p>
      <w:pPr>
        <w:spacing w:before="200" w:after="40"/>
      </w:pPr>
      <w:r>
        <w:rPr>
          <w:rFonts w:ascii="Calibri" w:hAnsi="Calibri" w:eastAsia="Calibri"/>
          <w:b/>
          <w:color w:val="A10F14"/>
          <w:sz w:val="18"/>
        </w:rPr>
        <w:t>P3 · Slide 03 · Maturidade N1</w:t>
      </w:r>
    </w:p>
    <w:p>
      <w:pPr>
        <w:spacing w:after="40"/>
      </w:pPr>
      <w:r>
        <w:rPr>
          <w:rFonts w:ascii="Calibri" w:hAnsi="Calibri" w:eastAsia="Calibri"/>
          <w:b/>
          <w:color w:val="1C1C1C"/>
          <w:sz w:val="22"/>
        </w:rPr>
        <w:t>“Se eu disser que o gargalo não é ‘ter ideia’ — é ‘operar com padrão’ — vocês concordam?”</w:t>
      </w:r>
    </w:p>
    <w:p>
      <w:pPr>
        <w:spacing w:after="80"/>
      </w:pPr>
      <w:r>
        <w:rPr>
          <w:rFonts w:ascii="Calibri" w:hAnsi="Calibri" w:eastAsia="Calibri"/>
          <w:b/>
          <w:color w:val="1C1C1C"/>
          <w:sz w:val="20"/>
        </w:rPr>
        <w:t xml:space="preserve">Para que serve: </w:t>
      </w:r>
      <w:r>
        <w:rPr>
          <w:rFonts w:ascii="Calibri" w:hAnsi="Calibri" w:eastAsia="Calibri"/>
          <w:b w:val="0"/>
          <w:color w:val="5A5A5A"/>
          <w:sz w:val="20"/>
        </w:rPr>
        <w:t>Separar preparação de operação. Evita defesa (“já temos LP / relacionamento”).</w:t>
      </w:r>
    </w:p>
    <w:p>
      <w:pPr>
        <w:spacing w:before="280" w:after="120"/>
      </w:pPr>
      <w:r>
        <w:rPr>
          <w:rFonts w:ascii="Calibri" w:hAnsi="Calibri" w:eastAsia="Calibri"/>
          <w:b/>
          <w:color w:val="C4181E"/>
          <w:sz w:val="26"/>
        </w:rPr>
        <w:t>Bloco B · Solução e adoção</w:t>
      </w:r>
    </w:p>
    <w:p>
      <w:pPr>
        <w:spacing w:before="200" w:after="40"/>
      </w:pPr>
      <w:r>
        <w:rPr>
          <w:rFonts w:ascii="Calibri" w:hAnsi="Calibri" w:eastAsia="Calibri"/>
          <w:b/>
          <w:color w:val="A10F14"/>
          <w:sz w:val="18"/>
        </w:rPr>
        <w:t>P4 · Slide 04–05 · N2 e arquitetura</w:t>
      </w:r>
    </w:p>
    <w:p>
      <w:pPr>
        <w:spacing w:after="40"/>
      </w:pPr>
      <w:r>
        <w:rPr>
          <w:rFonts w:ascii="Calibri" w:hAnsi="Calibri" w:eastAsia="Calibri"/>
          <w:b/>
          <w:color w:val="1C1C1C"/>
          <w:sz w:val="22"/>
        </w:rPr>
        <w:t>“Faz sentido a Estruturação Comercial como núcleo e o digital como apoio da conversa comercial?”</w:t>
      </w:r>
    </w:p>
    <w:p>
      <w:pPr>
        <w:spacing w:after="80"/>
      </w:pPr>
      <w:r>
        <w:rPr>
          <w:rFonts w:ascii="Calibri" w:hAnsi="Calibri" w:eastAsia="Calibri"/>
          <w:b/>
          <w:color w:val="1C1C1C"/>
          <w:sz w:val="20"/>
        </w:rPr>
        <w:t xml:space="preserve">Para que serve: </w:t>
      </w:r>
      <w:r>
        <w:rPr>
          <w:rFonts w:ascii="Calibri" w:hAnsi="Calibri" w:eastAsia="Calibri"/>
          <w:b w:val="0"/>
          <w:color w:val="5A5A5A"/>
          <w:sz w:val="20"/>
        </w:rPr>
        <w:t>Hierarquizar EC &gt; Site &gt; Social. Impede “quero só o site”.</w:t>
      </w:r>
    </w:p>
    <w:p>
      <w:pPr>
        <w:spacing w:before="200" w:after="40"/>
      </w:pPr>
      <w:r>
        <w:rPr>
          <w:rFonts w:ascii="Calibri" w:hAnsi="Calibri" w:eastAsia="Calibri"/>
          <w:b/>
          <w:color w:val="A10F14"/>
          <w:sz w:val="18"/>
        </w:rPr>
        <w:t>P5 · Slide 06–08 · Prazo, produto, GTM</w:t>
      </w:r>
    </w:p>
    <w:p>
      <w:pPr>
        <w:spacing w:after="40"/>
      </w:pPr>
      <w:r>
        <w:rPr>
          <w:rFonts w:ascii="Calibri" w:hAnsi="Calibri" w:eastAsia="Calibri"/>
          <w:b/>
          <w:color w:val="1C1C1C"/>
          <w:sz w:val="22"/>
        </w:rPr>
        <w:t>“Prefere um piloto curto com aprendizado claro, ou já partir para volume sem evidência?”</w:t>
      </w:r>
    </w:p>
    <w:p>
      <w:pPr>
        <w:spacing w:after="80"/>
      </w:pPr>
      <w:r>
        <w:rPr>
          <w:rFonts w:ascii="Calibri" w:hAnsi="Calibri" w:eastAsia="Calibri"/>
          <w:b/>
          <w:color w:val="1C1C1C"/>
          <w:sz w:val="20"/>
        </w:rPr>
        <w:t xml:space="preserve">Para que serve: </w:t>
      </w:r>
      <w:r>
        <w:rPr>
          <w:rFonts w:ascii="Calibri" w:hAnsi="Calibri" w:eastAsia="Calibri"/>
          <w:b w:val="0"/>
          <w:color w:val="5A5A5A"/>
          <w:sz w:val="20"/>
        </w:rPr>
        <w:t>Forçar escolha racional. Quase sempre fecha no piloto — e isso valida o desenho da proposta.</w:t>
      </w:r>
    </w:p>
    <w:p>
      <w:pPr>
        <w:spacing w:before="200" w:after="40"/>
      </w:pPr>
      <w:r>
        <w:rPr>
          <w:rFonts w:ascii="Calibri" w:hAnsi="Calibri" w:eastAsia="Calibri"/>
          <w:b/>
          <w:color w:val="A10F14"/>
          <w:sz w:val="18"/>
        </w:rPr>
        <w:t>P6 · Slide 10 · Operação / CRM</w:t>
      </w:r>
    </w:p>
    <w:p>
      <w:pPr>
        <w:spacing w:after="40"/>
      </w:pPr>
      <w:r>
        <w:rPr>
          <w:rFonts w:ascii="Calibri" w:hAnsi="Calibri" w:eastAsia="Calibri"/>
          <w:b/>
          <w:color w:val="1C1C1C"/>
          <w:sz w:val="22"/>
        </w:rPr>
        <w:t>“Hoje, se eu perguntar quantas conversas estão abertas e qual a próxima ação de cada uma — isso está num lugar só?”</w:t>
      </w:r>
    </w:p>
    <w:p>
      <w:pPr>
        <w:spacing w:after="80"/>
      </w:pPr>
      <w:r>
        <w:rPr>
          <w:rFonts w:ascii="Calibri" w:hAnsi="Calibri" w:eastAsia="Calibri"/>
          <w:b/>
          <w:color w:val="1C1C1C"/>
          <w:sz w:val="20"/>
        </w:rPr>
        <w:t xml:space="preserve">Para que serve: </w:t>
      </w:r>
      <w:r>
        <w:rPr>
          <w:rFonts w:ascii="Calibri" w:hAnsi="Calibri" w:eastAsia="Calibri"/>
          <w:b w:val="0"/>
          <w:color w:val="5A5A5A"/>
          <w:sz w:val="20"/>
        </w:rPr>
        <w:t>Revelar ausência de fonte única sem humilhar. Justifica CRM/ritual como decisão, não ferramenta.</w:t>
      </w:r>
    </w:p>
    <w:p>
      <w:pPr>
        <w:spacing w:before="200" w:after="40"/>
      </w:pPr>
      <w:r>
        <w:rPr>
          <w:rFonts w:ascii="Calibri" w:hAnsi="Calibri" w:eastAsia="Calibri"/>
          <w:b/>
          <w:color w:val="A10F14"/>
          <w:sz w:val="18"/>
        </w:rPr>
        <w:t>P7 · Slide 14–15 · Sequência e responsáveis</w:t>
      </w:r>
    </w:p>
    <w:p>
      <w:pPr>
        <w:spacing w:after="40"/>
      </w:pPr>
      <w:r>
        <w:rPr>
          <w:rFonts w:ascii="Calibri" w:hAnsi="Calibri" w:eastAsia="Calibri"/>
          <w:b/>
          <w:color w:val="1C1C1C"/>
          <w:sz w:val="22"/>
        </w:rPr>
        <w:t>“Quem, do lado de vocês, seria o dono do piloto na prática?”</w:t>
      </w:r>
    </w:p>
    <w:p>
      <w:pPr>
        <w:spacing w:after="80"/>
      </w:pPr>
      <w:r>
        <w:rPr>
          <w:rFonts w:ascii="Calibri" w:hAnsi="Calibri" w:eastAsia="Calibri"/>
          <w:b/>
          <w:color w:val="1C1C1C"/>
          <w:sz w:val="20"/>
        </w:rPr>
        <w:t xml:space="preserve">Para que serve: </w:t>
      </w:r>
      <w:r>
        <w:rPr>
          <w:rFonts w:ascii="Calibri" w:hAnsi="Calibri" w:eastAsia="Calibri"/>
          <w:b w:val="0"/>
          <w:color w:val="5A5A5A"/>
          <w:sz w:val="20"/>
        </w:rPr>
        <w:t>Testar adoção. Sem dono, preço depois vira “não temos tempo”.</w:t>
      </w:r>
    </w:p>
    <w:p>
      <w:pPr>
        <w:spacing w:before="280" w:after="120"/>
      </w:pPr>
      <w:r>
        <w:rPr>
          <w:rFonts w:ascii="Calibri" w:hAnsi="Calibri" w:eastAsia="Calibri"/>
          <w:b/>
          <w:color w:val="C4181E"/>
          <w:sz w:val="26"/>
        </w:rPr>
        <w:t>Bloco C · Gate obrigatório (antes de abrir valores)</w:t>
      </w:r>
    </w:p>
    <w:p>
      <w:pPr>
        <w:spacing w:before="200" w:after="40"/>
      </w:pPr>
      <w:r>
        <w:rPr>
          <w:rFonts w:ascii="Calibri" w:hAnsi="Calibri" w:eastAsia="Calibri"/>
          <w:b/>
          <w:color w:val="167846"/>
          <w:sz w:val="18"/>
        </w:rPr>
        <w:t>GATE · P-GATE · Slide 16 · Resultado esperado</w:t>
      </w:r>
    </w:p>
    <w:p>
      <w:pPr>
        <w:spacing w:after="40"/>
      </w:pPr>
      <w:r>
        <w:rPr>
          <w:rFonts w:ascii="Calibri" w:hAnsi="Calibri" w:eastAsia="Calibri"/>
          <w:b/>
          <w:color w:val="1C1C1C"/>
          <w:sz w:val="22"/>
        </w:rPr>
        <w:t>“Olhando clareza + operação + aprendizado — isso é o resultado que faz sentido para a Almeida e Neves agora?”</w:t>
      </w:r>
    </w:p>
    <w:p>
      <w:pPr>
        <w:spacing w:after="80"/>
      </w:pPr>
      <w:r>
        <w:rPr>
          <w:rFonts w:ascii="Calibri" w:hAnsi="Calibri" w:eastAsia="Calibri"/>
          <w:b/>
          <w:color w:val="1C1C1C"/>
          <w:sz w:val="20"/>
        </w:rPr>
        <w:t xml:space="preserve">Para que serve: </w:t>
      </w:r>
      <w:r>
        <w:rPr>
          <w:rFonts w:ascii="Calibri" w:hAnsi="Calibri" w:eastAsia="Calibri"/>
          <w:b w:val="0"/>
          <w:color w:val="5A5A5A"/>
          <w:sz w:val="20"/>
        </w:rPr>
        <w:t>Commit verbal no valor percebido. Se não vier um sim claro, NÃO avance para os slides 17 e 18. Volte ao ponto que ficou frouxo (núcleo, prazo, dono ou expectativa de mídia).</w:t>
      </w:r>
    </w:p>
    <w:p>
      <w:pPr>
        <w:spacing w:after="120"/>
      </w:pPr>
      <w:r>
        <w:rPr>
          <w:rFonts w:ascii="Calibri" w:hAnsi="Calibri" w:eastAsia="Calibri"/>
          <w:b/>
          <w:color w:val="1C1C1C"/>
          <w:sz w:val="22"/>
        </w:rPr>
        <w:t xml:space="preserve">Regra de ouro: </w:t>
      </w:r>
      <w:r>
        <w:rPr>
          <w:rFonts w:ascii="Calibri" w:hAnsi="Calibri" w:eastAsia="Calibri"/>
          <w:b w:val="0"/>
          <w:color w:val="5A5A5A"/>
          <w:sz w:val="22"/>
        </w:rPr>
        <w:t>Só mostre investimento depois desta confirmação. Sem ela, o número compete com dúvida — e perde.</w:t>
      </w:r>
    </w:p>
    <w:p>
      <w:pPr>
        <w:spacing w:before="280" w:after="120"/>
      </w:pPr>
      <w:r>
        <w:rPr>
          <w:rFonts w:ascii="Calibri" w:hAnsi="Calibri" w:eastAsia="Calibri"/>
          <w:b/>
          <w:color w:val="A10F14"/>
          <w:sz w:val="32"/>
        </w:rPr>
        <w:t>4. Como abrir os valores (depois do gate)</w:t>
      </w:r>
    </w:p>
    <w:p>
      <w:pPr>
        <w:spacing w:after="120"/>
      </w:pPr>
      <w:r>
        <w:rPr>
          <w:rFonts w:ascii="Calibri" w:hAnsi="Calibri" w:eastAsia="Calibri"/>
          <w:b w:val="0"/>
          <w:color w:val="5A5A5A"/>
          <w:sz w:val="22"/>
        </w:rPr>
        <w:t>Com o sim do slide 16, a ordem da fala no investimento é fixa:</w:t>
      </w:r>
    </w:p>
    <w:p>
      <w:pPr>
        <w:spacing w:after="120"/>
      </w:pPr>
      <w:r>
        <w:rPr>
          <w:rFonts w:ascii="Calibri" w:hAnsi="Calibri" w:eastAsia="Calibri"/>
          <w:b/>
          <w:color w:val="1C1C1C"/>
          <w:sz w:val="22"/>
        </w:rPr>
        <w:t xml:space="preserve">1) </w:t>
      </w:r>
      <w:r>
        <w:rPr>
          <w:rFonts w:ascii="Calibri" w:hAnsi="Calibri" w:eastAsia="Calibri"/>
          <w:b w:val="0"/>
          <w:color w:val="5A5A5A"/>
          <w:sz w:val="22"/>
        </w:rPr>
        <w:t>Slide 17 — Âncora: valores individuais (Setup R$ 5.125,87 · Site R$ 20.265,32 · EC R$ 62.336,82 · total separado R$ 87.728,01). Não negociar aqui.</w:t>
      </w:r>
    </w:p>
    <w:p>
      <w:pPr>
        <w:spacing w:after="120"/>
      </w:pPr>
      <w:r>
        <w:rPr>
          <w:rFonts w:ascii="Calibri" w:hAnsi="Calibri" w:eastAsia="Calibri"/>
          <w:b/>
          <w:color w:val="1C1C1C"/>
          <w:sz w:val="22"/>
        </w:rPr>
        <w:t xml:space="preserve">2) </w:t>
      </w:r>
      <w:r>
        <w:rPr>
          <w:rFonts w:ascii="Calibri" w:hAnsi="Calibri" w:eastAsia="Calibri"/>
          <w:b w:val="0"/>
          <w:color w:val="5A5A5A"/>
          <w:sz w:val="22"/>
        </w:rPr>
        <w:t>Slide 18 — Condição: solução completa R$ 62.122,87 · economia ~R$ 25,6 mil · 12× R$ 5.176,91.</w:t>
      </w:r>
    </w:p>
    <w:p>
      <w:pPr>
        <w:spacing w:after="120"/>
      </w:pPr>
      <w:r>
        <w:rPr>
          <w:rFonts w:ascii="Calibri" w:hAnsi="Calibri" w:eastAsia="Calibri"/>
          <w:b/>
          <w:color w:val="1C1C1C"/>
          <w:sz w:val="22"/>
        </w:rPr>
        <w:t xml:space="preserve">3) </w:t>
      </w:r>
      <w:r>
        <w:rPr>
          <w:rFonts w:ascii="Calibri" w:hAnsi="Calibri" w:eastAsia="Calibri"/>
          <w:b w:val="0"/>
          <w:color w:val="5A5A5A"/>
          <w:sz w:val="22"/>
        </w:rPr>
        <w:t>Tradução imediata: “cerca de R$ 5,2 mil/mês para instalar base comercial + presença que sustenta o piloto.”</w:t>
      </w:r>
    </w:p>
    <w:p>
      <w:pPr>
        <w:spacing w:after="120"/>
      </w:pPr>
      <w:r>
        <w:rPr>
          <w:rFonts w:ascii="Calibri" w:hAnsi="Calibri" w:eastAsia="Calibri"/>
          <w:b/>
          <w:color w:val="1C1C1C"/>
          <w:sz w:val="22"/>
        </w:rPr>
        <w:t xml:space="preserve">4) </w:t>
      </w:r>
      <w:r>
        <w:rPr>
          <w:rFonts w:ascii="Calibri" w:hAnsi="Calibri" w:eastAsia="Calibri"/>
          <w:b w:val="0"/>
          <w:color w:val="5A5A5A"/>
          <w:sz w:val="22"/>
        </w:rPr>
        <w:t>Não ficar em silêncio depois do número — ir para a pergunta de avanço.</w:t>
      </w:r>
    </w:p>
    <w:p>
      <w:pPr>
        <w:spacing w:before="200" w:after="40"/>
      </w:pPr>
      <w:r>
        <w:rPr>
          <w:rFonts w:ascii="Calibri" w:hAnsi="Calibri" w:eastAsia="Calibri"/>
          <w:b/>
          <w:color w:val="A10F14"/>
          <w:sz w:val="18"/>
        </w:rPr>
        <w:t>P8 · Slide 18 · Ainda no preço</w:t>
      </w:r>
    </w:p>
    <w:p>
      <w:pPr>
        <w:spacing w:after="40"/>
      </w:pPr>
      <w:r>
        <w:rPr>
          <w:rFonts w:ascii="Calibri" w:hAnsi="Calibri" w:eastAsia="Calibri"/>
          <w:b/>
          <w:color w:val="1C1C1C"/>
          <w:sz w:val="22"/>
        </w:rPr>
        <w:t>“Olhando escopo + condição, o que ainda precisa ficar claro para avançarmos — escopo, ritmo ou investimento?”</w:t>
      </w:r>
    </w:p>
    <w:p>
      <w:pPr>
        <w:spacing w:after="80"/>
      </w:pPr>
      <w:r>
        <w:rPr>
          <w:rFonts w:ascii="Calibri" w:hAnsi="Calibri" w:eastAsia="Calibri"/>
          <w:b/>
          <w:color w:val="1C1C1C"/>
          <w:sz w:val="20"/>
        </w:rPr>
        <w:t xml:space="preserve">Para que serve: </w:t>
      </w:r>
      <w:r>
        <w:rPr>
          <w:rFonts w:ascii="Calibri" w:hAnsi="Calibri" w:eastAsia="Calibri"/>
          <w:b w:val="0"/>
          <w:color w:val="5A5A5A"/>
          <w:sz w:val="20"/>
        </w:rPr>
        <w:t>Classificar a objeção. Impede o “vou pensar” genérico.</w:t>
      </w:r>
    </w:p>
    <w:p>
      <w:pPr>
        <w:spacing w:before="280" w:after="120"/>
      </w:pPr>
      <w:r>
        <w:rPr>
          <w:rFonts w:ascii="Calibri" w:hAnsi="Calibri" w:eastAsia="Calibri"/>
          <w:b/>
          <w:color w:val="A10F14"/>
          <w:sz w:val="32"/>
        </w:rPr>
        <w:t>5. Fechamento oral (o deck acaba no preço — a call não)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Situação</w:t>
            </w:r>
          </w:p>
        </w:tc>
        <w:tc>
          <w:tcPr>
            <w:tcW w:type="dxa" w:w="4824"/>
          </w:tcPr>
          <w:p>
            <w:r>
              <w:t>Pergunta / CTA</w:t>
            </w:r>
          </w:p>
        </w:tc>
      </w:tr>
      <w:tr>
        <w:tc>
          <w:tcPr>
            <w:tcW w:type="dxa" w:w="4824"/>
          </w:tcPr>
          <w:p>
            <w:r>
              <w:t>Sinal verde</w:t>
            </w:r>
          </w:p>
        </w:tc>
        <w:tc>
          <w:tcPr>
            <w:tcW w:type="dxa" w:w="4824"/>
          </w:tcPr>
          <w:p>
            <w:r>
              <w:t>“Podemos seguir com a formalização da solução completa nessa condição especial?”</w:t>
            </w:r>
          </w:p>
        </w:tc>
      </w:tr>
      <w:tr>
        <w:tc>
          <w:tcPr>
            <w:tcW w:type="dxa" w:w="4824"/>
          </w:tcPr>
          <w:p>
            <w:r>
              <w:t>Assumptive</w:t>
            </w:r>
          </w:p>
        </w:tc>
        <w:tc>
          <w:tcPr>
            <w:tcW w:type="dxa" w:w="4824"/>
          </w:tcPr>
          <w:p>
            <w:r>
              <w:t>“Podemos já deixar o kick-off na próxima semana e seguir com a formalização?”</w:t>
            </w:r>
          </w:p>
        </w:tc>
      </w:tr>
      <w:tr>
        <w:tc>
          <w:tcPr>
            <w:tcW w:type="dxa" w:w="4824"/>
          </w:tcPr>
          <w:p>
            <w:r>
              <w:t>Alternativa</w:t>
            </w:r>
          </w:p>
        </w:tc>
        <w:tc>
          <w:tcPr>
            <w:tcW w:type="dxa" w:w="4824"/>
          </w:tcPr>
          <w:p>
            <w:r>
              <w:t>“Prefere avançar com o pacote completo ou priorizar só a Estruturação Comercial neste momento?”</w:t>
            </w:r>
          </w:p>
        </w:tc>
      </w:tr>
      <w:tr>
        <w:tc>
          <w:tcPr>
            <w:tcW w:type="dxa" w:w="4824"/>
          </w:tcPr>
          <w:p>
            <w:r>
              <w:t>Pediu tempo</w:t>
            </w:r>
          </w:p>
        </w:tc>
        <w:tc>
          <w:tcPr>
            <w:tcW w:type="dxa" w:w="4824"/>
          </w:tcPr>
          <w:p>
            <w:r>
              <w:t>“Qual o melhor dia/hora para devolutiva — e você decide sozinho ou precisa alinhar com alguém?”</w:t>
            </w:r>
          </w:p>
        </w:tc>
      </w:tr>
    </w:tbl>
    <w:p>
      <w:pPr>
        <w:spacing w:after="120"/>
      </w:pPr>
      <w:r>
        <w:rPr>
          <w:rFonts w:ascii="Calibri" w:hAnsi="Calibri" w:eastAsia="Calibri"/>
          <w:b/>
          <w:color w:val="1C1C1C"/>
          <w:sz w:val="22"/>
        </w:rPr>
        <w:t xml:space="preserve">Meta da call: </w:t>
      </w:r>
      <w:r>
        <w:rPr>
          <w:rFonts w:ascii="Calibri" w:hAnsi="Calibri" w:eastAsia="Calibri"/>
          <w:b w:val="0"/>
          <w:color w:val="5A5A5A"/>
          <w:sz w:val="22"/>
        </w:rPr>
        <w:t>Aceito na sala ou devolutiva ≤ 5 dias úteis com Antônio presente. Nunca deixar o último áudio ser só o preço.</w:t>
      </w:r>
    </w:p>
    <w:p>
      <w:pPr>
        <w:spacing w:before="280" w:after="120"/>
      </w:pPr>
      <w:r>
        <w:rPr>
          <w:rFonts w:ascii="Calibri" w:hAnsi="Calibri" w:eastAsia="Calibri"/>
          <w:b/>
          <w:color w:val="A10F14"/>
          <w:sz w:val="32"/>
        </w:rPr>
        <w:t>6. Se a resposta ao gate for “não” ou fria</w:t>
      </w:r>
    </w:p>
    <w:p>
      <w:pPr>
        <w:spacing w:after="120"/>
      </w:pPr>
      <w:r>
        <w:rPr>
          <w:rFonts w:ascii="Calibri" w:hAnsi="Calibri" w:eastAsia="Calibri"/>
          <w:b/>
          <w:color w:val="1C1C1C"/>
          <w:sz w:val="22"/>
        </w:rPr>
        <w:t xml:space="preserve">• </w:t>
      </w:r>
      <w:r>
        <w:rPr>
          <w:rFonts w:ascii="Calibri" w:hAnsi="Calibri" w:eastAsia="Calibri"/>
          <w:b w:val="0"/>
          <w:color w:val="5A5A5A"/>
          <w:sz w:val="22"/>
        </w:rPr>
        <w:t>Não abrir 17/18. Pergunte: “O que ainda não ficou claro — o núcleo da EC, o prazo de 6 meses, o papel de vocês no piloto ou a ausência de mídia no começo?”</w:t>
      </w:r>
    </w:p>
    <w:p>
      <w:pPr>
        <w:spacing w:after="120"/>
      </w:pPr>
      <w:r>
        <w:rPr>
          <w:rFonts w:ascii="Calibri" w:hAnsi="Calibri" w:eastAsia="Calibri"/>
          <w:b/>
          <w:color w:val="1C1C1C"/>
          <w:sz w:val="22"/>
        </w:rPr>
        <w:t xml:space="preserve">• </w:t>
      </w:r>
      <w:r>
        <w:rPr>
          <w:rFonts w:ascii="Calibri" w:hAnsi="Calibri" w:eastAsia="Calibri"/>
          <w:b w:val="0"/>
          <w:color w:val="5A5A5A"/>
          <w:sz w:val="22"/>
        </w:rPr>
        <w:t>Recuar um bloco (quase sempre P4 ou P7) e reconstruir.</w:t>
      </w:r>
    </w:p>
    <w:p>
      <w:pPr>
        <w:spacing w:after="120"/>
      </w:pPr>
      <w:r>
        <w:rPr>
          <w:rFonts w:ascii="Calibri" w:hAnsi="Calibri" w:eastAsia="Calibri"/>
          <w:b/>
          <w:color w:val="1C1C1C"/>
          <w:sz w:val="22"/>
        </w:rPr>
        <w:t xml:space="preserve">• </w:t>
      </w:r>
      <w:r>
        <w:rPr>
          <w:rFonts w:ascii="Calibri" w:hAnsi="Calibri" w:eastAsia="Calibri"/>
          <w:b w:val="0"/>
          <w:color w:val="5A5A5A"/>
          <w:sz w:val="22"/>
        </w:rPr>
        <w:t>Só então voltar ao slide 16 e repetir o gate.</w:t>
      </w:r>
    </w:p>
    <w:p>
      <w:pPr>
        <w:spacing w:before="280" w:after="120"/>
      </w:pPr>
      <w:r>
        <w:rPr>
          <w:rFonts w:ascii="Calibri" w:hAnsi="Calibri" w:eastAsia="Calibri"/>
          <w:b/>
          <w:color w:val="A10F14"/>
          <w:sz w:val="32"/>
        </w:rPr>
        <w:t>7. Objeções depois do preço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Objeção</w:t>
            </w:r>
          </w:p>
        </w:tc>
        <w:tc>
          <w:tcPr>
            <w:tcW w:type="dxa" w:w="4824"/>
          </w:tcPr>
          <w:p>
            <w:r>
              <w:t>Resposta-guia</w:t>
            </w:r>
          </w:p>
        </w:tc>
      </w:tr>
      <w:tr>
        <w:tc>
          <w:tcPr>
            <w:tcW w:type="dxa" w:w="4824"/>
          </w:tcPr>
          <w:p>
            <w:r>
              <w:t>“Está salgado / preciso ver se cabe”</w:t>
            </w:r>
          </w:p>
        </w:tc>
        <w:tc>
          <w:tcPr>
            <w:tcW w:type="dxa" w:w="4824"/>
          </w:tcPr>
          <w:p>
            <w:r>
              <w:t>Voltar à P8: escopo, ritmo ou investimento? Traduzir 12× (~R$ 5,2 mil/mês).</w:t>
            </w:r>
          </w:p>
        </w:tc>
      </w:tr>
      <w:tr>
        <w:tc>
          <w:tcPr>
            <w:tcW w:type="dxa" w:w="4824"/>
          </w:tcPr>
          <w:p>
            <w:r>
              <w:t>“Vamos pensar em mídia depois”</w:t>
            </w:r>
          </w:p>
        </w:tc>
        <w:tc>
          <w:tcPr>
            <w:tcW w:type="dxa" w:w="4824"/>
          </w:tcPr>
          <w:p>
            <w:r>
              <w:t>Concordar — e reforçar que EC + GTM piloto tornam esse depois lucrativo.</w:t>
            </w:r>
          </w:p>
        </w:tc>
      </w:tr>
      <w:tr>
        <w:tc>
          <w:tcPr>
            <w:tcW w:type="dxa" w:w="4824"/>
          </w:tcPr>
          <w:p>
            <w:r>
              <w:t>“Já temos relacionamento / LP”</w:t>
            </w:r>
          </w:p>
        </w:tc>
        <w:tc>
          <w:tcPr>
            <w:tcW w:type="dxa" w:w="4824"/>
          </w:tcPr>
          <w:p>
            <w:r>
              <w:t>Relacionamento abre porta; LP é preparação. Falta oferta, condução e registro.</w:t>
            </w:r>
          </w:p>
        </w:tc>
      </w:tr>
      <w:tr>
        <w:tc>
          <w:tcPr>
            <w:tcW w:type="dxa" w:w="4824"/>
          </w:tcPr>
          <w:p>
            <w:r>
              <w:t>“Time sem tempo”</w:t>
            </w:r>
          </w:p>
        </w:tc>
        <w:tc>
          <w:tcPr>
            <w:tcW w:type="dxa" w:w="4824"/>
          </w:tcPr>
          <w:p>
            <w:r>
              <w:t>Voltar à P7: sem dono do piloto, nenhum projeto funciona.</w:t>
            </w:r>
          </w:p>
        </w:tc>
      </w:tr>
      <w:tr>
        <w:tc>
          <w:tcPr>
            <w:tcW w:type="dxa" w:w="4824"/>
          </w:tcPr>
          <w:p>
            <w:r>
              <w:t>“Quero só o site”</w:t>
            </w:r>
          </w:p>
        </w:tc>
        <w:tc>
          <w:tcPr>
            <w:tcW w:type="dxa" w:w="4824"/>
          </w:tcPr>
          <w:p>
            <w:r>
              <w:t>Voltar à P4: site sem oferta e processo sustenta conversa que ainda improvisa.</w:t>
            </w:r>
          </w:p>
        </w:tc>
      </w:tr>
    </w:tbl>
    <w:p>
      <w:pPr>
        <w:spacing w:before="280" w:after="120"/>
      </w:pPr>
      <w:r>
        <w:rPr>
          <w:rFonts w:ascii="Calibri" w:hAnsi="Calibri" w:eastAsia="Calibri"/>
          <w:b/>
          <w:color w:val="A10F14"/>
          <w:sz w:val="32"/>
        </w:rPr>
        <w:t>8. Checklist rápido</w:t>
      </w:r>
    </w:p>
    <w:p>
      <w:pPr>
        <w:spacing w:after="120"/>
      </w:pPr>
      <w:r>
        <w:rPr>
          <w:rFonts w:ascii="Calibri" w:hAnsi="Calibri" w:eastAsia="Calibri"/>
          <w:b w:val="0"/>
          <w:color w:val="5A5A5A"/>
          <w:sz w:val="22"/>
        </w:rPr>
        <w:t>☐ P1–P3: direção e gap confirmados</w:t>
      </w:r>
    </w:p>
    <w:p>
      <w:pPr>
        <w:spacing w:after="120"/>
      </w:pPr>
      <w:r>
        <w:rPr>
          <w:rFonts w:ascii="Calibri" w:hAnsi="Calibri" w:eastAsia="Calibri"/>
          <w:b w:val="0"/>
          <w:color w:val="5A5A5A"/>
          <w:sz w:val="22"/>
        </w:rPr>
        <w:t>☐ P4–P7: núcleo EC + dono do piloto</w:t>
      </w:r>
    </w:p>
    <w:p>
      <w:pPr>
        <w:spacing w:after="120"/>
      </w:pPr>
      <w:r>
        <w:rPr>
          <w:rFonts w:ascii="Calibri" w:hAnsi="Calibri" w:eastAsia="Calibri"/>
          <w:b w:val="0"/>
          <w:color w:val="5A5A5A"/>
          <w:sz w:val="22"/>
        </w:rPr>
        <w:t>☐ GATE (slide 16): resultado confirmado</w:t>
      </w:r>
    </w:p>
    <w:p>
      <w:pPr>
        <w:spacing w:after="120"/>
      </w:pPr>
      <w:r>
        <w:rPr>
          <w:rFonts w:ascii="Calibri" w:hAnsi="Calibri" w:eastAsia="Calibri"/>
          <w:b w:val="0"/>
          <w:color w:val="5A5A5A"/>
          <w:sz w:val="22"/>
        </w:rPr>
        <w:t>☐ 17 âncora → 18 condição → tradução 12×</w:t>
      </w:r>
    </w:p>
    <w:p>
      <w:pPr>
        <w:spacing w:after="120"/>
      </w:pPr>
      <w:r>
        <w:rPr>
          <w:rFonts w:ascii="Calibri" w:hAnsi="Calibri" w:eastAsia="Calibri"/>
          <w:b w:val="0"/>
          <w:color w:val="5A5A5A"/>
          <w:sz w:val="22"/>
        </w:rPr>
        <w:t>☐ P8 + CTA / data de devolutiva</w:t>
      </w:r>
    </w:p>
    <w:p>
      <w:pPr>
        <w:spacing w:after="120"/>
      </w:pPr>
      <w:r>
        <w:rPr>
          <w:rFonts w:ascii="Calibri" w:hAnsi="Calibri" w:eastAsia="Calibri"/>
          <w:b w:val="0"/>
          <w:color w:val="5A5A5A"/>
          <w:sz w:val="22"/>
        </w:rPr>
        <w:t>☐ Resumo escrito em até 24h</w:t>
      </w:r>
    </w:p>
    <w:p>
      <w:pPr>
        <w:spacing w:before="360"/>
        <w:jc w:val="center"/>
      </w:pPr>
      <w:r>
        <w:rPr>
          <w:rFonts w:ascii="Calibri" w:hAnsi="Calibri" w:eastAsia="Calibri"/>
          <w:b w:val="0"/>
          <w:color w:val="5A5A5A"/>
          <w:sz w:val="18"/>
        </w:rPr>
        <w:t>Almeida e Neves × V4 · Perguntas antes dos valores</w:t>
        <w:br/>
        <w:t>Documento interno · narrativa alinhada à proposta comercial de estruturação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