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280001" w:val="clear"/>
          </w:tcPr>
          <w:p>
            <w:r/>
            <w:r>
              <w:rPr>
                <w:rFonts w:ascii="Calibri" w:hAnsi="Calibri"/>
                <w:b/>
                <w:i w:val="0"/>
                <w:color w:val="F5B5B8"/>
                <w:sz w:val="18"/>
              </w:rPr>
              <w:t>USO INTERNO  ·  NÃO ENVIAR AO CLIENTE</w:t>
            </w:r>
          </w:p>
          <w:p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Script de pitch</w:t>
            </w:r>
          </w:p>
          <w:p>
            <w:r>
              <w:rPr>
                <w:rFonts w:ascii="Calibri" w:hAnsi="Calibri"/>
                <w:b w:val="0"/>
                <w:i w:val="0"/>
                <w:color w:val="FFD0D0"/>
                <w:sz w:val="28"/>
              </w:rPr>
              <w:t>Dental Muller  ×  V4 Company</w:t>
            </w:r>
          </w:p>
          <w:p>
            <w:r>
              <w:rPr>
                <w:rFonts w:ascii="Calibri" w:hAnsi="Calibri"/>
                <w:b w:val="0"/>
                <w:i w:val="0"/>
                <w:color w:val="E8D0D0"/>
                <w:sz w:val="22"/>
              </w:rPr>
              <w:t>EQV + Assessoria de Growth  ·  7 slides  ·  ~18–22 min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>LINHA MESTRA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A operação já entrega. A origem complementar ainda não existe. EQV prepara o comercial para a demanda nova. Growth liga o canal no ritmo do estoque e da logística. R$ 1M é meta da empresa — não promessa de mídia.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0. Antes de abrir</w:t>
      </w:r>
    </w:p>
    <w:p>
      <w:pPr>
        <w:spacing w:after="160" w:before="0" w:line="276" w:lineRule="auto"/>
        <w:jc w:val="both"/>
      </w:pPr>
      <w:r>
        <w:rPr>
          <w:rFonts w:ascii="Calibri" w:hAnsi="Calibri"/>
          <w:b w:val="0"/>
          <w:i w:val="0"/>
          <w:color w:val="1A1A1A"/>
          <w:sz w:val="22"/>
        </w:rPr>
        <w:t>Sala cautelosa, 30 anos sem mídia, medo real de gerar demanda que a operação não atende. Tom: respeito pela operação. Continuidade da EE — não venda fria. Preço por último.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A10F14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Falar</w:t>
            </w:r>
          </w:p>
        </w:tc>
        <w:tc>
          <w:tcPr>
            <w:tcW w:type="dxa" w:w="4819"/>
            <w:shd w:fill="A10F14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Não falar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Origem complementar, demanda técnica, capacidade como critério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Nome de concorrente</w:t>
            </w:r>
          </w:p>
        </w:tc>
      </w:tr>
      <w:tr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Comercial primeiro, demanda depois</w:t>
            </w:r>
          </w:p>
        </w:tc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“Zero”, “atrasados”, “nunca fizeram nada”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EE já entregou o mapa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Faturamento mensal, ticket, volume de pedidos</w:t>
            </w:r>
          </w:p>
        </w:tc>
      </w:tr>
      <w:tr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Mídia à parte; mês 1 é fundação</w:t>
            </w:r>
          </w:p>
        </w:tc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“Não é EC completa” · lead que “morre no Zap”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Condição especial 12× R$ 9.061,19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Desconto. É condição. EE reconhecida.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1A1A1A"/>
          <w:sz w:val="22"/>
        </w:rPr>
        <w:t>Pergunta de abertura (escolhe uma): “O que mais pesa hoje: preparar o time para um canal novo, ou o risco de puxar demanda acima da entrega?”</w:t>
      </w: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1. Capa  ·  Da origem relacional ao canal previsível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4A4A4A"/>
          <w:sz w:val="20"/>
        </w:rPr>
        <w:t>Objetivo: ancorar tese. ~40s.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pPr>
              <w:spacing w:after="0"/>
            </w:pPr>
            <w:r>
              <w:t>FALA  Esta proposta não nasce hoje. Nasce do mapa que a EE já entregou. A Muller tem 30 anos de relacionamento, logística rápida e venda consultiva na Bahia. O próximo ciclo é capturar a demanda técnica que já circula no mercado — no ritmo do estoque e da entrega. Dois produtos, uma lógica: primeiro o comercial aguenta a origem nova. Depois o Growth liga o canal.</w:t>
            </w:r>
            <w:r>
              <w:rPr>
                <w:rFonts w:ascii="Calibri" w:hAnsi="Calibri"/>
                <w:b/>
                <w:i w:val="0"/>
                <w:color w:val="A10F14"/>
                <w:sz w:val="18"/>
              </w:rPr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4F4" w:val="clear"/>
          </w:tcPr>
          <w:p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>EVITAR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Abrir com preço. Reabrir diagnóstico. Prometer R$ 1M na mídia.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2. Diagnóstico  ·  A Muller já tem operação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4A4A4A"/>
          <w:sz w:val="20"/>
        </w:rPr>
        <w:t>Objetivo: espelhar a EE sem ofender. ~2 min. Passa os 6 pontos; não lê o slide.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 xml:space="preserve">FALA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A indicação construiu a empresa e continua sendo força. O que o próximo ciclo pede é um canal que chegue em quem já busca material e ainda não está na base. Essa demanda técnica — produto, disponibilidade, entrega — ainda não tem caminho estruturado até vocês. A decisão de compra acontece online; sem prova de mix e entrega, ela segue para quem já aparece. O time converte bem quem chega indicado. A origem nova pede o mesmo método: dono, prazo, próximo passo. Estoque e logística são o diferencial — e o critério de escala. Demanda entra no passo que a operação entrega. A meta de cerca de R$ 1 milhão por mês nasce de origem complementar mais comercial preparado. Não de volume solto. Por isso a ordem é esta: primeiro o método comercial. Depois a demanda. Capacidade libera o ritmo.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/>
          <w:b/>
          <w:i w:val="0"/>
          <w:color w:val="A10F14"/>
          <w:sz w:val="20"/>
        </w:rPr>
        <w:t>Os 6 pontos (uma linha cada, se pedirem)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Ativo relacional — indicação segue; falta origem complementar.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Demanda técnica sem caminho até a Muller.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Território de busca — quem não aparece, não entra na decisão.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Comercial forte no conhecido — a demanda nova precisa do mesmo padrão.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Capacidade como critério — estoque e logística mandam no ritmo.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Meta com previsibilidade — R$ 1M é origem + método, não volume.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1A1A1A"/>
          <w:sz w:val="22"/>
        </w:rPr>
        <w:t>Gancho: “Desses seis, o que mais trava o próximo ciclo: o caminho da demanda — ou o comercial receber o que ainda não chegou por indicação?”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4F4" w:val="clear"/>
          </w:tcPr>
          <w:p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>EVITAR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Citar faturamento ou ticket. Dizer que o comercial é fraco. Nomear player do mercado.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3. EQV  ·  O comercial preparado para a demanda nova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4A4A4A"/>
          <w:sz w:val="20"/>
        </w:rPr>
        <w:t>Objetivo: vender EQV como método, não como “curso”. ~2 min. Não lista os 6 como lista de dever.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 xml:space="preserve">FALA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Produto um: EQV. Diagnóstico Comercial 360. O time que já fecha no relacionamento ganha método para receber, qualificar e converter a origem complementar — com o padrão da venda consultiva Muller. Diagnóstico da operação. Fluxo de vendas mapeado. SLA entre marketing e vendas: dono, prazo, próximo passo. Manual em BPMN, para o jeito Muller não depender só de quem está na ponta. Perfil de cadeira. Imersão do time. Isso instala o método para a segunda origem entrar com a mesma qualidade da base que vocês já construíram.</w:t>
            </w:r>
          </w:p>
        </w:tc>
      </w:tr>
    </w:tbl>
    <w:p>
      <w:pPr>
        <w:spacing w:after="120"/>
      </w:pPr>
    </w:p>
    <w:p>
      <w:pPr>
        <w:spacing w:after="80" w:before="0" w:line="276" w:lineRule="auto"/>
      </w:pPr>
      <w:r>
        <w:rPr>
          <w:rFonts w:ascii="Calibri" w:hAnsi="Calibri"/>
          <w:b/>
          <w:i w:val="0"/>
          <w:color w:val="A10F14"/>
          <w:sz w:val="20"/>
        </w:rPr>
        <w:t>Se perguntarem “o que a gente leva”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Diagnóstico da Operação Comercial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Mapeamento do fluxo de vendas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Acordo Marketing ↔ Vendas (SLA)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Manual do processo (BPMN)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Perfil de Contratação por Cadeira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Imersão de Treinamento do Time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1A1A1A"/>
          <w:sz w:val="22"/>
        </w:rPr>
        <w:t>Gancho: “Se amanhã entrar um pedido que não veio de indicação, o time sabe dono, prazo e próximo passo — ou isso ainda depende de quem pegou o WhatsApp?”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4F4" w:val="clear"/>
          </w:tcPr>
          <w:p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>EVITAR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“Não é EC completa.” “Para o lead não morrer no Zap.” Prometer CRM enterprise. Vender EC de novo.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4. Growth  ·  A demanda no ritmo do comercial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4A4A4A"/>
          <w:sz w:val="20"/>
        </w:rPr>
        <w:t>Objetivo: time + rotina. Mídia não sobe no mês 1. ~2 min.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 xml:space="preserve">FALA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Produto dois: Assessoria de Growth. Doze meses. Account, gestor de tráfego, copy e design. Account orquestra prioridade e o gate de estoque e logística com a diretoria. GT captura intenção técnica no Google; Meta só com fundamento. Presença digital antes de escalar verba. Copy e design provam variedade, conhecimento e entrega rápida na Bahia — a mesma promessa, em peça, vitrine e anúncio. Rotina Colli: grupo no dia a dia, check-in de performance, planejamento de 90 dias, growths internos. Vocês veem o que rodou e o que ajusta. Sem caixa-preta.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1A1A1A"/>
          <w:sz w:val="22"/>
        </w:rPr>
        <w:t>Gancho: “O que mais te dá segurança aqui: o gate de capacidade — ou ver a operação no grupo, todo dia?”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4F4" w:val="clear"/>
          </w:tcPr>
          <w:p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>EVITAR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Prometer ROAS. Subir campanha antes da fundação. Misturar jornada. Verba de mídia inclusa na fee — é à parte.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5. Sequência  ·  Comercial pronto. Depois demanda.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4A4A4A"/>
          <w:sz w:val="20"/>
        </w:rPr>
        <w:t>Objetivo: ordem irreversível. ~1 min. Cinco caixas, uma frase cada.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 xml:space="preserve">FALA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EE já feita — não reabre diagnóstico. EQV instala fluxo, SLA e treino. Fundação: presença digital mínima e provas de mix, estoque e entrega. Piloto Google: intenção técnica, no volume que a operação aguenta. Escala só com SLA no ar e logística no ritmo. Mês um não é campanha. Mês um é chão. Os R$ 1 milhão são meta da empresa — não promessa de mídia.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4F4" w:val="clear"/>
          </w:tcPr>
          <w:p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>EVITAR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Inverter a ordem. “Semana que vem já está no ar.”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6. Com o ciclo fechado  ·  O que muda na operação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4A4A4A"/>
          <w:sz w:val="20"/>
        </w:rPr>
        <w:t>Objetivo: critério observável, não slogan. ~1 min. Lê 4; o resto o slide carrega.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 xml:space="preserve">FALA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O que a gente olha juntos: segunda origem com dono e próximo passo. SLA entre marketing e vendas. Processo visível, fora da cabeça do time. Presença com prova de variedade, estoque e entrega. Google de intenção no ritmo da logística. Copy e design na mesma narrativa. Account no ritmo Colli com a diretoria. R$ 1 milhão continua meta de vocês. O ciclo opera a origem previsível.</w:t>
            </w:r>
          </w:p>
        </w:tc>
      </w:tr>
    </w:tbl>
    <w:p>
      <w:pPr>
        <w:spacing w:after="120"/>
      </w:pP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1A1A1A"/>
          <w:sz w:val="22"/>
        </w:rPr>
        <w:t>Gancho: “Se a gente olhar daqui 90 dias, o que vocês querem conseguir apontar com clareza?”</w:t>
      </w: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7. Investimento  ·  Condição especial</w:t>
      </w: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4A4A4A"/>
          <w:sz w:val="20"/>
        </w:rPr>
        <w:t>Objetivo: âncora alta → EE → condição. Quando o número aparecer, a discussão que resta é a condição. ~2 min.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8EFEF" w:val="clea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 xml:space="preserve">FALA  </w:t>
            </w:r>
            <w:r>
              <w:rPr>
                <w:rFonts w:ascii="Calibri" w:hAnsi="Calibri"/>
                <w:b w:val="0"/>
                <w:i/>
                <w:color w:val="1A1A1A"/>
                <w:sz w:val="22"/>
              </w:rPr>
              <w:t>Dois produtos. Um ciclo. A EE trabalha a favor de vocês. EQV, Diagnóstico Comercial 360: referência R$ 34.900. Assessoria de Growth, time completo, doze meses: fee de referência R$ 11.223,40 por mês. O que vocês já investiram na Estruturação Estratégica — R$ 12.364 — é reconhecido neste desenho. Não se paga o mapa de novo. Desenho completo, EQV mais Growth, condição especial: doze vezes R$ 9.061,19. De R$ 14.131,73 ao mês para essa condição. Verba de mídia à parte. Fundação antes de escala.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A10F14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Peça</w:t>
            </w:r>
          </w:p>
        </w:tc>
        <w:tc>
          <w:tcPr>
            <w:tcW w:type="dxa" w:w="4819"/>
            <w:shd w:fill="A10F14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Número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EQV · referência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R$ 34.900,00</w:t>
            </w:r>
          </w:p>
        </w:tc>
      </w:tr>
      <w:tr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Growth · fee de referência</w:t>
            </w:r>
          </w:p>
        </w:tc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R$ 11.223,40 /mês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EE reconhecida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− R$ 12.364,00</w:t>
            </w:r>
          </w:p>
        </w:tc>
      </w:tr>
      <w:tr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De (desenho na referência)</w:t>
            </w:r>
          </w:p>
        </w:tc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R$ 14.131,73 /mês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Condição especial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12× R$ 9.061,19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/>
          <w:b w:val="0"/>
          <w:i/>
          <w:color w:val="1A1A1A"/>
          <w:sz w:val="22"/>
        </w:rPr>
        <w:t>Fecho: “A pergunta que fecha: começamos pelo comercial — para a demanda nova entrar com método — ainda neste ciclo?”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4F4F4" w:val="clear"/>
          </w:tcPr>
          <w:p>
            <w:r/>
            <w:r>
              <w:rPr>
                <w:rFonts w:ascii="Calibri" w:hAnsi="Calibri"/>
                <w:b/>
                <w:i w:val="0"/>
                <w:color w:val="A10F14"/>
                <w:sz w:val="18"/>
              </w:rPr>
              <w:t>EVITAR</w:t>
              <w:br/>
            </w:r>
            <w:r>
              <w:rPr>
                <w:rFonts w:ascii="Calibri" w:hAnsi="Calibri"/>
                <w:b w:val="0"/>
                <w:i w:val="0"/>
                <w:color w:val="4A4A4A"/>
                <w:sz w:val="21"/>
              </w:rPr>
              <w:t>A palavra “desconto”. Reabrir o diagnóstico para justificar preço. Empilhar bônus que não estão no deck.</w:t>
            </w:r>
          </w:p>
        </w:tc>
      </w:tr>
    </w:tbl>
    <w:p>
      <w:pPr>
        <w:spacing w:after="12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8. Objeções (uma frase)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A10F14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Objeção</w:t>
            </w:r>
          </w:p>
        </w:tc>
        <w:tc>
          <w:tcPr>
            <w:tcW w:type="dxa" w:w="4819"/>
            <w:shd w:fill="A10F14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Resposta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“Indicação sempre deu conta.”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Deu conta de construir. O próximo ciclo pede origem complementar — sem largar a indicação.</w:t>
            </w:r>
          </w:p>
        </w:tc>
      </w:tr>
      <w:tr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“E se a demanda estourar a entrega?”</w:t>
            </w:r>
          </w:p>
        </w:tc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Por isso capacidade é gate. Sem estoque e logística no ritmo, mídia não escala.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“Nunca fizemos mídia.”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Por isso mês 1 é fundação. Não é campanha no escuro.</w:t>
            </w:r>
          </w:p>
        </w:tc>
      </w:tr>
      <w:tr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“Por que os dois juntos?”</w:t>
            </w:r>
          </w:p>
        </w:tc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Comercial sem canal não cria a origem. Canal sem comercial queima a demanda nova.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“Está caro.”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 referência está no slide. A EE já entra. A condição é 12× R$ 9.061,19 no desenho completo.</w:t>
            </w:r>
          </w:p>
        </w:tc>
      </w:tr>
      <w:tr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“Só Growth / só EQV.”</w:t>
            </w:r>
          </w:p>
        </w:tc>
        <w:tc>
          <w:tcPr>
            <w:tcW w:type="dxa" w:w="4819"/>
            <w:shd w:fill="F8EFEF" w:val="clear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Pode. O diagnóstico pede os dois na ordem. Separar enfraquece o ciclo.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8" w:space="4" w:color="A10F14"/>
        </w:pBdr>
      </w:pPr>
      <w:r>
        <w:rPr>
          <w:rFonts w:ascii="Calibri" w:hAnsi="Calibri"/>
          <w:b/>
          <w:i w:val="0"/>
          <w:color w:val="A10F14"/>
          <w:sz w:val="28"/>
        </w:rPr>
        <w:t>9. Depois da call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Não deixar a sala só com “vamos pensar”. Combinar data de retorno.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Se pedirem para internar: reenviar o deck + este script não vai. O cliente recebe só o HTML.</w:t>
      </w:r>
    </w:p>
    <w:p>
      <w:pPr>
        <w:pStyle w:val="ListBullet"/>
        <w:spacing w:after="40"/>
        <w:ind w:left="340"/>
      </w:pPr>
      <w:r>
        <w:rPr>
          <w:rFonts w:ascii="Calibri" w:hAnsi="Calibri"/>
          <w:b w:val="0"/>
          <w:i w:val="0"/>
          <w:color w:val="4A4A4A"/>
          <w:sz w:val="22"/>
        </w:rPr>
        <w:t>Follow em 48h: uma linha da tese + a condição. Sem novo PDF.</w:t>
      </w:r>
    </w:p>
    <w:p>
      <w:pPr>
        <w:spacing w:after="160" w:before="240" w:line="276" w:lineRule="auto"/>
      </w:pPr>
      <w:r>
        <w:rPr>
          <w:rFonts w:ascii="Calibri" w:hAnsi="Calibri"/>
          <w:b/>
          <w:i w:val="0"/>
          <w:color w:val="A10F14"/>
          <w:sz w:val="18"/>
        </w:rPr>
        <w:t>V4 Company  ·  Dental Muller  ·  Script interno alinhado ao deck de 7 slides</w:t>
      </w:r>
    </w:p>
    <w:p>
      <w:pPr>
        <w:spacing w:after="160" w:before="0" w:line="276" w:lineRule="auto"/>
      </w:pPr>
      <w:r>
        <w:rPr>
          <w:rFonts w:ascii="Calibri" w:hAnsi="Calibri"/>
          <w:b w:val="0"/>
          <w:i w:val="0"/>
          <w:color w:val="4A4A4A"/>
          <w:sz w:val="18"/>
        </w:rPr>
        <w:t>Deck: https://sarapizzico-hue.github.io/Sara/proposta-dental-muller.html</w:t>
      </w:r>
    </w:p>
    <w:sectPr w:rsidR="00FC693F" w:rsidRPr="0006063C" w:rsidSect="00034616">
      <w:pgSz w:w="11906" w:h="16838"/>
      <w:pgMar w:top="90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