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280001" w:val="clear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5B5B8"/>
                <w:sz w:val="18"/>
              </w:rPr>
              <w:t>USO INTERNO · NÃO ENVIAR AO CLIENTE</w:t>
            </w:r>
          </w:p>
          <w:p>
            <w:pPr>
              <w:spacing w:after="40" w:before="4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44"/>
              </w:rPr>
              <w:t>Script de pitch</w:t>
            </w:r>
          </w:p>
          <w:p>
            <w:pPr>
              <w:spacing w:after="80" w:before="40" w:line="276" w:lineRule="auto"/>
            </w:pPr>
            <w:r>
              <w:rPr>
                <w:rFonts w:ascii="Calibri" w:hAnsi="Calibri" w:eastAsia="Calibri"/>
                <w:b/>
                <w:i w:val="0"/>
                <w:color w:val="FFD0D0"/>
                <w:sz w:val="26"/>
              </w:rPr>
              <w:t>Henri Soluções  ×  V4 Colli&amp;Co</w:t>
            </w:r>
          </w:p>
          <w:p>
            <w:pPr>
              <w:spacing w:after="40" w:before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E8D0D0"/>
                <w:sz w:val="22"/>
              </w:rPr>
              <w:t>7 slides · ~18 min. Cliente leigo: explica o desenho, não a jargão. Preço por último. Dois horizontes, sem combo.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EFEF" w:val="clear"/>
            <w:tcBorders>
              <w:left w:val="single" w:sz="24" w:color="A10F14"/>
              <w:top w:val="single" w:sz="4" w:color="F8EFEF"/>
              <w:bottom w:val="single" w:sz="4" w:color="F8EFEF"/>
              <w:right w:val="single" w:sz="4" w:color="F8EFEF"/>
            </w:tcBorders>
          </w:tcPr>
          <w:p>
            <w:pPr>
              <w:spacing w:after="60" w:before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LINHA MESTRA</w:t>
            </w:r>
          </w:p>
          <w:p>
            <w:pPr>
              <w:spacing w:after="12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A Henri já sabe fazer a loja não parar. O comercial ainda depende do Romildo. Esta reunião mostra um segundo caminho de cliente — com dono no lead e no ritmo do campo. A EE já desenhou. Hoje escolhemos quem aperta o botão: a V4 ou o time da Henri.</w:t>
            </w:r>
          </w:p>
        </w:tc>
      </w:tr>
    </w:tbl>
    <w:p>
      <w:pPr>
        <w:spacing w:before="280" w:after="120"/>
        <w:pBdr>
          <w:bottom w:val="single" w:sz="12" w:color="A10F14"/>
        </w:pBdr>
      </w:pPr>
      <w:r>
        <w:rPr>
          <w:rFonts w:ascii="Calibri" w:hAnsi="Calibri" w:eastAsia="Calibri"/>
          <w:b/>
          <w:i w:val="0"/>
          <w:color w:val="A10F14"/>
          <w:sz w:val="28"/>
        </w:rPr>
        <w:t>0. Antes de abrir o deck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Sala: Romildo (fecha), Gabriel (campo), Maria (admin). Tom de execução, não de mais consultoria. Explica o que cada caixa do slide significa. Não lê o slide. Não usa sigla sem traduzir na mesma frase.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A10F14" w:val="clear"/>
            <w:tcBorders>
              <w:top w:val="single" w:sz="8" w:color="A10F14"/>
              <w:left w:val="single" w:sz="8" w:color="A10F14"/>
              <w:bottom w:val="single" w:sz="8" w:color="A10F14"/>
              <w:right w:val="single" w:sz="8" w:color="A10F1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Na sala, fala</w:t>
            </w:r>
          </w:p>
        </w:tc>
        <w:tc>
          <w:tcPr>
            <w:tcW w:type="dxa" w:w="4819"/>
            <w:shd w:fill="A10F14" w:val="clear"/>
            <w:tcBorders>
              <w:top w:val="single" w:sz="8" w:color="A10F14"/>
              <w:left w:val="single" w:sz="8" w:color="A10F14"/>
              <w:bottom w:val="single" w:sz="8" w:color="A10F14"/>
              <w:right w:val="single" w:sz="8" w:color="A10F1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Não fala</w:t>
            </w:r>
          </w:p>
        </w:tc>
      </w:tr>
      <w:tr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Segunda origem · dono no lead · ritmo do campo</w:t>
            </w:r>
          </w:p>
        </w:tc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SQL, MQL, ABM, ICP, TCV, STEP, FI — sem traduzir</w:t>
            </w:r>
          </w:p>
        </w:tc>
      </w:tr>
      <w:tr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Grande rede de fast food · prova sem logo</w:t>
            </w:r>
          </w:p>
        </w:tc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Nome de cliente sob NDA</w:t>
            </w:r>
          </w:p>
        </w:tc>
      </w:tr>
      <w:tr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Condição comercial de 12 meses</w:t>
            </w:r>
          </w:p>
        </w:tc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 palavra “desconto”</w:t>
            </w:r>
          </w:p>
        </w:tc>
      </w:tr>
      <w:tr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Dois jeitos de operar. Cada um fecha sozinho</w:t>
            </w:r>
          </w:p>
        </w:tc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Combo · EQV · “vocês foram enganados”</w:t>
            </w:r>
          </w:p>
        </w:tc>
      </w:tr>
      <w:tr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Mídia à parte · teto para não lotar o técnico</w:t>
            </w:r>
          </w:p>
        </w:tc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Meta de R$ 15–18 mi como promessa V4</w:t>
            </w:r>
          </w:p>
        </w:tc>
      </w:tr>
    </w:tbl>
    <w:p>
      <w:pPr>
        <w:spacing w:after="120"/>
      </w:pPr>
    </w:p>
    <w:p>
      <w:pPr>
        <w:spacing w:after="60" w:before="0" w:line="276" w:lineRule="auto"/>
      </w:pPr>
      <w:r>
        <w:rPr>
          <w:rFonts w:ascii="Calibri" w:hAnsi="Calibri" w:eastAsia="Calibri"/>
          <w:b/>
          <w:i w:val="0"/>
          <w:color w:val="A10F14"/>
          <w:sz w:val="20"/>
        </w:rPr>
        <w:t>TRÊS PERGUNTAS · ESCOLHE CONFORME A SALA · ANTES DO SLIDE 1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1. O que mais ficou marcado na estruturação até aqui?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2. O que não pode continuar do jeito que está?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3. Se o comercial de vocês parar uma semana, o que trava primeiro?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Usa a resposta para entrar no slide 2. Proibido “faz sentido?” em loop. Eles dizem o próximo passo no fim — você não fala por eles.</w:t>
      </w:r>
    </w:p>
    <w:p>
      <w:pPr>
        <w:spacing w:before="280" w:after="120"/>
        <w:pBdr>
          <w:bottom w:val="single" w:sz="12" w:color="A10F14"/>
        </w:pBdr>
      </w:pPr>
      <w:r>
        <w:rPr>
          <w:rFonts w:ascii="Calibri" w:hAnsi="Calibri" w:eastAsia="Calibri"/>
          <w:b/>
          <w:i w:val="0"/>
          <w:color w:val="A10F14"/>
          <w:sz w:val="28"/>
        </w:rPr>
        <w:t>1. Capa · Da indicação à origem previsível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Objetivo: tese em 40 segundos. Não explica produto ainda.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EFEF" w:val="clear"/>
            <w:tcBorders>
              <w:left w:val="single" w:sz="24" w:color="A10F14"/>
              <w:top w:val="single" w:sz="4" w:color="F8EFEF"/>
              <w:bottom w:val="single" w:sz="4" w:color="F8EFEF"/>
              <w:right w:val="single" w:sz="4" w:color="F8EFEF"/>
            </w:tcBorders>
          </w:tcPr>
          <w:p>
            <w:pPr>
              <w:spacing w:after="60" w:before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FALA</w:t>
            </w:r>
          </w:p>
          <w:p>
            <w:pPr>
              <w:spacing w:after="12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“Esta proposta não começa hoje. Começa do mapa que a gente já fez juntos. A Henri vende uma coisa só: a cozinha profissional não para. Refrigeração, clima, elétrica, exaustão — um responsável. Dez anos nisso. O crescimento veio de indicação. O próximo ciclo é um segundo caminho de cliente: quem busca agora, e quem manda na rede. Filtrado. Com alguém dono do lead. No ritmo que o campo aguenta.”</w:t>
            </w:r>
          </w:p>
        </w:tc>
      </w:tr>
    </w:tbl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Evitar: preço · reabrir diagnóstico · “vamos gerar demanda.”</w:t>
      </w:r>
    </w:p>
    <w:p>
      <w:pPr>
        <w:spacing w:before="280" w:after="120"/>
        <w:pBdr>
          <w:bottom w:val="single" w:sz="12" w:color="A10F14"/>
        </w:pBdr>
      </w:pPr>
      <w:r>
        <w:rPr>
          <w:rFonts w:ascii="Calibri" w:hAnsi="Calibri" w:eastAsia="Calibri"/>
          <w:b/>
          <w:i w:val="0"/>
          <w:color w:val="A10F14"/>
          <w:sz w:val="28"/>
        </w:rPr>
        <w:t>2. Dores · A operação aguenta. O comercial ainda é uma pessoa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Objetivo: eles se reconhecem. ~2 min. Quatro cartões. Lê a frase do Romildo no fim, com respeito.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EFEF" w:val="clear"/>
            <w:tcBorders>
              <w:left w:val="single" w:sz="24" w:color="A10F14"/>
              <w:top w:val="single" w:sz="4" w:color="F8EFEF"/>
              <w:bottom w:val="single" w:sz="4" w:color="F8EFEF"/>
              <w:right w:val="single" w:sz="4" w:color="F8EFEF"/>
            </w:tcBorders>
          </w:tcPr>
          <w:p>
            <w:pPr>
              <w:spacing w:after="60" w:before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FALA</w:t>
            </w:r>
          </w:p>
          <w:p>
            <w:pPr>
              <w:spacing w:after="12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“Quatro fatos. Um: 100% indicação. Coordenador e supervisor chegam porque conhecem o Romildo. Se a agenda dele esfria, a carteira esfria. Dois: o histórico comercial está no WhatsApp e na cabeça. Oitenta e cinco, noventa por cento. Maria administra. Gabriel opera o campo. O lead novo ainda não tem dono numa lista. Três: as grandes redes não podem aparecer no site. A prova tem que ser operação — um responsável, loja no ar — não logo de cliente. Quatro: se amanhã chegarem cem pedidos de orçamento, trava. Falta fila e falta limite. O campo não aguenta volume cego.”</w:t>
            </w:r>
          </w:p>
        </w:tc>
      </w:tr>
    </w:tbl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Fecha o slide com a frase do deck: “Nunca tive férias. O comercial não pode continuar sendo o Romildo o tempo inteiro.”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Gancho: “O que mais pesa: a origem só na indicação — ou o lead parado no Zap?”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Evitar: dizer que o comercial é fraco · citar marca de rede · drama interno da V4.</w:t>
      </w:r>
    </w:p>
    <w:p>
      <w:pPr>
        <w:spacing w:before="280" w:after="120"/>
        <w:pBdr>
          <w:bottom w:val="single" w:sz="12" w:color="A10F14"/>
        </w:pBdr>
      </w:pPr>
      <w:r>
        <w:rPr>
          <w:rFonts w:ascii="Calibri" w:hAnsi="Calibri" w:eastAsia="Calibri"/>
          <w:b/>
          <w:i w:val="0"/>
          <w:color w:val="A10F14"/>
          <w:sz w:val="28"/>
        </w:rPr>
        <w:t>3. Fluxo hoje · Tudo passa por um nó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Objetivo: ensinar o desenho. Aponta o cartão vermelho. ~90s.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EFEF" w:val="clear"/>
            <w:tcBorders>
              <w:left w:val="single" w:sz="24" w:color="A10F14"/>
              <w:top w:val="single" w:sz="4" w:color="F8EFEF"/>
              <w:bottom w:val="single" w:sz="4" w:color="F8EFEF"/>
              <w:right w:val="single" w:sz="4" w:color="F8EFEF"/>
            </w:tcBorders>
          </w:tcPr>
          <w:p>
            <w:pPr>
              <w:spacing w:after="60" w:before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FALA</w:t>
            </w:r>
          </w:p>
          <w:p>
            <w:pPr>
              <w:spacing w:after="12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“Olha o fluxo de vocês hoje, da esquerda para a direita. Cliente chega por indicação. Cai no WhatsApp do Romildo. Ele qualifica, lembra, agenda e fecha. Depois o Gabriel vai a campo. O problema não é técnica. O problema é este meio: um único ponto. Se o Romildo para, o comercial para. A EE já desenhou a Maria na porta do lead. O que falta é isso operar todo dia — não outro diagnóstico.”</w:t>
            </w:r>
          </w:p>
        </w:tc>
      </w:tr>
    </w:tbl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Gancho: “Se o Romildo tira uma semana, quem responde o lead novo em cinco minutos?”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Evitar: “CRM” sem dizer o que é · “closer” sem dizer Romildo.</w:t>
      </w:r>
    </w:p>
    <w:p>
      <w:pPr>
        <w:spacing w:before="280" w:after="120"/>
        <w:pBdr>
          <w:bottom w:val="single" w:sz="12" w:color="A10F14"/>
        </w:pBdr>
      </w:pPr>
      <w:r>
        <w:rPr>
          <w:rFonts w:ascii="Calibri" w:hAnsi="Calibri" w:eastAsia="Calibri"/>
          <w:b/>
          <w:i w:val="0"/>
          <w:color w:val="A10F14"/>
          <w:sz w:val="28"/>
        </w:rPr>
        <w:t>4. Fluxo com a V4 · Dois caminhos entram. O Romildo só fecha o que presta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Objetivo: ensinar os dois motores e a fila. ~2 min. Traduz cada caixa.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EFEF" w:val="clear"/>
            <w:tcBorders>
              <w:left w:val="single" w:sz="24" w:color="A10F14"/>
              <w:top w:val="single" w:sz="4" w:color="F8EFEF"/>
              <w:bottom w:val="single" w:sz="4" w:color="F8EFEF"/>
              <w:right w:val="single" w:sz="4" w:color="F8EFEF"/>
            </w:tcBorders>
          </w:tcPr>
          <w:p>
            <w:pPr>
              <w:spacing w:after="60" w:before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FALA</w:t>
            </w:r>
          </w:p>
          <w:p>
            <w:pPr>
              <w:spacing w:after="12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“Agora o mesmo desenho, com o plano que já está no papel. Dois caminhos. Primeiro: Google. Câmara parada, gelo derretendo, exaustão off — o gerente pesquisa agora. Anúncio de emergência para empresa, não para casa. O formulário pergunta quantas unidades e que tipo de operação. Residencial e serviço avulso ficam de fora. Segundo caminho: LinkedIn, conta a conta. Duas a cinco pessoas na mesma rede: quem manda, quem coordena, o supervisor regional e compras. Isso demora trinta a noventa dias. Unidade vira contrato aqui — não no anúncio de urgência.”</w:t>
            </w:r>
          </w:p>
          <w:p>
            <w:pPr>
              <w:spacing w:after="12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“Os dois caminhos caem na mesma página. A Maria pega o lead em cinco minutos: é dela a lista, não do Zap. O Romildo só entra quando a conta está pronta para fechar. O Gabriel libera unidade nova só se o campo aguentar. Anúncio tem teto. Campo manda no ritmo.”</w:t>
            </w:r>
          </w:p>
        </w:tc>
      </w:tr>
    </w:tbl>
    <w:p>
      <w:pPr>
        <w:spacing w:after="60" w:before="0" w:line="276" w:lineRule="auto"/>
      </w:pPr>
      <w:r>
        <w:rPr>
          <w:rFonts w:ascii="Calibri" w:hAnsi="Calibri" w:eastAsia="Calibri"/>
          <w:b/>
          <w:i w:val="0"/>
          <w:color w:val="A10F14"/>
          <w:sz w:val="20"/>
        </w:rPr>
        <w:t>TRADUÇÃO RÁPIDA SE PERGUNTAREM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• Página / LP — o site com pergunta-filtro, não um folder bonito.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• Lista / CRM — cadastro com dono e próximo passo. Substitui o WhatsApp como memória.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• Teto — limite de gasto de anúncio para não lotar o técnico.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• Supervisor regional — quem leva a Henri de uma loja para a rede.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Gancho: “O Romildo quer continuar atendendo o primeiro Zap — ou só a conta grande?”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Evitar: SQL · ABM · “demanda” solta · prometer volume.</w:t>
      </w:r>
    </w:p>
    <w:p>
      <w:pPr>
        <w:spacing w:before="280" w:after="120"/>
        <w:pBdr>
          <w:bottom w:val="single" w:sz="12" w:color="A10F14"/>
        </w:pBdr>
      </w:pPr>
      <w:r>
        <w:rPr>
          <w:rFonts w:ascii="Calibri" w:hAnsi="Calibri" w:eastAsia="Calibri"/>
          <w:b/>
          <w:i w:val="0"/>
          <w:color w:val="A10F14"/>
          <w:sz w:val="28"/>
        </w:rPr>
        <w:t>5. Horizonte A · A V4 executa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Objetivo: o que o time faz, em português. ~2 min.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EFEF" w:val="clear"/>
            <w:tcBorders>
              <w:left w:val="single" w:sz="24" w:color="A10F14"/>
              <w:top w:val="single" w:sz="4" w:color="F8EFEF"/>
              <w:bottom w:val="single" w:sz="4" w:color="F8EFEF"/>
              <w:right w:val="single" w:sz="4" w:color="F8EFEF"/>
            </w:tcBorders>
          </w:tcPr>
          <w:p>
            <w:pPr>
              <w:spacing w:after="60" w:before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FALA</w:t>
            </w:r>
          </w:p>
          <w:p>
            <w:pPr>
              <w:spacing w:after="12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“Primeiro jeito de operar: a V4 aperta o botão. Quatro pessoas na conta. Account: prioridade da semana, fila da Maria, combinado com o Gabriel para não lotar o campo. Tráfego: Google com teto; LinkedIn nas contas certas; Instagram só para quem já visitou a página. Copy: uma mensagem para quem manda, outra para quem opera a loja, outra para compras. Não é anúncio de conserto. Design: peça técnica, identidade de vocês, sem logo de rede. Rotina: grupo no dia, check-in, plano de noventa dias. Vocês veem o que rodou. Sem caixa-preta.”</w:t>
            </w:r>
          </w:p>
        </w:tc>
      </w:tr>
    </w:tbl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Gancho: “O que te dá mais segurança: o grupo no dia — ou o teto com o Gabriel?”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Evitar: verba de mídia inclusa · “campanha na semana que vem” · vender Social extra.</w:t>
      </w:r>
    </w:p>
    <w:p>
      <w:pPr>
        <w:spacing w:before="280" w:after="120"/>
        <w:pBdr>
          <w:bottom w:val="single" w:sz="12" w:color="A10F14"/>
        </w:pBdr>
      </w:pPr>
      <w:r>
        <w:rPr>
          <w:rFonts w:ascii="Calibri" w:hAnsi="Calibri" w:eastAsia="Calibri"/>
          <w:b/>
          <w:i w:val="0"/>
          <w:color w:val="A10F14"/>
          <w:sz w:val="28"/>
        </w:rPr>
        <w:t>6. Horizonte B · A V4 só aponta. A Henri aperta o botão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Objetivo: diferença nítida antes do preço. ~90s. Não mistura com o 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EFEF" w:val="clear"/>
            <w:tcBorders>
              <w:left w:val="single" w:sz="24" w:color="A10F14"/>
              <w:top w:val="single" w:sz="4" w:color="F8EFEF"/>
              <w:bottom w:val="single" w:sz="4" w:color="F8EFEF"/>
              <w:right w:val="single" w:sz="4" w:color="F8EFEF"/>
            </w:tcBorders>
          </w:tcPr>
          <w:p>
            <w:pPr>
              <w:spacing w:after="60" w:before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FALA</w:t>
            </w:r>
          </w:p>
          <w:p>
            <w:pPr>
              <w:spacing w:after="12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“Segundo jeito: a mesma estratégia. A V4 não anuncia, não escreve e não fecha arte. A gente dirige. Uma hora por semana: o que entra na fila. Quinze em quinze dias: o que o time de vocês produziu. Mês: resultado e teto. Trimestre: noventa dias e o campo. A Maria opera a lista. Quem veicula é interno. O Romildo continua fechando a conta grande. O Gabriel continua liberando escala. Playbook da EE vira rotina da casa.”</w:t>
            </w:r>
          </w:p>
        </w:tc>
      </w:tr>
    </w:tbl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Interno, não fala no slide: se não houver quem execute anúncio e peça na Henri, o horizonte A é o que opera.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Gancho: “Quem, na Henri, aperta o botão na terça de manhã?”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Evitar: vender B como A mais barato · “é só uma reunião.”</w:t>
      </w:r>
    </w:p>
    <w:p>
      <w:pPr>
        <w:spacing w:before="280" w:after="120"/>
        <w:pBdr>
          <w:bottom w:val="single" w:sz="12" w:color="A10F14"/>
        </w:pBdr>
      </w:pPr>
      <w:r>
        <w:rPr>
          <w:rFonts w:ascii="Calibri" w:hAnsi="Calibri" w:eastAsia="Calibri"/>
          <w:b/>
          <w:i w:val="0"/>
          <w:color w:val="A10F14"/>
          <w:sz w:val="28"/>
        </w:rPr>
        <w:t>7. Investimento · Dois horizontes. Sem combo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Objetivo: âncora → condição. ~2 min. Pausa depois do número. Mídia à parte duas vezes.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EFEF" w:val="clear"/>
            <w:tcBorders>
              <w:left w:val="single" w:sz="24" w:color="A10F14"/>
              <w:top w:val="single" w:sz="4" w:color="F8EFEF"/>
              <w:bottom w:val="single" w:sz="4" w:color="F8EFEF"/>
              <w:right w:val="single" w:sz="4" w:color="F8EFEF"/>
            </w:tcBorders>
          </w:tcPr>
          <w:p>
            <w:pPr>
              <w:spacing w:after="60" w:before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FALA</w:t>
            </w:r>
          </w:p>
          <w:p>
            <w:pPr>
              <w:spacing w:after="12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“Mesma estratégia. Dois jeitos. Cada um fecha sozinho. Não tem pacote junto. Verba de anúncio é à parte nos dois.”</w:t>
            </w:r>
          </w:p>
          <w:p>
            <w:pPr>
              <w:spacing w:after="12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“Horizonte A, a V4 executa. Assessoria de Growth. Account, tráfego, copy e design. Doze meses. Tabela: oito mil e quinhentos por mês. Condição comercial de doze meses: doze vezes quatro mil, setecentos e oitenta e nove reais e cinquenta e dois centavos.”</w:t>
            </w:r>
          </w:p>
          <w:p>
            <w:pPr>
              <w:spacing w:after="12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“Horizonte B, a Henri executa. A V4 dirige. Tabela: quarenta e cinco mil. Condição comercial de doze meses: doze vezes dois mil e trezentos.”</w:t>
            </w:r>
          </w:p>
          <w:p>
            <w:pPr>
              <w:spacing w:after="12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“O que vocês já fizeram na estruturação não se paga de novo. O que decide agora é quem aperta o botão.”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A10F14" w:val="clear"/>
            <w:tcBorders>
              <w:top w:val="single" w:sz="8" w:color="A10F14"/>
              <w:left w:val="single" w:sz="8" w:color="A10F14"/>
              <w:bottom w:val="single" w:sz="8" w:color="A10F14"/>
              <w:right w:val="single" w:sz="8" w:color="A10F1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Peça</w:t>
            </w:r>
          </w:p>
        </w:tc>
        <w:tc>
          <w:tcPr>
            <w:tcW w:type="dxa" w:w="4819"/>
            <w:shd w:fill="A10F14" w:val="clear"/>
            <w:tcBorders>
              <w:top w:val="single" w:sz="8" w:color="A10F14"/>
              <w:left w:val="single" w:sz="8" w:color="A10F14"/>
              <w:bottom w:val="single" w:sz="8" w:color="A10F14"/>
              <w:right w:val="single" w:sz="8" w:color="A10F1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Número · fala assim</w:t>
            </w:r>
          </w:p>
        </w:tc>
      </w:tr>
      <w:tr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 · tabela</w:t>
            </w:r>
          </w:p>
        </w:tc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R$ 8.500,00 /mês</w:t>
            </w:r>
          </w:p>
        </w:tc>
      </w:tr>
      <w:tr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 · condição 12 meses</w:t>
            </w:r>
          </w:p>
        </w:tc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12× R$ 4.789,52</w:t>
            </w:r>
          </w:p>
        </w:tc>
      </w:tr>
      <w:tr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B · tabela</w:t>
            </w:r>
          </w:p>
        </w:tc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R$ 45.000,00</w:t>
            </w:r>
          </w:p>
        </w:tc>
      </w:tr>
      <w:tr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B · condição 12 meses</w:t>
            </w:r>
          </w:p>
        </w:tc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12× R$ 2.300,00</w:t>
            </w:r>
          </w:p>
        </w:tc>
      </w:tr>
      <w:tr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Mídia</w:t>
            </w:r>
          </w:p>
        </w:tc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À parte nos dois</w:t>
            </w:r>
          </w:p>
        </w:tc>
      </w:tr>
    </w:tbl>
    <w:p>
      <w:pPr>
        <w:spacing w:after="120"/>
      </w:pP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Fecho: “O que vocês precisam alinhar para escolher o horizonte e avançar?”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Evitar: “desconto” · somar A+B · validade artificial · falar pelo cliente.</w:t>
      </w:r>
    </w:p>
    <w:p>
      <w:pPr>
        <w:spacing w:before="280" w:after="120"/>
        <w:pBdr>
          <w:bottom w:val="single" w:sz="12" w:color="A10F14"/>
        </w:pBdr>
      </w:pPr>
      <w:r>
        <w:rPr>
          <w:rFonts w:ascii="Calibri" w:hAnsi="Calibri" w:eastAsia="Calibri"/>
          <w:b/>
          <w:i w:val="0"/>
          <w:color w:val="A10F14"/>
          <w:sz w:val="28"/>
        </w:rPr>
        <w:t>8. Objeções · uma frase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A10F14" w:val="clear"/>
            <w:tcBorders>
              <w:top w:val="single" w:sz="8" w:color="A10F14"/>
              <w:left w:val="single" w:sz="8" w:color="A10F14"/>
              <w:bottom w:val="single" w:sz="8" w:color="A10F14"/>
              <w:right w:val="single" w:sz="8" w:color="A10F1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Objeção</w:t>
            </w:r>
          </w:p>
        </w:tc>
        <w:tc>
          <w:tcPr>
            <w:tcW w:type="dxa" w:w="4819"/>
            <w:shd w:fill="A10F14" w:val="clear"/>
            <w:tcBorders>
              <w:top w:val="single" w:sz="8" w:color="A10F14"/>
              <w:left w:val="single" w:sz="8" w:color="A10F14"/>
              <w:bottom w:val="single" w:sz="8" w:color="A10F14"/>
              <w:right w:val="single" w:sz="8" w:color="A10F1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Resposta</w:t>
            </w:r>
          </w:p>
        </w:tc>
      </w:tr>
      <w:tr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“Indicação sempre deu conta.”</w:t>
            </w:r>
          </w:p>
        </w:tc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Deu conta de construir. O próximo ciclo pede um segundo caminho — sem largar a indicação.</w:t>
            </w:r>
          </w:p>
        </w:tc>
      </w:tr>
      <w:tr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“E se lotar o técnico?”</w:t>
            </w:r>
          </w:p>
        </w:tc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Campo manda. Sem SLA, anúncio não sobe. Por isso tem teto e o Gabriel no gate.</w:t>
            </w:r>
          </w:p>
        </w:tc>
      </w:tr>
      <w:tr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“Nunca fiz mídia.”</w:t>
            </w:r>
          </w:p>
        </w:tc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Por isso o A existe: a V4 executa. O B só cabe se houver quem aperte o botão aí dentro.</w:t>
            </w:r>
          </w:p>
        </w:tc>
      </w:tr>
      <w:tr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“Não posso usar logo de cliente.”</w:t>
            </w:r>
          </w:p>
        </w:tc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Combinado. A prova é loja no ar e um responsável. A gente não cita a marca.</w:t>
            </w:r>
          </w:p>
        </w:tc>
      </w:tr>
      <w:tr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“Está caro.”</w:t>
            </w:r>
          </w:p>
        </w:tc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 tabela está no slide. A condição comercial é 12 meses. Mídia à parte. Cada horizonte fecha sozinho.</w:t>
            </w:r>
          </w:p>
        </w:tc>
      </w:tr>
      <w:tr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“Não temos quem execute aqui.”</w:t>
            </w:r>
          </w:p>
        </w:tc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Então o horizonte é o A. A V4 veicula, redige e fecha arte.</w:t>
            </w:r>
          </w:p>
        </w:tc>
      </w:tr>
      <w:tr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“Só queremos a reunião.”</w:t>
            </w:r>
          </w:p>
        </w:tc>
        <w:tc>
          <w:tcPr>
            <w:tcW w:type="dxa" w:w="4819"/>
            <w:tcBorders>
              <w:top w:val="single" w:sz="8" w:color="E6D4D4"/>
              <w:left w:val="single" w:sz="8" w:color="E6D4D4"/>
              <w:bottom w:val="single" w:sz="8" w:color="E6D4D4"/>
              <w:right w:val="single" w:sz="8" w:color="E6D4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 B não é reunião solta. É direção semanal, revisão do que vocês produziram, teto e gate. Sem quem execute, não opera.</w:t>
            </w:r>
          </w:p>
        </w:tc>
      </w:tr>
    </w:tbl>
    <w:p>
      <w:pPr>
        <w:spacing w:after="120"/>
      </w:pPr>
    </w:p>
    <w:p>
      <w:pPr>
        <w:spacing w:before="280" w:after="120"/>
        <w:pBdr>
          <w:bottom w:val="single" w:sz="12" w:color="A10F14"/>
        </w:pBdr>
      </w:pPr>
      <w:r>
        <w:rPr>
          <w:rFonts w:ascii="Calibri" w:hAnsi="Calibri" w:eastAsia="Calibri"/>
          <w:b/>
          <w:i w:val="0"/>
          <w:color w:val="A10F14"/>
          <w:sz w:val="28"/>
        </w:rPr>
        <w:t>9. Depois da call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• Eles escolhem A ou B. Não deixa em “vamos pensar” sem data.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• Cliente recebe o deck. Este script não vai para a sala. O PDF detalhado só se pedirem leave-behind.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• Follow em 48h: uma linha da tese + o horizonte que eles inclinaram. Sem novo número.</w:t>
      </w:r>
    </w:p>
    <w:p>
      <w:pPr>
        <w:spacing w:after="40" w:before="0" w:line="276" w:lineRule="auto"/>
        <w:jc w:val="center"/>
      </w:pPr>
      <w:r>
        <w:rPr>
          <w:rFonts w:ascii="Calibri" w:hAnsi="Calibri" w:eastAsia="Calibri"/>
          <w:b/>
          <w:i w:val="0"/>
          <w:color w:val="A10F14"/>
          <w:sz w:val="18"/>
        </w:rPr>
        <w:t>V4 Colli&amp;Co · Henri Soluções · Script interno alinhado ao deck de 7 slides</w:t>
      </w:r>
    </w:p>
    <w:p>
      <w:pPr>
        <w:jc w:val="center"/>
      </w:pPr>
      <w:r>
        <w:rPr>
          <w:rFonts w:ascii="Calibri" w:hAnsi="Calibri" w:eastAsia="Calibri"/>
          <w:b w:val="0"/>
          <w:i/>
          <w:color w:val="4A4A4A"/>
          <w:sz w:val="18"/>
        </w:rPr>
        <w:t>Deck: proposta-henri-solucoes.html (commit 1bf5854)</w:t>
      </w:r>
    </w:p>
    <w:sectPr w:rsidR="00FC693F" w:rsidRPr="0006063C" w:rsidSect="00034616">
      <w:pgSz w:w="11906" w:h="16838"/>
      <w:pgMar w:top="90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