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 w:eastAsia="Calibri"/>
          <w:b/>
          <w:i w:val="0"/>
          <w:color w:val="A10F14"/>
          <w:sz w:val="20"/>
        </w:rPr>
        <w:t>ESTAÇÃO DELTA EMERGÊNCIA &amp; FACILITIES  ×  V4 COMPANY</w:t>
      </w:r>
    </w:p>
    <w:p>
      <w:pPr>
        <w:spacing w:after="40"/>
        <w:jc w:val="center"/>
      </w:pPr>
      <w:r>
        <w:rPr>
          <w:rFonts w:ascii="Calibri" w:hAnsi="Calibri" w:eastAsia="Calibri"/>
          <w:b/>
          <w:i w:val="0"/>
          <w:color w:val="A10F14"/>
          <w:sz w:val="56"/>
        </w:rPr>
        <w:t>Estruturação Comercial</w:t>
      </w:r>
    </w:p>
    <w:p>
      <w:pPr>
        <w:spacing w:after="200"/>
        <w:jc w:val="center"/>
      </w:pPr>
      <w:r>
        <w:rPr>
          <w:rFonts w:ascii="Calibri" w:hAnsi="Calibri" w:eastAsia="Calibri"/>
          <w:b w:val="0"/>
          <w:i w:val="0"/>
          <w:color w:val="1C1C1C"/>
          <w:sz w:val="28"/>
        </w:rPr>
        <w:t>O investimento que transforma o ROI</w:t>
        <w:br/>
        <w:t>de projeção em resultado operacional</w:t>
      </w:r>
    </w:p>
    <w:p>
      <w:pPr>
        <w:shd w:fill="A10F14" w:val="clear"/>
        <w:spacing w:before="80" w:after="280"/>
        <w:jc w:val="center"/>
      </w:pPr>
      <w:r>
        <w:rPr>
          <w:rFonts w:ascii="Calibri" w:hAnsi="Calibri" w:eastAsia="Calibri"/>
          <w:b/>
          <w:i w:val="0"/>
          <w:color w:val="FFFFFF"/>
          <w:sz w:val="22"/>
        </w:rPr>
        <w:t>CONDIÇÃO ESPECIAL  ·  12× de R$ 845,13  ·  válida até 30/07</w:t>
      </w:r>
    </w:p>
    <w:p>
      <w:pPr>
        <w:spacing w:after="120" w:line="300" w:lineRule="auto"/>
        <w:jc w:val="center"/>
      </w:pPr>
      <w:r>
        <w:rPr>
          <w:rFonts w:ascii="Calibri" w:hAnsi="Calibri" w:eastAsia="Calibri"/>
          <w:b w:val="0"/>
          <w:i w:val="0"/>
          <w:color w:val="5A5A5A"/>
          <w:sz w:val="22"/>
        </w:rPr>
        <w:t>Proposta estratégica para a Estação Delta arrumar a casa comercial, converter a demanda com método e realizar o retorno que vocês já validaram no plano de ROI.</w:t>
      </w:r>
    </w:p>
    <w:p>
      <w:pPr>
        <w:pBdr>
          <w:bottom w:val="single" w:sz="12" w:space="1" w:color="A10F14"/>
        </w:pBdr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1. Por que esta proposta existe agora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A Estação Delta já enxergou o ROI. A projeção faz sentido. Vocês entenderam o retorno — e também entenderam que, sem mudança estruturada, o cenário atual se repete ou piora.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O ponto decisivo veio de vocês: é preciso arrumar a casa para receber demanda.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Esta proposta responde exatamente a isso. Não é um pacote genérico de marketing. É a Estruturação Comercial — a etapa que liga a projeção ao operacional e torna o ROI alcançável.</w:t>
      </w:r>
    </w:p>
    <w:p>
      <w:pPr>
        <w:shd w:fill="F8E8E8" w:val="clear"/>
        <w:spacing w:before="160" w:after="40"/>
      </w:pPr>
      <w:r>
        <w:rPr>
          <w:rFonts w:ascii="Calibri" w:hAnsi="Calibri" w:eastAsia="Calibri"/>
          <w:b/>
          <w:i w:val="0"/>
          <w:color w:val="A10F14"/>
          <w:sz w:val="20"/>
        </w:rPr>
        <w:t>A TESE EM UMA FRASE</w:t>
      </w:r>
    </w:p>
    <w:p>
      <w:pPr>
        <w:shd w:fill="F8E8E8" w:val="clear"/>
        <w:spacing w:after="20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Sem máquina comercial pronta, o ROI permanece na planilha. Com Estruturação Comercial, o ROI ganha dono, processo, prazo e indicador — e começa a ser capturado na operação real da Delta.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2. O que a EC muda em cima do ROI de vocês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O plano de ROI assume hipóteses: conversão de propostas, velocidade de resposta, follow-up consistente, previsibilidade de fechamento e capacidade de receber mais demanda sem perder controle.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A Estruturação Comercial ataca exatamente as variáveis que fazem essas hipóteses se confirmarem — ou falharem.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A10F14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Premissa do ROI</w:t>
            </w:r>
          </w:p>
        </w:tc>
        <w:tc>
          <w:tcPr>
            <w:tcW w:type="dxa" w:w="3213"/>
            <w:shd w:fill="A10F14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Sem estrutura comercial</w:t>
            </w:r>
          </w:p>
        </w:tc>
        <w:tc>
          <w:tcPr>
            <w:tcW w:type="dxa" w:w="3213"/>
            <w:shd w:fill="A10F14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Com Estruturação Comercial</w:t>
            </w:r>
          </w:p>
        </w:tc>
      </w:tr>
      <w:tr>
        <w:tc>
          <w:tcPr>
            <w:tcW w:type="dxa" w:w="321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1C1C1C"/>
                <w:sz w:val="18"/>
              </w:rPr>
              <w:t>Conversão de propostas</w:t>
            </w:r>
          </w:p>
        </w:tc>
        <w:tc>
          <w:tcPr>
            <w:tcW w:type="dxa" w:w="321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5A5A5A"/>
                <w:sz w:val="18"/>
              </w:rPr>
              <w:t>Follow-up irregular; lead esfria; concorrência fecha</w:t>
            </w:r>
          </w:p>
        </w:tc>
        <w:tc>
          <w:tcPr>
            <w:tcW w:type="dxa" w:w="321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5A5A5A"/>
                <w:sz w:val="18"/>
              </w:rPr>
              <w:t>Cadência rígida, dono por oportunidade e script de fechamento</w:t>
            </w:r>
          </w:p>
        </w:tc>
      </w:tr>
      <w:tr>
        <w:tc>
          <w:tcPr>
            <w:tcW w:type="dxa" w:w="3213"/>
            <w:shd w:fill="F7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1C1C1C"/>
                <w:sz w:val="18"/>
              </w:rPr>
              <w:t>Velocidade de resposta</w:t>
            </w:r>
          </w:p>
        </w:tc>
        <w:tc>
          <w:tcPr>
            <w:tcW w:type="dxa" w:w="3213"/>
            <w:shd w:fill="F7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5A5A5A"/>
                <w:sz w:val="18"/>
              </w:rPr>
              <w:t>WhatsApp solto; SLA inexistente</w:t>
            </w:r>
          </w:p>
        </w:tc>
        <w:tc>
          <w:tcPr>
            <w:tcW w:type="dxa" w:w="3213"/>
            <w:shd w:fill="F7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5A5A5A"/>
                <w:sz w:val="18"/>
              </w:rPr>
              <w:t>SLA definido — resposta rápida vira vantagem competitiva</w:t>
            </w:r>
          </w:p>
        </w:tc>
      </w:tr>
      <w:tr>
        <w:tc>
          <w:tcPr>
            <w:tcW w:type="dxa" w:w="321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1C1C1C"/>
                <w:sz w:val="18"/>
              </w:rPr>
              <w:t>Previsibilidade</w:t>
            </w:r>
          </w:p>
        </w:tc>
        <w:tc>
          <w:tcPr>
            <w:tcW w:type="dxa" w:w="321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5A5A5A"/>
                <w:sz w:val="18"/>
              </w:rPr>
              <w:t>Pipeline no feeling; sócio não vê a semana</w:t>
            </w:r>
          </w:p>
        </w:tc>
        <w:tc>
          <w:tcPr>
            <w:tcW w:type="dxa" w:w="321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5A5A5A"/>
                <w:sz w:val="18"/>
              </w:rPr>
              <w:t>Funil legível, KPIs e rituais de gestão</w:t>
            </w:r>
          </w:p>
        </w:tc>
      </w:tr>
      <w:tr>
        <w:tc>
          <w:tcPr>
            <w:tcW w:type="dxa" w:w="3213"/>
            <w:shd w:fill="F7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1C1C1C"/>
                <w:sz w:val="18"/>
              </w:rPr>
              <w:t>Escala de demanda</w:t>
            </w:r>
          </w:p>
        </w:tc>
        <w:tc>
          <w:tcPr>
            <w:tcW w:type="dxa" w:w="3213"/>
            <w:shd w:fill="F7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5A5A5A"/>
                <w:sz w:val="18"/>
              </w:rPr>
              <w:t>Mais lead = mais caos</w:t>
            </w:r>
          </w:p>
        </w:tc>
        <w:tc>
          <w:tcPr>
            <w:tcW w:type="dxa" w:w="3213"/>
            <w:shd w:fill="F7F7F7" w:val="clear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5A5A5A"/>
                <w:sz w:val="18"/>
              </w:rPr>
              <w:t>Casa pronta: mais demanda entra com controle e conversão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Em outras palavras: a EC não compete com o plano de ROI — ela habilita o plano de ROI.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3. A sequência estratégica certa para a Delta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Muita empresa erra a ordem: acelera atração antes de ter comercial pronto. Isso não é crescimento — é pressão sobre um cano furado.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Para a Estação Delta, a sequência alinhada ao momento é: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1. Agora — Estruturar —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Diagnóstico, funil, CRM, playbooks, papéis, rituais e treinamento do time.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2. Em seguida — Converter melhor —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Capturar mais receita da demanda que já existe (indicação, urgência, relacionamento).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3. Depois — Acelerar volume —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Com a casa pronta, faz sentido ampliar atração com previsibilidade.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4. Resultado — ROI com gestão —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Payback deixa de ser fé e passa a ser acompanhamento por indicador.</w:t>
      </w:r>
    </w:p>
    <w:p>
      <w:pPr>
        <w:shd w:fill="F8E8E8" w:val="clear"/>
        <w:spacing w:before="160" w:after="40"/>
      </w:pPr>
      <w:r>
        <w:rPr>
          <w:rFonts w:ascii="Calibri" w:hAnsi="Calibri" w:eastAsia="Calibri"/>
          <w:b/>
          <w:i w:val="0"/>
          <w:color w:val="A10F14"/>
          <w:sz w:val="20"/>
        </w:rPr>
        <w:t>CRESCIMENTO NA ORDEM CERTA</w:t>
      </w:r>
    </w:p>
    <w:p>
      <w:pPr>
        <w:shd w:fill="F8E8E8" w:val="clear"/>
        <w:spacing w:after="20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Estruturar agora não é freio. É fundação. É o investimento que desbloqueia o retorno que vocês já validaram.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4. A realidade da Estação Delta — e por que a EC encaixa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Vocês operam em emergência e facilities: rotina intensa, mix de serviços com margens e ciclos diferentes, vendas que nascem de urgência, indicação e relacionamento.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Esse modelo é poderoso — e frágil sem processo: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Lead quente de emergência exige resposta no mesmo dia. Sem SLA, a janela fecha.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Facilities/limpeza tem recorrência e renovação. Sem CRM e cadência, a base esfria.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Indicação que entra no WhatsApp e não tem dono é ROI evaporando.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Sem motivos de perda e indicadores, vocês corrigem no chute — não na causa.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A EC foi desenhada para esse contexto: resposta rápida, proposta clara, follow-up rígido, ICP por linha de serviço e previsibilidade de fechamento.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5. O que a Delta leva na Estruturação Comercial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Não é consultoria de slides. É projeto de ativação com implementação e capacitação — para o comercial passar a operar com padrão.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A10F14"/>
          <w:sz w:val="26"/>
        </w:rPr>
        <w:t>5.1 Fundação comercial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Diagnóstico: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Mapeamento do funil atual e gargalos de conversão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ICP: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por linha de serviço (emergência × facilities), com discurso e critérios distintos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Direção: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metas, KPIs e indicadores de saúde do pipeline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SLAs: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de resposta, follow-up e passagem de bastão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Papéis claros: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quem prospecta, quem fecha, quem gerencia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A10F14"/>
          <w:sz w:val="26"/>
        </w:rPr>
        <w:t>5.2 Ativação operacional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Playbooks: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de abordagem, qualificação e fechamento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Scripts: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e cadências de follow-up pós-proposta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Estrutura de proposta: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comercial padronizada, pronta para o ritmo da Delta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Política de comissão: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/ incentivos alinhados a meta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Rituais de gestão: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daily/weekly com pauta e donos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A10F14"/>
          <w:sz w:val="26"/>
        </w:rPr>
        <w:t>5.3 Inteligência de conversão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Pré-qualificação: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critérios para entrar no funil certo — menos tempo em lead sem fit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Motivos de perda: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taxonomia clara (preço, prazo, escopo, concorrência) para corrigir rota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Visão gerencial: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relatórios para enxergar travas na hora e decidir com dados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A10F14"/>
          <w:sz w:val="26"/>
        </w:rPr>
        <w:t>5.4 CRM operativo — bonificado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Incluído no projeto, sem custo adicional de setup: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Pipes e fases alinhados ao ciclo real da Delta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Conexão dos canais de captura (site, WhatsApp, indicação)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Automações de boas-vindas e follow-up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Campos obrigatórios para qualidade da informação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Dashboards de conversão, ciclo e gargalos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Rotina de higiene de base e atualização de status</w:t>
      </w:r>
    </w:p>
    <w:p>
      <w:pPr>
        <w:shd w:fill="F8E8E8" w:val="clear"/>
        <w:spacing w:before="160" w:after="40"/>
      </w:pPr>
      <w:r>
        <w:rPr>
          <w:rFonts w:ascii="Calibri" w:hAnsi="Calibri" w:eastAsia="Calibri"/>
          <w:b/>
          <w:i w:val="0"/>
          <w:color w:val="A10F14"/>
          <w:sz w:val="20"/>
        </w:rPr>
        <w:t>O QUE MUDA NO DIA A DIA</w:t>
      </w:r>
    </w:p>
    <w:p>
      <w:pPr>
        <w:shd w:fill="F8E8E8" w:val="clear"/>
        <w:spacing w:after="20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Nenhuma proposta sem prazo de retorno. Pipeline legível para sócios. Menos “cadê aquele cliente?” no grupo. Decisão por indicador — não só por urgência. Base pronta para receber mais demanda com controle.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6. Capacitação: processo só funciona quando o time opera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Processo sem adoção é PDF na gaveta. Por isso a EC inclui: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Imersão: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na nova rotina, scripts e uso do CRM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Simulação / roleplay: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de qualificação, proposta e objeção (preço, prazo, concorrência local)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Rituais: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instalação de daily/weekly leves e consistentes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Acompanhamento: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ajuste fino nas primeiras semanas de uso real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O conhecimento fica na Delta — transferência de capacidade, não dependência eterna. Quando a casa estiver organizada, o próximo nível de crescimento faz sentido de verdade.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7. Por que a Delta precisa disso para o ROI — não “apesar” disso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Três verdades que conectam investimento e retorno: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 xml:space="preserve">1) O ROI vaza no comercial: 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cada lead sem dono, cada proposta sem follow-up e cada funil no feeling é retorno que não se realiza.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 xml:space="preserve">2) A alavanca mais barata agora é conversão: 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melhorar conversão do que já chega eleva o retorno do plano sem exigir mais mídia.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 xml:space="preserve">3) Escala sem base multiplica esforço, não resultado: 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estruturar primeiro; acelerar volume depois. Essa é a ordem que protege margem e previsibilidade.</w:t>
      </w:r>
    </w:p>
    <w:p>
      <w:pPr>
        <w:shd w:fill="F8E8E8" w:val="clear"/>
        <w:spacing w:before="160" w:after="40"/>
      </w:pPr>
      <w:r>
        <w:rPr>
          <w:rFonts w:ascii="Calibri" w:hAnsi="Calibri" w:eastAsia="Calibri"/>
          <w:b/>
          <w:i w:val="0"/>
          <w:color w:val="A10F14"/>
          <w:sz w:val="20"/>
        </w:rPr>
        <w:t>FRASE DE OURO</w:t>
      </w:r>
    </w:p>
    <w:p>
      <w:pPr>
        <w:shd w:fill="F8E8E8" w:val="clear"/>
        <w:spacing w:after="20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Se o plano de ROI fosse um carro, a Estruturação Comercial é o motor. Sem motor, combustível não adianta. Com motor, cada real investido em crescimento passa a ter direção.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8. Investimento e condição especial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Projeto de Estruturação Comercial para a Estação Delta Emergência &amp; Facilities — diagnóstico, funil, CRM, playbooks, rituais e treinamento.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F5F5F5" w:val="clea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5A5A5A"/>
                <w:sz w:val="22"/>
              </w:rPr>
              <w:t>Valor do projeto</w:t>
            </w:r>
          </w:p>
        </w:tc>
        <w:tc>
          <w:tcPr>
            <w:tcW w:type="dxa" w:w="4819"/>
            <w:shd w:fill="F5F5F5" w:val="clea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5A5A5A"/>
                <w:sz w:val="22"/>
              </w:rPr>
              <w:t>R$ 20.283,13</w:t>
            </w:r>
          </w:p>
        </w:tc>
      </w:tr>
      <w:tr>
        <w:tc>
          <w:tcPr>
            <w:tcW w:type="dxa" w:w="4819"/>
            <w:shd w:fill="A10F14" w:val="clea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Condição especial</w:t>
            </w:r>
          </w:p>
        </w:tc>
        <w:tc>
          <w:tcPr>
            <w:tcW w:type="dxa" w:w="4819"/>
            <w:shd w:fill="A10F14" w:val="clea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12× de R$ 845,13</w:t>
            </w:r>
          </w:p>
        </w:tc>
      </w:tr>
      <w:tr>
        <w:tc>
          <w:tcPr>
            <w:tcW w:type="dxa" w:w="4819"/>
            <w:shd w:fill="FFF8F8" w:val="clea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1C1C1C"/>
                <w:sz w:val="22"/>
              </w:rPr>
              <w:t>Validade da condição</w:t>
            </w:r>
          </w:p>
        </w:tc>
        <w:tc>
          <w:tcPr>
            <w:tcW w:type="dxa" w:w="4819"/>
            <w:shd w:fill="FFF8F8" w:val="clea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A10F14"/>
                <w:sz w:val="22"/>
              </w:rPr>
              <w:t>Até 30/07</w:t>
            </w:r>
          </w:p>
        </w:tc>
      </w:tr>
      <w:tr>
        <w:tc>
          <w:tcPr>
            <w:tcW w:type="dxa" w:w="4819"/>
            <w:shd w:fill="FFF8F8" w:val="clea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1C1C1C"/>
                <w:sz w:val="22"/>
              </w:rPr>
              <w:t>Incluso</w:t>
            </w:r>
          </w:p>
        </w:tc>
        <w:tc>
          <w:tcPr>
            <w:tcW w:type="dxa" w:w="4819"/>
            <w:shd w:fill="FFF8F8" w:val="clea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1C1C1C"/>
                <w:sz w:val="22"/>
              </w:rPr>
              <w:t>CRM operativo bonificado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Tradução prática: cerca de R$ 845 por mês, em 12 parcelas, para instalar a base do ROI — com previsibilidade de caixa e sem desorganizar a operação.</w:t>
      </w: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Uma única proposta/contrato que deixa de vazar no funil já começa a pagar parte deste investimento. O custo real de adiar é continuar convertendo no feeling enquanto o payback se posterga.</w:t>
      </w:r>
    </w:p>
    <w:p>
      <w:pPr>
        <w:shd w:fill="FDECEC" w:val="clear"/>
        <w:spacing w:before="120" w:after="200"/>
      </w:pPr>
      <w:r>
        <w:rPr>
          <w:rFonts w:ascii="Calibri" w:hAnsi="Calibri" w:eastAsia="Calibri"/>
          <w:b/>
          <w:i w:val="0"/>
          <w:color w:val="A10F14"/>
          <w:sz w:val="22"/>
        </w:rPr>
        <w:t>⏰  Condição especial disponível até 30/07. Após essa data, retorna a condição padrão do projeto.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9. Resumo do que está incluso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>Diagnóstico comercial + mapa de gargalos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>ICP por linha de serviço (emergência &amp; facilities)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>Funil, KPIs, SLAs e definição de papéis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>Playbooks, scripts e cadências de follow-up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>Modelo de proposta comercial padronizada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>Política de comissão / incentivos alinhados a meta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>Rituais de gestão (daily/weekly) com pauta pronta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>Pré-qualificação + motivos de perda + visão gerencial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>CRM operativo (pipes, canais, automações, dashboards) — bonificado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 w:val="0"/>
          <w:i w:val="0"/>
          <w:color w:val="5A5A5A"/>
          <w:sz w:val="22"/>
        </w:rPr>
        <w:t>Treinamento do time + acompanhamento de adoção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10. Próximos passos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1.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Alinhamento — validar escopo e a condição especial 12×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2.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Formalização — contrato e kick-off administrativo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3.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Onboarding — acessos, diagnóstico e mapa do funil</w:t>
      </w:r>
    </w:p>
    <w:p>
      <w:pPr>
        <w:pStyle w:val="ListBullet"/>
        <w:spacing w:after="60" w:line="288" w:lineRule="auto"/>
      </w:pPr>
      <w:r>
        <w:rPr>
          <w:rFonts w:ascii="Calibri" w:hAnsi="Calibri" w:eastAsia="Calibri"/>
          <w:b/>
          <w:i w:val="0"/>
          <w:color w:val="1C1C1C"/>
          <w:sz w:val="22"/>
        </w:rPr>
        <w:t>4.</w:t>
      </w:r>
      <w:r>
        <w:rPr>
          <w:rFonts w:ascii="Calibri" w:hAnsi="Calibri" w:eastAsia="Calibri"/>
          <w:b w:val="0"/>
          <w:i w:val="0"/>
          <w:color w:val="5A5A5A"/>
          <w:sz w:val="22"/>
        </w:rPr>
        <w:t xml:space="preserve"> Ativação — CRM, playbooks e treinamento do time</w:t>
      </w:r>
    </w:p>
    <w:p>
      <w:pPr>
        <w:shd w:fill="F8E8E8" w:val="clear"/>
        <w:spacing w:before="160" w:after="40"/>
      </w:pPr>
      <w:r>
        <w:rPr>
          <w:rFonts w:ascii="Calibri" w:hAnsi="Calibri" w:eastAsia="Calibri"/>
          <w:b/>
          <w:i w:val="0"/>
          <w:color w:val="A10F14"/>
          <w:sz w:val="20"/>
        </w:rPr>
        <w:t>O QUE A ESTAÇÃO DELTA LEVA COM A V4</w:t>
      </w:r>
    </w:p>
    <w:p>
      <w:pPr>
        <w:shd w:fill="F8E8E8" w:val="clear"/>
        <w:spacing w:after="200" w:line="300" w:lineRule="auto"/>
      </w:pPr>
      <w:r>
        <w:rPr>
          <w:rFonts w:ascii="Calibri" w:hAnsi="Calibri" w:eastAsia="Calibri"/>
          <w:b w:val="0"/>
          <w:i w:val="0"/>
          <w:color w:val="1C1C1C"/>
          <w:sz w:val="22"/>
        </w:rPr>
        <w:t>Uma estrutura comercial pronta para receber demanda, converter com método e criar a base do ROI que vocês já validaram. Casa organizada. Time no padrão. Crescimento na sequência certa.</w:t>
      </w:r>
    </w:p>
    <w:p>
      <w:pPr>
        <w:pBdr>
          <w:bottom w:val="single" w:sz="12" w:space="1" w:color="A10F14"/>
        </w:pBdr>
      </w:pPr>
    </w:p>
    <w:p>
      <w:pPr>
        <w:spacing w:before="200"/>
        <w:jc w:val="center"/>
      </w:pPr>
      <w:r>
        <w:rPr>
          <w:rFonts w:ascii="Calibri" w:hAnsi="Calibri" w:eastAsia="Calibri"/>
          <w:b/>
          <w:i w:val="0"/>
          <w:color w:val="A10F14"/>
          <w:sz w:val="28"/>
        </w:rPr>
        <w:t>Arrumar a casa hoje. Acelerar com previsibilidade amanhã.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A5A5A"/>
          <w:sz w:val="20"/>
        </w:rPr>
        <w:t>Estação Delta Emergência &amp; Facilities  ×  V4 Company  ·  Proposta 2026</w:t>
      </w:r>
    </w:p>
    <w:p>
      <w:pPr>
        <w:jc w:val="center"/>
      </w:pPr>
      <w:r>
        <w:rPr>
          <w:rFonts w:ascii="Calibri" w:hAnsi="Calibri" w:eastAsia="Calibri"/>
          <w:b/>
          <w:i w:val="0"/>
          <w:color w:val="A10F14"/>
          <w:sz w:val="22"/>
        </w:rPr>
        <w:t>Condição especial: 12× de R$ 845,13  ·  válida até 30/07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