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W w:w="9639" w:type="dxa"/>
      </w:tblPr>
      <w:tblGrid>
        <w:gridCol w:w="9638"/>
      </w:tblGrid>
      <w:tr>
        <w:tc>
          <w:tcPr>
            <w:tcW w:type="dxa" w:w="9638"/>
            <w:shd w:fill="280001" w:val="clear"/>
            <w:tcMar>
              <w:top w:w="220" w:type="dxa"/>
              <w:left w:w="240" w:type="dxa"/>
              <w:bottom w:w="220" w:type="dxa"/>
              <w:right w:w="240" w:type="dxa"/>
            </w:tcMar>
          </w:tcPr>
          <w:p>
            <w:r/>
            <w:r>
              <w:rPr>
                <w:rFonts w:ascii="Calibri" w:hAnsi="Calibri" w:eastAsia="Calibri"/>
                <w:b/>
                <w:i w:val="0"/>
                <w:color w:val="F5B5B8"/>
                <w:sz w:val="18"/>
              </w:rPr>
              <w:t>PROPOSTA COMERCIAL</w:t>
            </w:r>
          </w:p>
          <w:p>
            <w:r>
              <w:rPr>
                <w:rFonts w:ascii="Calibri" w:hAnsi="Calibri" w:eastAsia="Calibri"/>
                <w:b/>
                <w:i w:val="0"/>
                <w:color w:val="FFFFFF"/>
                <w:sz w:val="52"/>
              </w:rPr>
              <w:t>Empresa que Vende</w:t>
            </w:r>
          </w:p>
          <w:p>
            <w:r>
              <w:rPr>
                <w:rFonts w:ascii="Calibri" w:hAnsi="Calibri" w:eastAsia="Calibri"/>
                <w:b w:val="0"/>
                <w:i w:val="0"/>
                <w:color w:val="FFD0D0"/>
                <w:sz w:val="28"/>
              </w:rPr>
              <w:t>Remax Pro Work  ×  V4 Company</w:t>
            </w:r>
          </w:p>
          <w:p>
            <w:r>
              <w:rPr>
                <w:rFonts w:ascii="Calibri" w:hAnsi="Calibri" w:eastAsia="Calibri"/>
                <w:b w:val="0"/>
                <w:i w:val="0"/>
                <w:color w:val="E8D0D0"/>
                <w:sz w:val="22"/>
              </w:rPr>
              <w:t>Consultoria, acompanhamento e execução assistida para transformar marketing e comercial em uma máquina de receita previsível — em 6 meses.</w:t>
            </w:r>
          </w:p>
        </w:tc>
      </w:tr>
    </w:tbl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1A1A1A"/>
          <w:sz w:val="2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639" w:type="dxa"/>
      </w:tblPr>
      <w:tblGrid>
        <w:gridCol w:w="4819"/>
        <w:gridCol w:w="4819"/>
      </w:tblGrid>
      <w:tr>
        <w:tc>
          <w:tcPr>
            <w:tcW w:type="dxa" w:w="4819"/>
            <w:shd w:fill="A10F14" w:val="clear"/>
            <w:tcBorders>
              <w:top w:val="single" w:sz="4" w:space="0" w:color="A10F14"/>
              <w:left w:val="single" w:sz="4" w:space="0" w:color="A10F14"/>
              <w:bottom w:val="single" w:sz="4" w:space="0" w:color="A10F14"/>
              <w:right w:val="single" w:sz="4" w:space="0" w:color="A10F1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8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Campo</w:t>
            </w:r>
          </w:p>
        </w:tc>
        <w:tc>
          <w:tcPr>
            <w:tcW w:type="dxa" w:w="4819"/>
            <w:shd w:fill="A10F14" w:val="clear"/>
            <w:tcBorders>
              <w:top w:val="single" w:sz="4" w:space="0" w:color="A10F14"/>
              <w:left w:val="single" w:sz="4" w:space="0" w:color="A10F14"/>
              <w:bottom w:val="single" w:sz="4" w:space="0" w:color="A10F14"/>
              <w:right w:val="single" w:sz="4" w:space="0" w:color="A10F1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8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Informação</w:t>
            </w:r>
          </w:p>
        </w:tc>
      </w:tr>
      <w:tr>
        <w:tc>
          <w:tcPr>
            <w:tcW w:type="dxa" w:w="4819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8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1A1A1A"/>
                <w:sz w:val="20"/>
              </w:rPr>
              <w:t>Cliente</w:t>
            </w:r>
          </w:p>
        </w:tc>
        <w:tc>
          <w:tcPr>
            <w:tcW w:type="dxa" w:w="4819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8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Remax Pro Work</w:t>
            </w:r>
          </w:p>
        </w:tc>
      </w:tr>
      <w:tr>
        <w:tc>
          <w:tcPr>
            <w:tcW w:type="dxa" w:w="4819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8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1A1A1A"/>
                <w:sz w:val="20"/>
              </w:rPr>
              <w:t>Produto</w:t>
            </w:r>
          </w:p>
        </w:tc>
        <w:tc>
          <w:tcPr>
            <w:tcW w:type="dxa" w:w="4819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8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Empresa que Vende (EQV) — programa semestral de consultoria + execução assistida</w:t>
            </w:r>
          </w:p>
        </w:tc>
      </w:tr>
      <w:tr>
        <w:tc>
          <w:tcPr>
            <w:tcW w:type="dxa" w:w="4819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8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1A1A1A"/>
                <w:sz w:val="20"/>
              </w:rPr>
              <w:t>Prazo</w:t>
            </w:r>
          </w:p>
        </w:tc>
        <w:tc>
          <w:tcPr>
            <w:tcW w:type="dxa" w:w="4819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8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6 meses  ·  5 fases  ·  squad de 4 especialistas (Conteúdo, Mídia Paga, Comercial, CRM)</w:t>
            </w:r>
          </w:p>
        </w:tc>
      </w:tr>
      <w:tr>
        <w:tc>
          <w:tcPr>
            <w:tcW w:type="dxa" w:w="4819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8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1A1A1A"/>
                <w:sz w:val="20"/>
              </w:rPr>
              <w:t>Investimento</w:t>
            </w:r>
          </w:p>
        </w:tc>
        <w:tc>
          <w:tcPr>
            <w:tcW w:type="dxa" w:w="4819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8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6x de R$ 3.500,00  ·  PIX à vista R$ 19.500,00  ·  referência R$ 50.632,85</w:t>
            </w:r>
          </w:p>
        </w:tc>
      </w:tr>
      <w:tr>
        <w:tc>
          <w:tcPr>
            <w:tcW w:type="dxa" w:w="4819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8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1A1A1A"/>
                <w:sz w:val="20"/>
              </w:rPr>
              <w:t>Cashback EE</w:t>
            </w:r>
          </w:p>
        </w:tc>
        <w:tc>
          <w:tcPr>
            <w:tcW w:type="dxa" w:w="4819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8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R$ 15.000,00 já investidos na Estruturação Estratégica, aplicados nesta condição</w:t>
            </w:r>
          </w:p>
        </w:tc>
      </w:tr>
      <w:tr>
        <w:tc>
          <w:tcPr>
            <w:tcW w:type="dxa" w:w="4819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8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1A1A1A"/>
                <w:sz w:val="20"/>
              </w:rPr>
              <w:t>Condução</w:t>
            </w:r>
          </w:p>
        </w:tc>
        <w:tc>
          <w:tcPr>
            <w:tcW w:type="dxa" w:w="4819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8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V4 Company  ·  consultor estratégico (1h/mês) + squad de execução assistida</w:t>
            </w:r>
          </w:p>
        </w:tc>
      </w:tr>
      <w:tr>
        <w:tc>
          <w:tcPr>
            <w:tcW w:type="dxa" w:w="4819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8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1A1A1A"/>
                <w:sz w:val="20"/>
              </w:rPr>
              <w:t>Incluso</w:t>
            </w:r>
          </w:p>
        </w:tc>
        <w:tc>
          <w:tcPr>
            <w:tcW w:type="dxa" w:w="4819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8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Comunidade, monitoria coletiva mensal, conteúdo semanal e Fábrica de Receita</w:t>
            </w:r>
          </w:p>
        </w:tc>
      </w:tr>
      <w:tr>
        <w:tc>
          <w:tcPr>
            <w:tcW w:type="dxa" w:w="4819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8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1A1A1A"/>
                <w:sz w:val="20"/>
              </w:rPr>
              <w:t>Garantia</w:t>
            </w:r>
          </w:p>
        </w:tc>
        <w:tc>
          <w:tcPr>
            <w:tcW w:type="dxa" w:w="4819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8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30 dias de serviço — reembolso incondicional se a entrega não fizer sentido</w:t>
            </w:r>
          </w:p>
        </w:tc>
      </w:tr>
    </w:tbl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  <w:tblW w:w="9639" w:type="dxa"/>
      </w:tblPr>
      <w:tblGrid>
        <w:gridCol w:w="9638"/>
      </w:tblGrid>
      <w:tr>
        <w:tc>
          <w:tcPr>
            <w:tcW w:type="dxa" w:w="9638"/>
            <w:shd w:fill="F8EFEF" w:val="clear"/>
            <w:tcBorders>
              <w:top w:val="single" w:sz="4" w:space="0" w:color="A10F14"/>
              <w:left w:val="single" w:sz="4" w:space="0" w:color="A10F14"/>
              <w:bottom w:val="single" w:sz="4" w:space="0" w:color="A10F14"/>
              <w:right w:val="single" w:sz="4" w:space="0" w:color="A10F14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80"/>
            </w:pPr>
            <w:r/>
            <w:r>
              <w:rPr>
                <w:rFonts w:ascii="Calibri" w:hAnsi="Calibri" w:eastAsia="Calibri"/>
                <w:b/>
                <w:i w:val="0"/>
                <w:color w:val="A10F14"/>
                <w:sz w:val="18"/>
              </w:rPr>
              <w:t>LEITURA CENTRAL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olor w:val="1A1A1A"/>
                <w:sz w:val="22"/>
              </w:rPr>
              <w:t>Você trabalha muito. A receita ainda não é previsível. O Empresa que Vende não executa no seu lugar: estrutura o negócio, treina o time e acompanha a execução. Quem opera é você.</w:t>
            </w:r>
          </w:p>
        </w:tc>
      </w:tr>
    </w:tbl>
    <w:p>
      <w:pPr>
        <w:spacing w:after="80"/>
      </w:pPr>
    </w:p>
    <w:p>
      <w:pPr>
        <w:spacing w:before="0" w:after="160" w:line="276" w:lineRule="auto"/>
        <w:pBdr>
          <w:bottom w:val="single" w:sz="12" w:space="1" w:color="A10F14"/>
        </w:pBdr>
      </w:pPr>
      <w:r>
        <w:rPr>
          <w:rFonts w:ascii="Calibri" w:hAnsi="Calibri" w:eastAsia="Calibri"/>
          <w:b/>
          <w:i w:val="0"/>
          <w:color w:val="A10F14"/>
          <w:sz w:val="32"/>
        </w:rPr>
        <w:t>1. Objetivo</w:t>
      </w:r>
    </w:p>
    <w:p>
      <w:pPr>
        <w:spacing w:before="0" w:after="160" w:line="276" w:lineRule="auto"/>
      </w:pPr>
      <w:r>
        <w:rPr>
          <w:rFonts w:ascii="Calibri" w:hAnsi="Calibri" w:eastAsia="Calibri"/>
          <w:b w:val="0"/>
          <w:i w:val="0"/>
          <w:color w:val="1A1A1A"/>
          <w:sz w:val="22"/>
        </w:rPr>
        <w:t>Instalar, em 6 meses, o método para a Remax Pro Work vender com previsibilidade: diagnóstico contínuo de maturidade GTM, consultoria estratégica mensal, execução assistida nas quatro frentes (conteúdo, mídia, comercial e CRM), comunidade de pares e imersão presencial da Fábrica de Receita.</w:t>
      </w:r>
    </w:p>
    <w:p>
      <w:pPr>
        <w:spacing w:before="0" w:after="160" w:line="276" w:lineRule="auto"/>
        <w:pBdr>
          <w:bottom w:val="single" w:sz="12" w:space="1" w:color="A10F14"/>
        </w:pBdr>
      </w:pPr>
      <w:r>
        <w:rPr>
          <w:rFonts w:ascii="Calibri" w:hAnsi="Calibri" w:eastAsia="Calibri"/>
          <w:b/>
          <w:i w:val="0"/>
          <w:color w:val="A10F14"/>
          <w:sz w:val="32"/>
        </w:rPr>
        <w:t>2. O problema que o programa resolve</w:t>
      </w:r>
    </w:p>
    <w:p>
      <w:pPr>
        <w:spacing w:before="0" w:after="160" w:line="276" w:lineRule="auto"/>
      </w:pPr>
      <w:r>
        <w:rPr>
          <w:rFonts w:ascii="Calibri" w:hAnsi="Calibri" w:eastAsia="Calibri"/>
          <w:b w:val="0"/>
          <w:i w:val="0"/>
          <w:color w:val="1A1A1A"/>
          <w:sz w:val="22"/>
        </w:rPr>
        <w:t>O empresário típico do EQV já vende. O que falta é sistema para repetir o mês. Vendas oscilam; o processo mora na cabeça do melhor vendedor; marketing decide no achismo; a agência executa e o crescimento para quando o contrato termina.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639" w:type="dxa"/>
      </w:tblPr>
      <w:tblGrid>
        <w:gridCol w:w="4819"/>
        <w:gridCol w:w="4819"/>
      </w:tblGrid>
      <w:tr>
        <w:tc>
          <w:tcPr>
            <w:tcW w:type="dxa" w:w="4819"/>
            <w:shd w:fill="A10F14" w:val="clear"/>
            <w:tcBorders>
              <w:top w:val="single" w:sz="4" w:space="0" w:color="A10F14"/>
              <w:left w:val="single" w:sz="4" w:space="0" w:color="A10F14"/>
              <w:bottom w:val="single" w:sz="4" w:space="0" w:color="A10F14"/>
              <w:right w:val="single" w:sz="4" w:space="0" w:color="A10F1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8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Sintoma</w:t>
            </w:r>
          </w:p>
        </w:tc>
        <w:tc>
          <w:tcPr>
            <w:tcW w:type="dxa" w:w="4819"/>
            <w:shd w:fill="A10F14" w:val="clear"/>
            <w:tcBorders>
              <w:top w:val="single" w:sz="4" w:space="0" w:color="A10F14"/>
              <w:left w:val="single" w:sz="4" w:space="0" w:color="A10F14"/>
              <w:bottom w:val="single" w:sz="4" w:space="0" w:color="A10F14"/>
              <w:right w:val="single" w:sz="4" w:space="0" w:color="A10F1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8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Efeito na operação</w:t>
            </w:r>
          </w:p>
        </w:tc>
      </w:tr>
      <w:tr>
        <w:tc>
          <w:tcPr>
            <w:tcW w:type="dxa" w:w="4819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8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1A1A1A"/>
                <w:sz w:val="20"/>
              </w:rPr>
              <w:t>Receita imprevisível</w:t>
            </w:r>
          </w:p>
        </w:tc>
        <w:tc>
          <w:tcPr>
            <w:tcW w:type="dxa" w:w="4819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8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O mês é esforço, não método. Sem processo, o resultado não se repete.</w:t>
            </w:r>
          </w:p>
        </w:tc>
      </w:tr>
      <w:tr>
        <w:tc>
          <w:tcPr>
            <w:tcW w:type="dxa" w:w="4819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8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1A1A1A"/>
                <w:sz w:val="20"/>
              </w:rPr>
              <w:t>Processo na cabeça de uma pessoa</w:t>
            </w:r>
          </w:p>
        </w:tc>
        <w:tc>
          <w:tcPr>
            <w:tcW w:type="dxa" w:w="4819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8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Quando o melhor vendedor sai, o comercial sai junto.</w:t>
            </w:r>
          </w:p>
        </w:tc>
      </w:tr>
      <w:tr>
        <w:tc>
          <w:tcPr>
            <w:tcW w:type="dxa" w:w="4819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8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1A1A1A"/>
                <w:sz w:val="20"/>
              </w:rPr>
              <w:t>Marketing no achismo</w:t>
            </w:r>
          </w:p>
        </w:tc>
        <w:tc>
          <w:tcPr>
            <w:tcW w:type="dxa" w:w="4819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8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Canal, conteúdo e mídia sem tese. Investe, testa, para.</w:t>
            </w:r>
          </w:p>
        </w:tc>
      </w:tr>
      <w:tr>
        <w:tc>
          <w:tcPr>
            <w:tcW w:type="dxa" w:w="4819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8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1A1A1A"/>
                <w:sz w:val="20"/>
              </w:rPr>
              <w:t>Agência executa — você não aprende</w:t>
            </w:r>
          </w:p>
        </w:tc>
        <w:tc>
          <w:tcPr>
            <w:tcW w:type="dxa" w:w="4819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8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Quando o contrato acaba, o resultado vai junto.</w:t>
            </w:r>
          </w:p>
        </w:tc>
      </w:tr>
      <w:tr>
        <w:tc>
          <w:tcPr>
            <w:tcW w:type="dxa" w:w="4819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8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1A1A1A"/>
                <w:sz w:val="20"/>
              </w:rPr>
              <w:t>Comercial amador</w:t>
            </w:r>
          </w:p>
        </w:tc>
        <w:tc>
          <w:tcPr>
            <w:tcW w:type="dxa" w:w="4819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8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Script, follow-up e pipeline improvisados. O funil vaza depois do lead.</w:t>
            </w:r>
          </w:p>
        </w:tc>
      </w:tr>
      <w:tr>
        <w:tc>
          <w:tcPr>
            <w:tcW w:type="dxa" w:w="4819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8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1A1A1A"/>
                <w:sz w:val="20"/>
              </w:rPr>
              <w:t>Posicionamento frouxo</w:t>
            </w:r>
          </w:p>
        </w:tc>
        <w:tc>
          <w:tcPr>
            <w:tcW w:type="dxa" w:w="4819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8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A marca não escolheu ICP. O mercado escolhe preço.</w:t>
            </w:r>
          </w:p>
        </w:tc>
      </w:tr>
    </w:tbl>
    <w:p>
      <w:pPr>
        <w:spacing w:after="80"/>
      </w:pPr>
    </w:p>
    <w:p>
      <w:pPr>
        <w:spacing w:before="0" w:after="160" w:line="276" w:lineRule="auto"/>
        <w:pBdr>
          <w:bottom w:val="single" w:sz="12" w:space="1" w:color="A10F14"/>
        </w:pBdr>
      </w:pPr>
      <w:r>
        <w:rPr>
          <w:rFonts w:ascii="Calibri" w:hAnsi="Calibri" w:eastAsia="Calibri"/>
          <w:b/>
          <w:i w:val="0"/>
          <w:color w:val="A10F14"/>
          <w:sz w:val="32"/>
        </w:rPr>
        <w:t>3. Jornada de 6 meses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639" w:type="dxa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A10F14" w:val="clear"/>
            <w:tcBorders>
              <w:top w:val="single" w:sz="4" w:space="0" w:color="A10F14"/>
              <w:left w:val="single" w:sz="4" w:space="0" w:color="A10F14"/>
              <w:bottom w:val="single" w:sz="4" w:space="0" w:color="A10F14"/>
              <w:right w:val="single" w:sz="4" w:space="0" w:color="A10F1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8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Fase</w:t>
            </w:r>
          </w:p>
        </w:tc>
        <w:tc>
          <w:tcPr>
            <w:tcW w:type="dxa" w:w="2409"/>
            <w:shd w:fill="A10F14" w:val="clear"/>
            <w:tcBorders>
              <w:top w:val="single" w:sz="4" w:space="0" w:color="A10F14"/>
              <w:left w:val="single" w:sz="4" w:space="0" w:color="A10F14"/>
              <w:bottom w:val="single" w:sz="4" w:space="0" w:color="A10F14"/>
              <w:right w:val="single" w:sz="4" w:space="0" w:color="A10F1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8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Quando</w:t>
            </w:r>
          </w:p>
        </w:tc>
        <w:tc>
          <w:tcPr>
            <w:tcW w:type="dxa" w:w="2409"/>
            <w:shd w:fill="A10F14" w:val="clear"/>
            <w:tcBorders>
              <w:top w:val="single" w:sz="4" w:space="0" w:color="A10F14"/>
              <w:left w:val="single" w:sz="4" w:space="0" w:color="A10F14"/>
              <w:bottom w:val="single" w:sz="4" w:space="0" w:color="A10F14"/>
              <w:right w:val="single" w:sz="4" w:space="0" w:color="A10F1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8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Nome</w:t>
            </w:r>
          </w:p>
        </w:tc>
        <w:tc>
          <w:tcPr>
            <w:tcW w:type="dxa" w:w="2409"/>
            <w:shd w:fill="A10F14" w:val="clear"/>
            <w:tcBorders>
              <w:top w:val="single" w:sz="4" w:space="0" w:color="A10F14"/>
              <w:left w:val="single" w:sz="4" w:space="0" w:color="A10F14"/>
              <w:bottom w:val="single" w:sz="4" w:space="0" w:color="A10F14"/>
              <w:right w:val="single" w:sz="4" w:space="0" w:color="A10F1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8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Função</w:t>
            </w:r>
          </w:p>
        </w:tc>
      </w:tr>
      <w:tr>
        <w:tc>
          <w:tcPr>
            <w:tcW w:type="dxa" w:w="2409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8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1A1A1A"/>
                <w:sz w:val="20"/>
              </w:rPr>
              <w:t>01</w:t>
            </w:r>
          </w:p>
        </w:tc>
        <w:tc>
          <w:tcPr>
            <w:tcW w:type="dxa" w:w="2409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8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Mês 1</w:t>
            </w:r>
          </w:p>
        </w:tc>
        <w:tc>
          <w:tcPr>
            <w:tcW w:type="dxa" w:w="2409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8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Onboarding</w:t>
            </w:r>
          </w:p>
        </w:tc>
        <w:tc>
          <w:tcPr>
            <w:tcW w:type="dxa" w:w="2409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8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Kickoff, maturidade GTM e prioridades do ciclo.</w:t>
            </w:r>
          </w:p>
        </w:tc>
      </w:tr>
      <w:tr>
        <w:tc>
          <w:tcPr>
            <w:tcW w:type="dxa" w:w="2409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8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1A1A1A"/>
                <w:sz w:val="20"/>
              </w:rPr>
              <w:t>02</w:t>
            </w:r>
          </w:p>
        </w:tc>
        <w:tc>
          <w:tcPr>
            <w:tcW w:type="dxa" w:w="2409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8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Mês 2</w:t>
            </w:r>
          </w:p>
        </w:tc>
        <w:tc>
          <w:tcPr>
            <w:tcW w:type="dxa" w:w="2409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8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EE 3.0 completa</w:t>
            </w:r>
          </w:p>
        </w:tc>
        <w:tc>
          <w:tcPr>
            <w:tcW w:type="dxa" w:w="2409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8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3P-IA, posicionamento ativo e canal de vendas no ar.</w:t>
            </w:r>
          </w:p>
        </w:tc>
      </w:tr>
      <w:tr>
        <w:tc>
          <w:tcPr>
            <w:tcW w:type="dxa" w:w="2409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8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1A1A1A"/>
                <w:sz w:val="20"/>
              </w:rPr>
              <w:t>03</w:t>
            </w:r>
          </w:p>
        </w:tc>
        <w:tc>
          <w:tcPr>
            <w:tcW w:type="dxa" w:w="2409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8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Mês 3</w:t>
            </w:r>
          </w:p>
        </w:tc>
        <w:tc>
          <w:tcPr>
            <w:tcW w:type="dxa" w:w="2409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8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Consultoria de conteúdo</w:t>
            </w:r>
          </w:p>
        </w:tc>
        <w:tc>
          <w:tcPr>
            <w:tcW w:type="dxa" w:w="2409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8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Produção assistida + linha editorial no método.</w:t>
            </w:r>
          </w:p>
        </w:tc>
      </w:tr>
      <w:tr>
        <w:tc>
          <w:tcPr>
            <w:tcW w:type="dxa" w:w="2409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8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1A1A1A"/>
                <w:sz w:val="20"/>
              </w:rPr>
              <w:t>04</w:t>
            </w:r>
          </w:p>
        </w:tc>
        <w:tc>
          <w:tcPr>
            <w:tcW w:type="dxa" w:w="2409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8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Mês 4</w:t>
            </w:r>
          </w:p>
        </w:tc>
        <w:tc>
          <w:tcPr>
            <w:tcW w:type="dxa" w:w="2409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8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Consultoria de tráfego</w:t>
            </w:r>
          </w:p>
        </w:tc>
        <w:tc>
          <w:tcPr>
            <w:tcW w:type="dxa" w:w="2409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8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Campanhas, pixel, audiência e otimização.</w:t>
            </w:r>
          </w:p>
        </w:tc>
      </w:tr>
      <w:tr>
        <w:tc>
          <w:tcPr>
            <w:tcW w:type="dxa" w:w="2409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8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1A1A1A"/>
                <w:sz w:val="20"/>
              </w:rPr>
              <w:t>05</w:t>
            </w:r>
          </w:p>
        </w:tc>
        <w:tc>
          <w:tcPr>
            <w:tcW w:type="dxa" w:w="2409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8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Mês 5/6</w:t>
            </w:r>
          </w:p>
        </w:tc>
        <w:tc>
          <w:tcPr>
            <w:tcW w:type="dxa" w:w="2409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8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Consultoria comercial + CRM</w:t>
            </w:r>
          </w:p>
        </w:tc>
        <w:tc>
          <w:tcPr>
            <w:tcW w:type="dxa" w:w="2409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8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Scripts, follow-up, pipeline e monetização.</w:t>
            </w:r>
          </w:p>
        </w:tc>
      </w:tr>
    </w:tbl>
    <w:p>
      <w:pPr>
        <w:spacing w:after="80"/>
      </w:pPr>
    </w:p>
    <w:p>
      <w:pPr>
        <w:spacing w:before="0" w:after="160" w:line="276" w:lineRule="auto"/>
        <w:pBdr>
          <w:bottom w:val="single" w:sz="12" w:space="1" w:color="A10F14"/>
        </w:pBdr>
      </w:pPr>
      <w:r>
        <w:rPr>
          <w:rFonts w:ascii="Calibri" w:hAnsi="Calibri" w:eastAsia="Calibri"/>
          <w:b/>
          <w:i w:val="0"/>
          <w:color w:val="A10F14"/>
          <w:sz w:val="32"/>
        </w:rPr>
        <w:t>4. Investimento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639" w:type="dxa"/>
      </w:tblPr>
      <w:tblGrid>
        <w:gridCol w:w="4819"/>
        <w:gridCol w:w="4819"/>
      </w:tblGrid>
      <w:tr>
        <w:tc>
          <w:tcPr>
            <w:tcW w:type="dxa" w:w="4819"/>
            <w:shd w:fill="A10F14" w:val="clear"/>
            <w:tcBorders>
              <w:top w:val="single" w:sz="4" w:space="0" w:color="A10F14"/>
              <w:left w:val="single" w:sz="4" w:space="0" w:color="A10F14"/>
              <w:bottom w:val="single" w:sz="4" w:space="0" w:color="A10F14"/>
              <w:right w:val="single" w:sz="4" w:space="0" w:color="A10F1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8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Linha</w:t>
            </w:r>
          </w:p>
        </w:tc>
        <w:tc>
          <w:tcPr>
            <w:tcW w:type="dxa" w:w="4819"/>
            <w:shd w:fill="A10F14" w:val="clear"/>
            <w:tcBorders>
              <w:top w:val="single" w:sz="4" w:space="0" w:color="A10F14"/>
              <w:left w:val="single" w:sz="4" w:space="0" w:color="A10F14"/>
              <w:bottom w:val="single" w:sz="4" w:space="0" w:color="A10F14"/>
              <w:right w:val="single" w:sz="4" w:space="0" w:color="A10F1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8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Valor</w:t>
            </w:r>
          </w:p>
        </w:tc>
      </w:tr>
      <w:tr>
        <w:tc>
          <w:tcPr>
            <w:tcW w:type="dxa" w:w="4819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8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1A1A1A"/>
                <w:sz w:val="20"/>
              </w:rPr>
              <w:t>Valor de tabela / referência</w:t>
            </w:r>
          </w:p>
        </w:tc>
        <w:tc>
          <w:tcPr>
            <w:tcW w:type="dxa" w:w="4819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8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R$ 50.632,85</w:t>
            </w:r>
          </w:p>
        </w:tc>
      </w:tr>
      <w:tr>
        <w:tc>
          <w:tcPr>
            <w:tcW w:type="dxa" w:w="4819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8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1A1A1A"/>
                <w:sz w:val="20"/>
              </w:rPr>
              <w:t>PIX / à vista</w:t>
            </w:r>
          </w:p>
        </w:tc>
        <w:tc>
          <w:tcPr>
            <w:tcW w:type="dxa" w:w="4819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8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R$ 19.500,00</w:t>
            </w:r>
          </w:p>
        </w:tc>
      </w:tr>
      <w:tr>
        <w:tc>
          <w:tcPr>
            <w:tcW w:type="dxa" w:w="4819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8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1A1A1A"/>
                <w:sz w:val="20"/>
              </w:rPr>
              <w:t>Parcelado</w:t>
            </w:r>
          </w:p>
        </w:tc>
        <w:tc>
          <w:tcPr>
            <w:tcW w:type="dxa" w:w="4819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8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6x de R$ 3.500,00  ·  total R$ 21.000,00</w:t>
            </w:r>
          </w:p>
        </w:tc>
      </w:tr>
      <w:tr>
        <w:tc>
          <w:tcPr>
            <w:tcW w:type="dxa" w:w="4819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8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1A1A1A"/>
                <w:sz w:val="20"/>
              </w:rPr>
              <w:t>Cashback EE aplicado</w:t>
            </w:r>
          </w:p>
        </w:tc>
        <w:tc>
          <w:tcPr>
            <w:tcW w:type="dxa" w:w="4819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8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R$ 15.000,00</w:t>
            </w:r>
          </w:p>
        </w:tc>
      </w:tr>
      <w:tr>
        <w:tc>
          <w:tcPr>
            <w:tcW w:type="dxa" w:w="4819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8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1A1A1A"/>
                <w:sz w:val="20"/>
              </w:rPr>
              <w:t>Economia no PIX vs. tabela</w:t>
            </w:r>
          </w:p>
        </w:tc>
        <w:tc>
          <w:tcPr>
            <w:tcW w:type="dxa" w:w="4819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8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R$ 31.132,85</w:t>
            </w:r>
          </w:p>
        </w:tc>
      </w:tr>
    </w:tbl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  <w:tblW w:w="9639" w:type="dxa"/>
      </w:tblPr>
      <w:tblGrid>
        <w:gridCol w:w="9638"/>
      </w:tblGrid>
      <w:tr>
        <w:tc>
          <w:tcPr>
            <w:tcW w:type="dxa" w:w="9638"/>
            <w:shd w:fill="F8EFEF" w:val="clear"/>
            <w:tcBorders>
              <w:top w:val="single" w:sz="4" w:space="0" w:color="A10F14"/>
              <w:left w:val="single" w:sz="4" w:space="0" w:color="A10F14"/>
              <w:bottom w:val="single" w:sz="4" w:space="0" w:color="A10F14"/>
              <w:right w:val="single" w:sz="4" w:space="0" w:color="A10F14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80"/>
            </w:pPr>
            <w:r/>
            <w:r>
              <w:rPr>
                <w:rFonts w:ascii="Calibri" w:hAnsi="Calibri" w:eastAsia="Calibri"/>
                <w:b/>
                <w:i w:val="0"/>
                <w:color w:val="A10F14"/>
                <w:sz w:val="18"/>
              </w:rPr>
              <w:t>CONDIÇÃO COMERCIAL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olor w:val="1A1A1A"/>
                <w:sz w:val="22"/>
              </w:rPr>
              <w:t>PIX à vista R$ 19.500,00. Ou 6x de R$ 3.500,00 sem juros. Cashback de R$ 15.000,00 da Estruturação Estratégica já aplicado sobre a referência de R$ 50.632,85.</w:t>
            </w:r>
          </w:p>
        </w:tc>
      </w:tr>
    </w:tbl>
    <w:p>
      <w:pPr>
        <w:spacing w:after="80"/>
      </w:pPr>
    </w:p>
    <w:p>
      <w:pPr>
        <w:spacing w:before="0" w:after="120" w:line="276" w:lineRule="auto"/>
      </w:pPr>
      <w:r>
        <w:rPr>
          <w:rFonts w:ascii="Calibri" w:hAnsi="Calibri" w:eastAsia="Calibri"/>
          <w:b/>
          <w:i w:val="0"/>
          <w:color w:val="E50914"/>
          <w:sz w:val="26"/>
        </w:rPr>
        <w:t>4.1 Garantia</w:t>
      </w:r>
    </w:p>
    <w:p>
      <w:pPr>
        <w:spacing w:before="0" w:after="160" w:line="276" w:lineRule="auto"/>
      </w:pPr>
      <w:r>
        <w:rPr>
          <w:rFonts w:ascii="Calibri" w:hAnsi="Calibri" w:eastAsia="Calibri"/>
          <w:b w:val="0"/>
          <w:i w:val="0"/>
          <w:color w:val="1A1A1A"/>
          <w:sz w:val="22"/>
        </w:rPr>
        <w:t>Se após 30 dias de serviço você não estiver satisfeito com a entrega, devolvemos o investimento efetuado. Risco zero para entrar.</w:t>
      </w:r>
    </w:p>
    <w:p>
      <w:pPr>
        <w:spacing w:before="0" w:after="160" w:line="276" w:lineRule="auto"/>
        <w:pBdr>
          <w:bottom w:val="single" w:sz="12" w:space="1" w:color="A10F14"/>
        </w:pBdr>
      </w:pPr>
      <w:r>
        <w:rPr>
          <w:rFonts w:ascii="Calibri" w:hAnsi="Calibri" w:eastAsia="Calibri"/>
          <w:b/>
          <w:i w:val="0"/>
          <w:color w:val="A10F14"/>
          <w:sz w:val="32"/>
        </w:rPr>
        <w:t>5. Próximos passos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639" w:type="dxa"/>
      </w:tblPr>
      <w:tblGrid>
        <w:gridCol w:w="4819"/>
        <w:gridCol w:w="4819"/>
      </w:tblGrid>
      <w:tr>
        <w:tc>
          <w:tcPr>
            <w:tcW w:type="dxa" w:w="4819"/>
            <w:shd w:fill="A10F14" w:val="clear"/>
            <w:tcBorders>
              <w:top w:val="single" w:sz="4" w:space="0" w:color="A10F14"/>
              <w:left w:val="single" w:sz="4" w:space="0" w:color="A10F14"/>
              <w:bottom w:val="single" w:sz="4" w:space="0" w:color="A10F14"/>
              <w:right w:val="single" w:sz="4" w:space="0" w:color="A10F1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8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Responsável</w:t>
            </w:r>
          </w:p>
        </w:tc>
        <w:tc>
          <w:tcPr>
            <w:tcW w:type="dxa" w:w="4819"/>
            <w:shd w:fill="A10F14" w:val="clear"/>
            <w:tcBorders>
              <w:top w:val="single" w:sz="4" w:space="0" w:color="A10F14"/>
              <w:left w:val="single" w:sz="4" w:space="0" w:color="A10F14"/>
              <w:bottom w:val="single" w:sz="4" w:space="0" w:color="A10F14"/>
              <w:right w:val="single" w:sz="4" w:space="0" w:color="A10F1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8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Ação</w:t>
            </w:r>
          </w:p>
        </w:tc>
      </w:tr>
      <w:tr>
        <w:tc>
          <w:tcPr>
            <w:tcW w:type="dxa" w:w="4819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8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1A1A1A"/>
                <w:sz w:val="20"/>
              </w:rPr>
              <w:t>Remax Pro Work</w:t>
            </w:r>
          </w:p>
        </w:tc>
        <w:tc>
          <w:tcPr>
            <w:tcW w:type="dxa" w:w="4819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8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Validar a condição comercial (PIX R$ 19.500,00 ou 6x de R$ 3.500,00) e formalizar o start.</w:t>
            </w:r>
          </w:p>
        </w:tc>
      </w:tr>
      <w:tr>
        <w:tc>
          <w:tcPr>
            <w:tcW w:type="dxa" w:w="4819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8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1A1A1A"/>
                <w:sz w:val="20"/>
              </w:rPr>
              <w:t>V4</w:t>
            </w:r>
          </w:p>
        </w:tc>
        <w:tc>
          <w:tcPr>
            <w:tcW w:type="dxa" w:w="4819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8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Kickoff do mês 01: diagnóstico de maturidade GTM, prioridades e alocação do squad.</w:t>
            </w:r>
          </w:p>
        </w:tc>
      </w:tr>
      <w:tr>
        <w:tc>
          <w:tcPr>
            <w:tcW w:type="dxa" w:w="4819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8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1A1A1A"/>
                <w:sz w:val="20"/>
              </w:rPr>
              <w:t>V4 + Remax Pro Work</w:t>
            </w:r>
          </w:p>
        </w:tc>
        <w:tc>
          <w:tcPr>
            <w:tcW w:type="dxa" w:w="4819"/>
            <w:tcBorders>
              <w:top w:val="single" w:sz="4" w:space="0" w:color="E6D4D4"/>
              <w:left w:val="single" w:sz="4" w:space="0" w:color="E6D4D4"/>
              <w:bottom w:val="single" w:sz="4" w:space="0" w:color="E6D4D4"/>
              <w:right w:val="single" w:sz="4" w:space="0" w:color="E6D4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8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Entrar na comunidade, na monitoria mensal e no calendário da Fábrica de Receita.</w:t>
            </w:r>
          </w:p>
        </w:tc>
      </w:tr>
    </w:tbl>
    <w:p>
      <w:pPr>
        <w:spacing w:after="80"/>
      </w:pPr>
    </w:p>
    <w:p>
      <w:pPr>
        <w:spacing w:before="0" w:after="160" w:line="276" w:lineRule="auto"/>
      </w:pPr>
      <w:r>
        <w:rPr>
          <w:rFonts w:ascii="Calibri" w:hAnsi="Calibri" w:eastAsia="Calibri"/>
          <w:b w:val="0"/>
          <w:i/>
          <w:color w:val="4A4A4A"/>
          <w:sz w:val="20"/>
        </w:rPr>
        <w:t>Documento elaborado pela V4 Company para a Remax Pro Work. Valores conforme condição comercial da base ativa, com cashback de R$ 15.000,00 da EE aplicado sobre R$ 50.632,85.</w:t>
      </w:r>
    </w:p>
    <w:p>
      <w:pPr>
        <w:spacing w:before="0" w:after="160" w:line="276" w:lineRule="auto"/>
        <w:jc w:val="center"/>
      </w:pPr>
      <w:r>
        <w:rPr>
          <w:rFonts w:ascii="Calibri" w:hAnsi="Calibri" w:eastAsia="Calibri"/>
          <w:b/>
          <w:i w:val="0"/>
          <w:color w:val="A10F14"/>
          <w:sz w:val="18"/>
        </w:rPr>
        <w:t>Remax Pro Work × V4 Company  ·  Empresa que Vende  ·  Confidencial</w:t>
      </w:r>
    </w:p>
    <w:sectPr w:rsidR="00FC693F" w:rsidRPr="0006063C" w:rsidSect="00034616">
      <w:pgSz w:w="11906" w:h="16838"/>
      <w:pgMar w:top="1020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