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 w:eastAsia="Calibri"/>
          <w:b/>
          <w:color w:val="E50914"/>
          <w:sz w:val="20"/>
        </w:rPr>
        <w:t>PROPOSTA COMERCIAL · 2026</w:t>
      </w:r>
    </w:p>
    <w:p>
      <w:pPr>
        <w:spacing w:after="160" w:before="0"/>
      </w:pPr>
      <w:r>
        <w:rPr>
          <w:rFonts w:ascii="Calibri" w:hAnsi="Calibri" w:eastAsia="Calibri"/>
          <w:b/>
          <w:color w:val="E50914"/>
          <w:sz w:val="44"/>
        </w:rPr>
        <w:t>ISOLUZ × V4 COMPANY</w:t>
      </w:r>
    </w:p>
    <w:p>
      <w:pPr>
        <w:spacing w:after="120" w:before="280"/>
      </w:pPr>
      <w:r>
        <w:rPr>
          <w:rFonts w:ascii="Calibri" w:hAnsi="Calibri" w:eastAsia="Calibri"/>
          <w:b/>
          <w:color w:val="E50914"/>
          <w:sz w:val="32"/>
        </w:rPr>
        <w:t>ORGANIZAR PRA CRESCER.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A5A5A"/>
          <w:sz w:val="22"/>
        </w:rPr>
        <w:t>Vocês já vendem. O risco não é faltar cliente — é crescer bagunçado. Esta proposta organiza comercial, vitrine B2B e Growth no ritmo que a Isoluz aguenta.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80" w:before="0"/>
      </w:pPr>
      <w:r>
        <w:rPr>
          <w:rFonts w:ascii="Calibri" w:hAnsi="Calibri" w:eastAsia="Calibri"/>
          <w:b/>
          <w:color w:val="E50914"/>
          <w:sz w:val="20"/>
        </w:rPr>
        <w:t>Escopo da proposta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01 · Estruturação Comercial —</w:t>
      </w:r>
      <w:r>
        <w:rPr>
          <w:rFonts w:ascii="Calibri" w:hAnsi="Calibri" w:eastAsia="Calibri"/>
          <w:b w:val="0"/>
          <w:color w:val="5A5A5A"/>
          <w:sz w:val="22"/>
        </w:rPr>
        <w:t xml:space="preserve"> Processo, CRM, scripts e rotina para o time de vendas da Isoluz.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02 · E-commerce B2B —</w:t>
      </w:r>
      <w:r>
        <w:rPr>
          <w:rFonts w:ascii="Calibri" w:hAnsi="Calibri" w:eastAsia="Calibri"/>
          <w:b w:val="0"/>
          <w:color w:val="5A5A5A"/>
          <w:sz w:val="22"/>
        </w:rPr>
        <w:t xml:space="preserve"> Tema com adaptação visual — prazo de 30 dias.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03 · Assessoria de Growth — Gestor de Tráfego (GT) operando aquisição com método.</w:t>
      </w:r>
      <w:r>
        <w:rPr>
          <w:rFonts w:ascii="Calibri" w:hAnsi="Calibri" w:eastAsia="Calibri"/>
          <w:b w:val="0"/>
          <w:color w:val="5A5A5A"/>
          <w:sz w:val="22"/>
        </w:rPr>
      </w:r>
    </w:p>
    <w:p>
      <w:pPr>
        <w:spacing w:after="120" w:before="120"/>
      </w:pPr>
      <w:r>
        <w:rPr>
          <w:rFonts w:ascii="Calibri" w:hAnsi="Calibri" w:eastAsia="Calibri"/>
          <w:b w:val="0"/>
          <w:color w:val="5A5A5A"/>
          <w:sz w:val="20"/>
        </w:rPr>
        <w:t>Papel da V4: conectar comercial e marketing em uma operação simples, previsível e no controle da Micheline.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O PONTO DE PARTIDA · O QUE A EE MOSTROU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Vocês já vendem. Falta máquina simples.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Produto forte, carteira ativa e demanda real. O próximo passo não é “bombar”. É estancar o que vaza e crescer com controle — margem e entrega primeiro.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O que já funciona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Faturamento saudável (~R$ 120 mil/mês)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Nicho técnico com diferencial em remanufaturado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Meta Ads já gera resultado (operado pela Micheline)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WhatsApp como canal principal de conversão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3 vendedores ativos + base de indicação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O que ainda vaza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Sem CRM, pipeline e follow-up padronizado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Atendimento reativo — sem script por persona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Meta sem filtro assertivo de CNPJ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Site e ativos digitais gerando atrito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Capacidade limitada: pico de demanda já engasgou a entrega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PRODUTO 01 · ESTRUTURAÇÃO COMERCIAL · 45 DIAS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Estruturação Comercial para o time que já vende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Organizar processo, CRM e rotina dos vendedores da Isoluz — com clareza, sem complexidade e sem terceirizar o fechamento. Prazo de 45 dias para implementações e treinamento.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Time e processo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Mapeamento do time e fluxo atual de vendas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Papéis claros: qualificação (SDR) × fechamento (closers)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Scripts e cadências por persona (Sérgio, Cláudia, Marcos)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Régua de follow-up de orçamentos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CRM e controle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Recomendação e implementação de CRM leve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Réguas automáticas de relacionamento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Motivos de perda, histórico e rotina comercial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KPIs enxutos para a Micheline acompanhar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Gestão contínua · 45 dias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Implementações no prazo de 45 dias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Treino do time no novo processo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Rotina gerencial objetiva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SLA interno de resposta ao lead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O que muda no dia a dia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Lead com dono —</w:t>
      </w:r>
      <w:r>
        <w:rPr>
          <w:rFonts w:ascii="Calibri" w:hAnsi="Calibri" w:eastAsia="Calibri"/>
          <w:b w:val="0"/>
          <w:color w:val="5A5A5A"/>
          <w:sz w:val="22"/>
        </w:rPr>
        <w:t xml:space="preserve"> Toda oportunidade entra no pipeline com responsável e próximo passo.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Follow-up no prazo —</w:t>
      </w:r>
      <w:r>
        <w:rPr>
          <w:rFonts w:ascii="Calibri" w:hAnsi="Calibri" w:eastAsia="Calibri"/>
          <w:b w:val="0"/>
          <w:color w:val="5A5A5A"/>
          <w:sz w:val="22"/>
        </w:rPr>
        <w:t xml:space="preserve"> Nenhum orçamento some no WhatsApp sem retorno marcado.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Conversa certa —</w:t>
      </w:r>
      <w:r>
        <w:rPr>
          <w:rFonts w:ascii="Calibri" w:hAnsi="Calibri" w:eastAsia="Calibri"/>
          <w:b w:val="0"/>
          <w:color w:val="5A5A5A"/>
          <w:sz w:val="22"/>
        </w:rPr>
        <w:t xml:space="preserve"> Abordagem por persona — técnica, financeira ou parceria regional.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Visão da dona —</w:t>
      </w:r>
      <w:r>
        <w:rPr>
          <w:rFonts w:ascii="Calibri" w:hAnsi="Calibri" w:eastAsia="Calibri"/>
          <w:b w:val="0"/>
          <w:color w:val="5A5A5A"/>
          <w:sz w:val="22"/>
        </w:rPr>
        <w:t xml:space="preserve"> Números simples para decidir ritmo de crescimento com segurança.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PRODUTO 02 · E-COMMERCE B2B · TEMA · 30 DIAS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E-commerce B2B — tema com adaptação visual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Loja pronta para o modelo B2B da Isoluz — com tema padrão adaptado visualmente e go-live em 30 dias.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Implementação e configuração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Configuração e parametrização da plataforma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Parametrização de descontos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Integração ERP nativo, logística e gateway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Visual e conversão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Tema padrão com adaptação visual da Isoluz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Criação de banners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SEO da home, institucionais e categorias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Configuração de GTM e Analytics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Pós go-live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Treinamento de produto e plataforma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Monitoramento pós go-live (30 dias)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Assessoria logística e gateway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Prazo de entrega: 30 dias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PRODUTO 03 · ASSESSORIA DE GROWTH · 12 MESES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Gestor de Tráfego (GT)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Mídia, criativos e gestão contínua com cadência definida — para atrair o CNPJ certo e pulverizar regiões no ritmo da entrega.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Account —</w:t>
      </w:r>
      <w:r>
        <w:rPr>
          <w:rFonts w:ascii="Calibri" w:hAnsi="Calibri" w:eastAsia="Calibri"/>
          <w:b w:val="0"/>
          <w:color w:val="5A5A5A"/>
          <w:sz w:val="22"/>
        </w:rPr>
        <w:t xml:space="preserve"> Direcionamento de regiões, oferta, ritmo de aquisição e alinhamento com capacidade operacional.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Gestor de tráfego —</w:t>
      </w:r>
      <w:r>
        <w:rPr>
          <w:rFonts w:ascii="Calibri" w:hAnsi="Calibri" w:eastAsia="Calibri"/>
          <w:b w:val="0"/>
          <w:color w:val="5A5A5A"/>
          <w:sz w:val="22"/>
        </w:rPr>
        <w:t xml:space="preserve"> Meta com segmentação assertiva de CNPJ + Google de intenção, sem agressividade que estoure a operação.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Copy + Design —</w:t>
      </w:r>
      <w:r>
        <w:rPr>
          <w:rFonts w:ascii="Calibri" w:hAnsi="Calibri" w:eastAsia="Calibri"/>
          <w:b w:val="0"/>
          <w:color w:val="5A5A5A"/>
          <w:sz w:val="22"/>
        </w:rPr>
        <w:t xml:space="preserve"> Narrativa da Isoluz (“sua obra não para”) e criativos profissionais por formato e canal.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Gestão contínua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Otimização semanal de campanhas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Testes de criativo e público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Leitura de funil até oportunidade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5A5A5A"/>
          <w:sz w:val="22"/>
        </w:rPr>
        <w:t>Alinhamento com metas do negócio</w:t>
      </w:r>
    </w:p>
    <w:p>
      <w:pPr>
        <w:spacing w:after="40" w:before="160"/>
      </w:pPr>
      <w:r>
        <w:rPr>
          <w:rFonts w:ascii="Calibri" w:hAnsi="Calibri" w:eastAsia="Calibri"/>
          <w:b/>
          <w:color w:val="1E1E1E"/>
          <w:sz w:val="22"/>
        </w:rPr>
        <w:t>Nossas rotinas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Atendimento diário —</w:t>
      </w:r>
      <w:r>
        <w:rPr>
          <w:rFonts w:ascii="Calibri" w:hAnsi="Calibri" w:eastAsia="Calibri"/>
          <w:b w:val="0"/>
          <w:color w:val="5A5A5A"/>
          <w:sz w:val="22"/>
        </w:rPr>
        <w:t xml:space="preserve"> Dias úteis: tarefas, pendências, alinhamentos, backlog e resultados do dia.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Check-in de performance —</w:t>
      </w:r>
      <w:r>
        <w:rPr>
          <w:rFonts w:ascii="Calibri" w:hAnsi="Calibri" w:eastAsia="Calibri"/>
          <w:b w:val="0"/>
          <w:color w:val="5A5A5A"/>
          <w:sz w:val="22"/>
        </w:rPr>
        <w:t xml:space="preserve"> Reunião periódica: resultados, análise e próximos passos.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Planejamento trimestral —</w:t>
      </w:r>
      <w:r>
        <w:rPr>
          <w:rFonts w:ascii="Calibri" w:hAnsi="Calibri" w:eastAsia="Calibri"/>
          <w:b w:val="0"/>
          <w:color w:val="5A5A5A"/>
          <w:sz w:val="22"/>
        </w:rPr>
        <w:t xml:space="preserve"> Próximos três meses, budget, prioridades e aprendizados.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>Growths e retrospectivas —</w:t>
      </w:r>
      <w:r>
        <w:rPr>
          <w:rFonts w:ascii="Calibri" w:hAnsi="Calibri" w:eastAsia="Calibri"/>
          <w:b w:val="0"/>
          <w:color w:val="5A5A5A"/>
          <w:sz w:val="22"/>
        </w:rPr>
        <w:t xml:space="preserve"> Rituais internos de dados, copy, design, tráfego e funil.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ÂNCORA DE MERCADO · MONTAR SOZINHO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Quanto custaria montar esse escopo por conta própria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Referência de mercado para cobrir especialização equivalente (salários + encargos + gestão + ferramentas), sem contar tempo de contratação e risco de erro.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Frente</w:t>
            </w:r>
          </w:p>
        </w:tc>
        <w:tc>
          <w:tcPr>
            <w:tcW w:type="dxa" w:w="4986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Referência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Estruturação Comercial (processo + CRM + treinamento)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R$ 18.000 a R$ 25.000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E-commerce B2B (tema + integrações + SEO)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R$ 8.000 a R$ 15.000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Account / Head de Growth (mensal)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R$ 10.000 a R$ 14.000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Gestão de Tráfego Google + Meta (mensal)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R$ 8.000 a R$ 12.000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Copywriter de performance (mensal)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R$ 5.000 a R$ 7.000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Designer de performance (mensal)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R$ 6.000 a R$ 8.000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Ferramentas ads + stack criativo (mensal)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R$ 1.000 a R$ 2.000</w:t>
            </w:r>
          </w:p>
        </w:tc>
      </w:tr>
      <w:tr>
        <w:tc>
          <w:tcPr>
            <w:tcW w:type="dxa" w:w="4986"/>
          </w:tcPr>
          <w:p>
            <w:pPr>
              <w:shd w:fill="FFF8E7" w:val="clear"/>
            </w:pPr>
            <w:r/>
            <w:r>
              <w:rPr>
                <w:rFonts w:ascii="Calibri" w:hAnsi="Calibri" w:eastAsia="Calibri"/>
                <w:b/>
                <w:color w:val="1E1E1E"/>
                <w:sz w:val="20"/>
              </w:rPr>
              <w:t>Total estimado Growth / mês</w:t>
            </w:r>
          </w:p>
        </w:tc>
        <w:tc>
          <w:tcPr>
            <w:tcW w:type="dxa" w:w="4986"/>
          </w:tcPr>
          <w:p>
            <w:r>
              <w:t>R$ 9.000 a R$ 14.000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5A5A5A"/>
          <w:sz w:val="20"/>
        </w:rPr>
        <w:t>A V4 entrega o escopo completo — comercial, e-commerce e Growth — com método, cadência e a EE já trabalhando a favor da Isoluz.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INVESTIMENTO · TRÊS SOLUÇÕES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Três condições para começar a operar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Estruturação Comercial + E-commerce B2B + Assessoria de Growth para a Isoluz.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Solução</w:t>
            </w:r>
          </w:p>
        </w:tc>
        <w:tc>
          <w:tcPr>
            <w:tcW w:type="dxa" w:w="3324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Condição</w:t>
            </w:r>
          </w:p>
        </w:tc>
        <w:tc>
          <w:tcPr>
            <w:tcW w:type="dxa" w:w="3324"/>
          </w:tcPr>
          <w:p>
            <w:pPr>
              <w:shd w:fill="FCE8E9" w:val="clear"/>
              <w:shd w:fill="FFF8E7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Total / observação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Estruturação Comercial (projeto · 45 dias)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12× R$ 960,53</w:t>
            </w:r>
          </w:p>
        </w:tc>
        <w:tc>
          <w:tcPr>
            <w:tcW w:type="dxa" w:w="3324"/>
          </w:tcPr>
          <w:p>
            <w:pPr>
              <w:shd w:fill="FFF8E7" w:val="clear"/>
            </w:pPr>
            <w:r/>
            <w:r>
              <w:rPr>
                <w:rFonts w:ascii="Calibri" w:hAnsi="Calibri" w:eastAsia="Calibri"/>
                <w:b/>
                <w:color w:val="1E1E1E"/>
                <w:sz w:val="20"/>
              </w:rPr>
              <w:t>Total R$ 11.526,32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E-commerce B2B (tema · 30 dias)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12× R$ 333,33</w:t>
            </w:r>
          </w:p>
        </w:tc>
        <w:tc>
          <w:tcPr>
            <w:tcW w:type="dxa" w:w="3324"/>
          </w:tcPr>
          <w:p>
            <w:pPr>
              <w:shd w:fill="FFF8E7" w:val="clear"/>
            </w:pPr>
            <w:r/>
            <w:r>
              <w:rPr>
                <w:rFonts w:ascii="Calibri" w:hAnsi="Calibri" w:eastAsia="Calibri"/>
                <w:b/>
                <w:color w:val="1E1E1E"/>
                <w:sz w:val="20"/>
              </w:rPr>
              <w:t>Total R$ 4.000,00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Assessoria de Growth (12 meses)</w:t>
            </w:r>
          </w:p>
        </w:tc>
        <w:tc>
          <w:tcPr>
            <w:tcW w:type="dxa" w:w="3324"/>
          </w:tcPr>
          <w:p>
            <w:r>
              <w:t>12× R$ 2.569,91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  <w:tc>
          <w:tcPr>
            <w:tcW w:type="dxa" w:w="3324"/>
          </w:tcPr>
          <w:p>
            <w:r>
              <w:t>Gestor de Tráfego (GT)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As três juntas</w:t>
            </w:r>
          </w:p>
        </w:tc>
        <w:tc>
          <w:tcPr>
            <w:tcW w:type="dxa" w:w="3324"/>
          </w:tcPr>
          <w:p>
            <w:r>
              <w:t>~ R$ 3.863,77 /mês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Condição especial</w:t>
            </w:r>
          </w:p>
        </w:tc>
      </w:tr>
    </w:tbl>
    <w:p/>
    <w:p>
      <w:pPr>
        <w:spacing w:before="80" w:after="160"/>
        <w:pBdr>
          <w:bottom w:val="single" w:sz="12" w:space="1" w:color="E50914"/>
        </w:pBdr>
      </w:pPr>
    </w:p>
    <w:p>
      <w:pPr>
        <w:spacing w:after="40" w:before="0"/>
      </w:pPr>
      <w:r>
        <w:rPr>
          <w:rFonts w:ascii="Calibri" w:hAnsi="Calibri" w:eastAsia="Calibri"/>
          <w:b/>
          <w:color w:val="E50914"/>
          <w:sz w:val="20"/>
        </w:rPr>
        <w:t>LEITURA DE RETORNO · PLANO DE 12 MESES</w:t>
      </w:r>
    </w:p>
    <w:p>
      <w:pPr>
        <w:spacing w:after="160" w:before="40"/>
      </w:pPr>
      <w:r>
        <w:rPr>
          <w:rFonts w:ascii="Calibri" w:hAnsi="Calibri" w:eastAsia="Calibri"/>
          <w:b/>
          <w:color w:val="E50914"/>
          <w:sz w:val="28"/>
        </w:rPr>
        <w:t>Equilíbrio estimado em cerca de 3 a 4 meses</w:t>
      </w:r>
    </w:p>
    <w:p>
      <w:pPr>
        <w:spacing w:after="120" w:before="0"/>
      </w:pPr>
      <w:r>
        <w:rPr>
          <w:rFonts w:ascii="Calibri" w:hAnsi="Calibri" w:eastAsia="Calibri"/>
          <w:b w:val="0"/>
          <w:color w:val="1E1E1E"/>
          <w:sz w:val="22"/>
        </w:rPr>
        <w:t>Cenário de referência com base no faturamento atual (~R$ 120 mil) e margem de contribuição saudável da Isoluz.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Investimento mensal V4</w:t>
            </w:r>
          </w:p>
        </w:tc>
        <w:tc>
          <w:tcPr>
            <w:tcW w:type="dxa" w:w="4986"/>
          </w:tcPr>
          <w:p>
            <w:pPr>
              <w:shd w:fill="FCE8E9" w:val="clear"/>
            </w:pPr>
            <w:r/>
            <w:r>
              <w:rPr>
                <w:rFonts w:ascii="Calibri" w:hAnsi="Calibri" w:eastAsia="Calibri"/>
                <w:b/>
                <w:color w:val="E50914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Estruturação Comercial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R$ 961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E-commerce B2B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R$ 333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color w:val="1E1E1E"/>
                <w:sz w:val="20"/>
              </w:rPr>
              <w:t>Assessoria de Growth</w:t>
            </w:r>
          </w:p>
        </w:tc>
        <w:tc>
          <w:tcPr>
            <w:tcW w:type="dxa" w:w="4986"/>
          </w:tcPr>
          <w:p>
            <w:r>
              <w:t>R$ 2.570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hd w:fill="FFF8E7" w:val="clear"/>
            </w:pPr>
            <w:r/>
            <w:r>
              <w:rPr>
                <w:rFonts w:ascii="Calibri" w:hAnsi="Calibri" w:eastAsia="Calibri"/>
                <w:b/>
                <w:color w:val="1E1E1E"/>
                <w:sz w:val="20"/>
              </w:rPr>
              <w:t>Total mensal V4</w:t>
            </w:r>
          </w:p>
        </w:tc>
        <w:tc>
          <w:tcPr>
            <w:tcW w:type="dxa" w:w="4986"/>
          </w:tcPr>
          <w:p>
            <w:r>
              <w:t>R$ 3.864</w:t>
            </w:r>
            <w:r>
              <w:rPr>
                <w:rFonts w:ascii="Calibri" w:hAnsi="Calibri" w:eastAsia="Calibri"/>
                <w:b w:val="0"/>
                <w:color w:val="1E1E1E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1E1E1E"/>
          <w:sz w:val="22"/>
        </w:rPr>
        <w:t>O que buscamos: controle — comercial organizado, vitrine B2B no ar e crescimento regional sem engasgar a entrega.</w:t>
      </w:r>
    </w:p>
    <w:p>
      <w:pPr>
        <w:spacing w:after="120" w:before="120"/>
      </w:pPr>
      <w:r>
        <w:rPr>
          <w:rFonts w:ascii="Calibri" w:hAnsi="Calibri" w:eastAsia="Calibri"/>
          <w:b w:val="0"/>
          <w:color w:val="5A5A5A"/>
          <w:sz w:val="20"/>
        </w:rPr>
        <w:t>Importante: esta não é garantia de resultado. É uma referência para acompanhar indicadores reais da Isoluz (ticket, conversão, capacidade mensal e CAC) e ajustar o ritmo com segurança.</w:t>
      </w:r>
    </w:p>
    <w:p>
      <w:pPr>
        <w:spacing w:before="80" w:after="160"/>
        <w:pBdr>
          <w:bottom w:val="single" w:sz="12" w:space="1" w:color="E50914"/>
        </w:pBdr>
      </w:pPr>
    </w:p>
    <w:p>
      <w:pPr>
        <w:spacing w:after="120" w:before="0"/>
      </w:pPr>
      <w:r>
        <w:rPr>
          <w:rFonts w:ascii="Calibri" w:hAnsi="Calibri" w:eastAsia="Calibri"/>
          <w:b/>
          <w:color w:val="E50914"/>
          <w:sz w:val="22"/>
        </w:rPr>
        <w:t>Próximo passo: formalizar EC + E-com + Assessoria</w:t>
      </w:r>
    </w:p>
    <w:p>
      <w:pPr>
        <w:spacing w:after="120" w:before="200"/>
      </w:pPr>
      <w:r>
        <w:rPr>
          <w:rFonts w:ascii="Calibri" w:hAnsi="Calibri" w:eastAsia="Calibri"/>
          <w:b w:val="0"/>
          <w:color w:val="5A5A5A"/>
          <w:sz w:val="18"/>
        </w:rPr>
        <w:t>Isoluz × V4 Company · Proposta comercial 2026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